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60564" w14:textId="76FCA975" w:rsidR="006511B8" w:rsidRPr="00F13A7D" w:rsidRDefault="00B65176" w:rsidP="00B65176">
      <w:pPr>
        <w:ind w:firstLine="360"/>
        <w:jc w:val="right"/>
        <w:rPr>
          <w:sz w:val="28"/>
          <w:szCs w:val="28"/>
        </w:rPr>
      </w:pPr>
      <w:bookmarkStart w:id="0" w:name="_GoBack"/>
      <w:bookmarkEnd w:id="0"/>
      <w:r>
        <w:rPr>
          <w:sz w:val="28"/>
          <w:szCs w:val="28"/>
        </w:rPr>
        <w:t>Pielikums</w:t>
      </w:r>
      <w:r w:rsidR="008C47F5">
        <w:rPr>
          <w:sz w:val="28"/>
          <w:szCs w:val="28"/>
        </w:rPr>
        <w:t xml:space="preserve"> Nr. 2</w:t>
      </w:r>
    </w:p>
    <w:p w14:paraId="57DC5AEA" w14:textId="77777777" w:rsidR="006511B8" w:rsidRDefault="006511B8" w:rsidP="002742AE">
      <w:pPr>
        <w:jc w:val="center"/>
        <w:rPr>
          <w:b/>
          <w:sz w:val="32"/>
          <w:szCs w:val="32"/>
        </w:rPr>
      </w:pPr>
    </w:p>
    <w:p w14:paraId="6CCB1434" w14:textId="77777777" w:rsidR="006511B8" w:rsidRDefault="006511B8" w:rsidP="002742AE">
      <w:pPr>
        <w:jc w:val="center"/>
        <w:rPr>
          <w:b/>
          <w:sz w:val="32"/>
          <w:szCs w:val="32"/>
        </w:rPr>
      </w:pPr>
    </w:p>
    <w:p w14:paraId="226FBD96" w14:textId="362F2A67" w:rsidR="00E517B7" w:rsidRDefault="008516C8" w:rsidP="002742AE">
      <w:pPr>
        <w:jc w:val="center"/>
        <w:rPr>
          <w:b/>
          <w:sz w:val="32"/>
          <w:szCs w:val="32"/>
        </w:rPr>
      </w:pPr>
      <w:r w:rsidRPr="002742AE">
        <w:rPr>
          <w:b/>
          <w:sz w:val="32"/>
          <w:szCs w:val="32"/>
        </w:rPr>
        <w:t>Pasākumu plān</w:t>
      </w:r>
      <w:r w:rsidR="009B22DC">
        <w:rPr>
          <w:b/>
          <w:sz w:val="32"/>
          <w:szCs w:val="32"/>
        </w:rPr>
        <w:t>am</w:t>
      </w:r>
      <w:r w:rsidRPr="002742AE">
        <w:rPr>
          <w:b/>
          <w:sz w:val="32"/>
          <w:szCs w:val="32"/>
        </w:rPr>
        <w:t xml:space="preserve"> noziedzīgi </w:t>
      </w:r>
      <w:r w:rsidR="00E517B7" w:rsidRPr="002742AE">
        <w:rPr>
          <w:b/>
          <w:sz w:val="32"/>
          <w:szCs w:val="32"/>
        </w:rPr>
        <w:t>iegūtu līdzekļu legalizācijas</w:t>
      </w:r>
      <w:r w:rsidR="00B11130" w:rsidRPr="002742AE">
        <w:rPr>
          <w:b/>
          <w:sz w:val="32"/>
          <w:szCs w:val="32"/>
        </w:rPr>
        <w:t>,</w:t>
      </w:r>
      <w:r w:rsidR="00517FCC" w:rsidRPr="002742AE">
        <w:rPr>
          <w:b/>
          <w:sz w:val="32"/>
          <w:szCs w:val="32"/>
        </w:rPr>
        <w:t xml:space="preserve"> terorisma un </w:t>
      </w:r>
      <w:proofErr w:type="spellStart"/>
      <w:r w:rsidR="00517FCC" w:rsidRPr="002742AE">
        <w:rPr>
          <w:b/>
          <w:sz w:val="32"/>
          <w:szCs w:val="32"/>
        </w:rPr>
        <w:t>proliferācijas</w:t>
      </w:r>
      <w:proofErr w:type="spellEnd"/>
      <w:r w:rsidR="00517FCC" w:rsidRPr="002742AE">
        <w:rPr>
          <w:b/>
          <w:sz w:val="32"/>
          <w:szCs w:val="32"/>
        </w:rPr>
        <w:t xml:space="preserve"> finansēšanas</w:t>
      </w:r>
      <w:r w:rsidR="00B11130" w:rsidRPr="002742AE">
        <w:rPr>
          <w:b/>
          <w:sz w:val="32"/>
          <w:szCs w:val="32"/>
        </w:rPr>
        <w:t xml:space="preserve"> </w:t>
      </w:r>
      <w:r w:rsidR="00615E3B" w:rsidRPr="002742AE">
        <w:rPr>
          <w:b/>
          <w:sz w:val="32"/>
          <w:szCs w:val="32"/>
        </w:rPr>
        <w:t xml:space="preserve">novēršanai </w:t>
      </w:r>
      <w:r w:rsidR="001B243A" w:rsidRPr="002742AE">
        <w:rPr>
          <w:b/>
          <w:sz w:val="32"/>
          <w:szCs w:val="32"/>
        </w:rPr>
        <w:t>laikp</w:t>
      </w:r>
      <w:r w:rsidR="008A0FDA" w:rsidRPr="002742AE">
        <w:rPr>
          <w:b/>
          <w:sz w:val="32"/>
          <w:szCs w:val="32"/>
        </w:rPr>
        <w:t>osm</w:t>
      </w:r>
      <w:r w:rsidR="001B243A" w:rsidRPr="002742AE">
        <w:rPr>
          <w:b/>
          <w:sz w:val="32"/>
          <w:szCs w:val="32"/>
        </w:rPr>
        <w:t xml:space="preserve">am </w:t>
      </w:r>
      <w:r w:rsidR="00517FCC" w:rsidRPr="002742AE">
        <w:rPr>
          <w:b/>
          <w:sz w:val="32"/>
          <w:szCs w:val="32"/>
        </w:rPr>
        <w:t>no</w:t>
      </w:r>
      <w:r w:rsidR="001B243A" w:rsidRPr="002742AE">
        <w:rPr>
          <w:b/>
          <w:sz w:val="32"/>
          <w:szCs w:val="32"/>
        </w:rPr>
        <w:t xml:space="preserve"> </w:t>
      </w:r>
      <w:r w:rsidR="00615E3B" w:rsidRPr="002742AE">
        <w:rPr>
          <w:b/>
          <w:sz w:val="32"/>
          <w:szCs w:val="32"/>
        </w:rPr>
        <w:t>20</w:t>
      </w:r>
      <w:r w:rsidR="00517FCC" w:rsidRPr="002742AE">
        <w:rPr>
          <w:b/>
          <w:sz w:val="32"/>
          <w:szCs w:val="32"/>
        </w:rPr>
        <w:t>20</w:t>
      </w:r>
      <w:r w:rsidR="00615E3B" w:rsidRPr="002742AE">
        <w:rPr>
          <w:b/>
          <w:sz w:val="32"/>
          <w:szCs w:val="32"/>
        </w:rPr>
        <w:t>.</w:t>
      </w:r>
      <w:r w:rsidR="008B2CD4" w:rsidRPr="002742AE">
        <w:rPr>
          <w:b/>
          <w:sz w:val="32"/>
          <w:szCs w:val="32"/>
        </w:rPr>
        <w:t> </w:t>
      </w:r>
      <w:r w:rsidR="00517FCC" w:rsidRPr="002742AE">
        <w:rPr>
          <w:b/>
          <w:sz w:val="32"/>
          <w:szCs w:val="32"/>
        </w:rPr>
        <w:t xml:space="preserve">līdz 2022. </w:t>
      </w:r>
      <w:r w:rsidR="001B243A" w:rsidRPr="002742AE">
        <w:rPr>
          <w:b/>
          <w:sz w:val="32"/>
          <w:szCs w:val="32"/>
        </w:rPr>
        <w:t>gadam</w:t>
      </w:r>
    </w:p>
    <w:p w14:paraId="7D0877C7" w14:textId="77777777" w:rsidR="0060066A" w:rsidRDefault="0060066A" w:rsidP="002742AE">
      <w:pPr>
        <w:jc w:val="center"/>
        <w:rPr>
          <w:b/>
          <w:sz w:val="28"/>
          <w:szCs w:val="28"/>
        </w:rPr>
      </w:pPr>
    </w:p>
    <w:p w14:paraId="41BCD821" w14:textId="01999C29" w:rsidR="0060066A" w:rsidRPr="0060066A" w:rsidRDefault="0060066A" w:rsidP="002742AE">
      <w:pPr>
        <w:jc w:val="center"/>
        <w:rPr>
          <w:b/>
          <w:sz w:val="28"/>
          <w:szCs w:val="28"/>
        </w:rPr>
      </w:pPr>
      <w:r w:rsidRPr="0060066A">
        <w:rPr>
          <w:b/>
          <w:sz w:val="28"/>
          <w:szCs w:val="28"/>
        </w:rPr>
        <w:t>Pārskats par izpildi</w:t>
      </w:r>
    </w:p>
    <w:p w14:paraId="23CA3344" w14:textId="77777777" w:rsidR="002742AE" w:rsidRDefault="002742AE" w:rsidP="002742AE">
      <w:pPr>
        <w:pStyle w:val="Heading1"/>
        <w:spacing w:before="0" w:beforeAutospacing="0" w:after="0" w:afterAutospacing="0"/>
        <w:jc w:val="center"/>
        <w:rPr>
          <w:sz w:val="32"/>
          <w:szCs w:val="32"/>
          <w:lang w:val="lv-LV"/>
        </w:rPr>
      </w:pPr>
      <w:bookmarkStart w:id="1" w:name="_Toc524977644"/>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C703D7" w:rsidRPr="001B1DB1" w14:paraId="3C3BF6E2" w14:textId="77777777" w:rsidTr="009744C5">
        <w:tc>
          <w:tcPr>
            <w:tcW w:w="4395" w:type="dxa"/>
            <w:gridSpan w:val="2"/>
          </w:tcPr>
          <w:p w14:paraId="07C11610" w14:textId="77777777" w:rsidR="00C703D7" w:rsidRPr="001B1DB1" w:rsidRDefault="00C703D7" w:rsidP="009744C5">
            <w:pPr>
              <w:rPr>
                <w:rFonts w:cs="Times New Roman"/>
                <w:b/>
                <w:bCs/>
                <w:sz w:val="20"/>
                <w:szCs w:val="20"/>
              </w:rPr>
            </w:pPr>
            <w:bookmarkStart w:id="2" w:name="_Toc524977649"/>
            <w:bookmarkEnd w:id="1"/>
            <w:r w:rsidRPr="001B1DB1">
              <w:rPr>
                <w:rFonts w:cs="Times New Roman"/>
                <w:b/>
                <w:bCs/>
                <w:sz w:val="20"/>
                <w:szCs w:val="20"/>
              </w:rPr>
              <w:t>Rīcības virziens</w:t>
            </w:r>
          </w:p>
        </w:tc>
        <w:tc>
          <w:tcPr>
            <w:tcW w:w="10631" w:type="dxa"/>
            <w:gridSpan w:val="6"/>
          </w:tcPr>
          <w:p w14:paraId="15781EA2" w14:textId="77777777" w:rsidR="00C703D7" w:rsidRPr="001B1DB1" w:rsidRDefault="00C703D7" w:rsidP="009744C5">
            <w:pPr>
              <w:jc w:val="both"/>
              <w:rPr>
                <w:rFonts w:cs="Times New Roman"/>
                <w:b/>
                <w:bCs/>
                <w:sz w:val="20"/>
                <w:szCs w:val="20"/>
              </w:rPr>
            </w:pPr>
            <w:r w:rsidRPr="001B1DB1">
              <w:rPr>
                <w:rFonts w:cs="Times New Roman"/>
                <w:b/>
                <w:bCs/>
                <w:sz w:val="20"/>
                <w:szCs w:val="20"/>
              </w:rPr>
              <w:t>RISKI, POLITIKA UN KOORDINĀCIJA</w:t>
            </w:r>
          </w:p>
        </w:tc>
      </w:tr>
      <w:tr w:rsidR="00653158" w:rsidRPr="001B1DB1" w14:paraId="00908A47" w14:textId="77777777" w:rsidTr="009744C5">
        <w:tc>
          <w:tcPr>
            <w:tcW w:w="4395" w:type="dxa"/>
            <w:gridSpan w:val="2"/>
          </w:tcPr>
          <w:p w14:paraId="637B0142" w14:textId="1D0C286D"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Pr>
          <w:p w14:paraId="00EC33EC" w14:textId="77777777" w:rsidR="00653158" w:rsidRPr="001B1DB1" w:rsidRDefault="00653158" w:rsidP="002C489F">
            <w:pPr>
              <w:jc w:val="both"/>
              <w:rPr>
                <w:rFonts w:cs="Times New Roman"/>
                <w:b/>
                <w:bCs/>
                <w:sz w:val="20"/>
                <w:szCs w:val="20"/>
              </w:rPr>
            </w:pPr>
            <w:r w:rsidRPr="001B1DB1">
              <w:rPr>
                <w:rFonts w:cs="Times New Roman"/>
                <w:b/>
                <w:bCs/>
                <w:sz w:val="20"/>
                <w:szCs w:val="20"/>
              </w:rPr>
              <w:t>NILLTPF riski tiek izprasti, un valsts līmenī tiek koordinēta rīcība NILLTPF novēršanai.</w:t>
            </w:r>
          </w:p>
        </w:tc>
      </w:tr>
      <w:tr w:rsidR="00C703D7" w:rsidRPr="001B1DB1" w14:paraId="549D90E1" w14:textId="77777777" w:rsidTr="009744C5">
        <w:trPr>
          <w:trHeight w:val="543"/>
        </w:trPr>
        <w:tc>
          <w:tcPr>
            <w:tcW w:w="709" w:type="dxa"/>
          </w:tcPr>
          <w:p w14:paraId="44157958"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06DD091D"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68B3441F"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40494802"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565C3A09"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2B2B45C9"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3620F3AE"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293134E0"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5FC646F8"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670659" w:rsidRPr="001B1DB1" w14:paraId="19D18118" w14:textId="77777777" w:rsidTr="00002D3D">
        <w:trPr>
          <w:trHeight w:val="543"/>
        </w:trPr>
        <w:tc>
          <w:tcPr>
            <w:tcW w:w="709" w:type="dxa"/>
          </w:tcPr>
          <w:p w14:paraId="411B7A67" w14:textId="77777777" w:rsidR="00670659" w:rsidRPr="001B1DB1" w:rsidRDefault="00670659" w:rsidP="00670659">
            <w:pPr>
              <w:jc w:val="center"/>
              <w:rPr>
                <w:rFonts w:cs="Times New Roman"/>
                <w:bCs/>
                <w:sz w:val="20"/>
                <w:szCs w:val="20"/>
              </w:rPr>
            </w:pPr>
            <w:r w:rsidRPr="001B1DB1">
              <w:rPr>
                <w:rFonts w:cs="Times New Roman"/>
                <w:bCs/>
                <w:sz w:val="20"/>
                <w:szCs w:val="20"/>
              </w:rPr>
              <w:t>1.2.</w:t>
            </w:r>
          </w:p>
        </w:tc>
        <w:tc>
          <w:tcPr>
            <w:tcW w:w="3686" w:type="dxa"/>
            <w:shd w:val="clear" w:color="auto" w:fill="auto"/>
          </w:tcPr>
          <w:p w14:paraId="563387ED" w14:textId="5A29C3A1" w:rsidR="00670659" w:rsidRPr="001B1DB1" w:rsidRDefault="00670659" w:rsidP="00797DB3">
            <w:pPr>
              <w:jc w:val="both"/>
              <w:rPr>
                <w:sz w:val="20"/>
                <w:szCs w:val="20"/>
              </w:rPr>
            </w:pPr>
            <w:r w:rsidRPr="001B1DB1">
              <w:rPr>
                <w:rFonts w:cs="Times New Roman"/>
                <w:sz w:val="20"/>
                <w:szCs w:val="20"/>
              </w:rPr>
              <w:t xml:space="preserve">Veikt Nacionālo </w:t>
            </w:r>
            <w:r w:rsidRPr="001B1DB1">
              <w:rPr>
                <w:sz w:val="20"/>
                <w:szCs w:val="20"/>
              </w:rPr>
              <w:t xml:space="preserve">NILLTPF </w:t>
            </w:r>
            <w:r w:rsidRPr="001B1DB1">
              <w:rPr>
                <w:rFonts w:cs="Times New Roman"/>
                <w:sz w:val="20"/>
                <w:szCs w:val="20"/>
              </w:rPr>
              <w:t>risku novērtējumu par 2017.-2019.</w:t>
            </w:r>
            <w:r>
              <w:rPr>
                <w:rFonts w:cs="Times New Roman"/>
                <w:sz w:val="20"/>
                <w:szCs w:val="20"/>
              </w:rPr>
              <w:t xml:space="preserve"> un 2020.-2022. </w:t>
            </w:r>
            <w:r w:rsidRPr="001B1DB1">
              <w:rPr>
                <w:rFonts w:cs="Times New Roman"/>
                <w:sz w:val="20"/>
                <w:szCs w:val="20"/>
              </w:rPr>
              <w:t>gad</w:t>
            </w:r>
            <w:r>
              <w:rPr>
                <w:rFonts w:cs="Times New Roman"/>
                <w:sz w:val="20"/>
                <w:szCs w:val="20"/>
              </w:rPr>
              <w:t>u</w:t>
            </w:r>
            <w:r w:rsidRPr="001B1DB1">
              <w:rPr>
                <w:rFonts w:cs="Times New Roman"/>
                <w:sz w:val="20"/>
                <w:szCs w:val="20"/>
              </w:rPr>
              <w:t>.</w:t>
            </w:r>
          </w:p>
        </w:tc>
        <w:tc>
          <w:tcPr>
            <w:tcW w:w="1559" w:type="dxa"/>
          </w:tcPr>
          <w:p w14:paraId="11F26605" w14:textId="5E3483CB" w:rsidR="00670659" w:rsidRPr="001B1DB1" w:rsidRDefault="00670659" w:rsidP="00670659">
            <w:pPr>
              <w:rPr>
                <w:rFonts w:cs="Times New Roman"/>
                <w:sz w:val="20"/>
                <w:szCs w:val="20"/>
              </w:rPr>
            </w:pPr>
            <w:r w:rsidRPr="001B1DB1">
              <w:rPr>
                <w:rFonts w:cs="Times New Roman"/>
                <w:sz w:val="20"/>
                <w:szCs w:val="20"/>
              </w:rPr>
              <w:t>FATF IO</w:t>
            </w:r>
            <w:r w:rsidR="001209FF">
              <w:rPr>
                <w:rFonts w:cs="Times New Roman"/>
                <w:sz w:val="20"/>
                <w:szCs w:val="20"/>
              </w:rPr>
              <w:t xml:space="preserve"> </w:t>
            </w:r>
            <w:r w:rsidRPr="001B1DB1">
              <w:rPr>
                <w:rFonts w:cs="Times New Roman"/>
                <w:sz w:val="20"/>
                <w:szCs w:val="20"/>
              </w:rPr>
              <w:t xml:space="preserve">1 </w:t>
            </w:r>
            <w:r>
              <w:rPr>
                <w:rFonts w:cs="Times New Roman"/>
                <w:sz w:val="20"/>
                <w:szCs w:val="20"/>
              </w:rPr>
              <w:t>-</w:t>
            </w:r>
            <w:r w:rsidRPr="001B1DB1">
              <w:rPr>
                <w:rFonts w:cs="Times New Roman"/>
                <w:sz w:val="20"/>
                <w:szCs w:val="20"/>
              </w:rPr>
              <w:t>1.1.</w:t>
            </w:r>
            <w:r>
              <w:rPr>
                <w:rFonts w:cs="Times New Roman"/>
                <w:sz w:val="20"/>
                <w:szCs w:val="20"/>
              </w:rPr>
              <w:t xml:space="preserve"> </w:t>
            </w:r>
            <w:r w:rsidRPr="000950D9">
              <w:rPr>
                <w:rFonts w:cs="Times New Roman"/>
                <w:sz w:val="20"/>
                <w:szCs w:val="20"/>
              </w:rPr>
              <w:t>pamatjautājums</w:t>
            </w:r>
            <w:r>
              <w:rPr>
                <w:rFonts w:cs="Times New Roman"/>
                <w:sz w:val="20"/>
                <w:szCs w:val="20"/>
              </w:rPr>
              <w:t>.</w:t>
            </w:r>
          </w:p>
          <w:p w14:paraId="1B4075E8" w14:textId="77777777" w:rsidR="00670659" w:rsidRPr="001B1DB1" w:rsidRDefault="00670659" w:rsidP="00670659">
            <w:pPr>
              <w:rPr>
                <w:sz w:val="20"/>
                <w:szCs w:val="20"/>
              </w:rPr>
            </w:pPr>
          </w:p>
        </w:tc>
        <w:tc>
          <w:tcPr>
            <w:tcW w:w="2551" w:type="dxa"/>
            <w:shd w:val="clear" w:color="auto" w:fill="auto"/>
          </w:tcPr>
          <w:p w14:paraId="12F7FF94" w14:textId="77777777" w:rsidR="00670659" w:rsidRPr="001B1DB1" w:rsidRDefault="00670659" w:rsidP="00670659">
            <w:pPr>
              <w:jc w:val="both"/>
              <w:rPr>
                <w:rFonts w:cs="Times New Roman"/>
                <w:sz w:val="20"/>
                <w:szCs w:val="20"/>
              </w:rPr>
            </w:pPr>
            <w:r w:rsidRPr="001B1DB1">
              <w:rPr>
                <w:rFonts w:cs="Times New Roman"/>
                <w:sz w:val="20"/>
                <w:szCs w:val="20"/>
              </w:rPr>
              <w:t xml:space="preserve">Identificēti, novērtēti un izprasti Latvijai piemītošie </w:t>
            </w:r>
            <w:r w:rsidRPr="001B1DB1">
              <w:rPr>
                <w:sz w:val="20"/>
                <w:szCs w:val="20"/>
              </w:rPr>
              <w:t xml:space="preserve">NILLTPF </w:t>
            </w:r>
            <w:r w:rsidRPr="001B1DB1">
              <w:rPr>
                <w:rFonts w:cs="Times New Roman"/>
                <w:sz w:val="20"/>
                <w:szCs w:val="20"/>
              </w:rPr>
              <w:t>riski.</w:t>
            </w:r>
          </w:p>
        </w:tc>
        <w:tc>
          <w:tcPr>
            <w:tcW w:w="2694" w:type="dxa"/>
          </w:tcPr>
          <w:p w14:paraId="4F149061" w14:textId="2F2FCCD9" w:rsidR="00670659" w:rsidRPr="001B1DB1" w:rsidRDefault="00670659" w:rsidP="00670659">
            <w:pPr>
              <w:jc w:val="both"/>
              <w:rPr>
                <w:rFonts w:cs="Times New Roman"/>
                <w:sz w:val="20"/>
                <w:szCs w:val="20"/>
              </w:rPr>
            </w:pPr>
            <w:r>
              <w:rPr>
                <w:rFonts w:cs="Times New Roman"/>
                <w:sz w:val="20"/>
                <w:szCs w:val="20"/>
              </w:rPr>
              <w:t>1.</w:t>
            </w:r>
            <w:r w:rsidRPr="001B1DB1">
              <w:rPr>
                <w:rFonts w:cs="Times New Roman"/>
                <w:sz w:val="20"/>
                <w:szCs w:val="20"/>
              </w:rPr>
              <w:t xml:space="preserve"> Izstrādāts Nacionālais NILLTPF risku novērtējums par 2017.-2019.gadu.</w:t>
            </w:r>
          </w:p>
        </w:tc>
        <w:tc>
          <w:tcPr>
            <w:tcW w:w="1134" w:type="dxa"/>
            <w:shd w:val="clear" w:color="auto" w:fill="auto"/>
          </w:tcPr>
          <w:p w14:paraId="62F3BB3E" w14:textId="57D26311" w:rsidR="00670659" w:rsidRPr="001B1DB1" w:rsidRDefault="00670659" w:rsidP="00670659">
            <w:pPr>
              <w:jc w:val="center"/>
              <w:rPr>
                <w:sz w:val="20"/>
                <w:szCs w:val="20"/>
              </w:rPr>
            </w:pPr>
            <w:r w:rsidRPr="001B1DB1">
              <w:rPr>
                <w:rFonts w:cs="Times New Roman"/>
                <w:sz w:val="20"/>
                <w:szCs w:val="20"/>
              </w:rPr>
              <w:t>FID</w:t>
            </w:r>
          </w:p>
        </w:tc>
        <w:tc>
          <w:tcPr>
            <w:tcW w:w="1275" w:type="dxa"/>
            <w:shd w:val="clear" w:color="auto" w:fill="auto"/>
          </w:tcPr>
          <w:p w14:paraId="3B6329D7" w14:textId="1DC49163" w:rsidR="00670659" w:rsidRPr="001B1DB1" w:rsidRDefault="00670659" w:rsidP="00670659">
            <w:pPr>
              <w:jc w:val="center"/>
              <w:rPr>
                <w:sz w:val="20"/>
                <w:szCs w:val="20"/>
              </w:rPr>
            </w:pPr>
            <w:r w:rsidRPr="001B1DB1">
              <w:rPr>
                <w:rFonts w:cs="Times New Roman"/>
                <w:sz w:val="20"/>
                <w:szCs w:val="20"/>
              </w:rPr>
              <w:t xml:space="preserve">FKTK, VID, LB, IAUI, LZAP, LZNP, LZRA, NKMP, PTAC, </w:t>
            </w:r>
            <w:r>
              <w:rPr>
                <w:sz w:val="20"/>
                <w:szCs w:val="20"/>
              </w:rPr>
              <w:t>LSMPAA</w:t>
            </w:r>
            <w:r>
              <w:rPr>
                <w:rFonts w:cs="Times New Roman"/>
                <w:sz w:val="20"/>
                <w:szCs w:val="20"/>
              </w:rPr>
              <w:t xml:space="preserve">, </w:t>
            </w:r>
            <w:r w:rsidR="00171A05">
              <w:rPr>
                <w:rFonts w:cs="Times New Roman"/>
                <w:sz w:val="20"/>
                <w:szCs w:val="20"/>
              </w:rPr>
              <w:t xml:space="preserve">MKD, </w:t>
            </w:r>
            <w:r w:rsidRPr="001B1DB1">
              <w:rPr>
                <w:rFonts w:cs="Times New Roman"/>
                <w:sz w:val="20"/>
                <w:szCs w:val="20"/>
              </w:rPr>
              <w:t>VP, KNA</w:t>
            </w:r>
            <w:r>
              <w:rPr>
                <w:rFonts w:cs="Times New Roman"/>
                <w:sz w:val="20"/>
                <w:szCs w:val="20"/>
              </w:rPr>
              <w:t>B</w:t>
            </w:r>
            <w:r w:rsidRPr="001B1DB1">
              <w:rPr>
                <w:rFonts w:cs="Times New Roman"/>
                <w:sz w:val="20"/>
                <w:szCs w:val="20"/>
              </w:rPr>
              <w:t>, VDD, ĢP, IeM, FM, TM, ĀM</w:t>
            </w:r>
          </w:p>
        </w:tc>
        <w:tc>
          <w:tcPr>
            <w:tcW w:w="1418" w:type="dxa"/>
            <w:shd w:val="clear" w:color="auto" w:fill="auto"/>
          </w:tcPr>
          <w:p w14:paraId="664901A8" w14:textId="346182B6" w:rsidR="00670659" w:rsidRPr="001B1DB1" w:rsidRDefault="00670659" w:rsidP="00670659">
            <w:pPr>
              <w:jc w:val="center"/>
              <w:rPr>
                <w:rFonts w:cs="Times New Roman"/>
                <w:bCs/>
                <w:sz w:val="20"/>
                <w:szCs w:val="20"/>
              </w:rPr>
            </w:pPr>
            <w:r w:rsidRPr="001B1DB1">
              <w:rPr>
                <w:rFonts w:cs="Times New Roman"/>
                <w:sz w:val="20"/>
                <w:szCs w:val="20"/>
              </w:rPr>
              <w:t>31.12.2020.</w:t>
            </w:r>
          </w:p>
        </w:tc>
      </w:tr>
      <w:tr w:rsidR="00687000" w:rsidRPr="001B1DB1" w14:paraId="1743ADC3" w14:textId="77777777" w:rsidTr="00455822">
        <w:trPr>
          <w:trHeight w:val="543"/>
        </w:trPr>
        <w:tc>
          <w:tcPr>
            <w:tcW w:w="15026" w:type="dxa"/>
            <w:gridSpan w:val="8"/>
          </w:tcPr>
          <w:p w14:paraId="466D5474" w14:textId="77777777" w:rsidR="00687000" w:rsidRDefault="00A02E44" w:rsidP="00A02E44">
            <w:pPr>
              <w:jc w:val="both"/>
              <w:rPr>
                <w:rFonts w:cs="Times New Roman"/>
                <w:b/>
                <w:bCs/>
                <w:sz w:val="20"/>
                <w:szCs w:val="20"/>
              </w:rPr>
            </w:pPr>
            <w:r w:rsidRPr="001B1DB1">
              <w:rPr>
                <w:rFonts w:cs="Times New Roman"/>
                <w:b/>
                <w:bCs/>
                <w:sz w:val="20"/>
                <w:szCs w:val="20"/>
              </w:rPr>
              <w:t>Izpilde</w:t>
            </w:r>
          </w:p>
          <w:p w14:paraId="35F8723F" w14:textId="655E1E99" w:rsidR="00903FE5" w:rsidRPr="001B1DB1" w:rsidRDefault="00903FE5" w:rsidP="00B441B8">
            <w:pPr>
              <w:jc w:val="both"/>
              <w:rPr>
                <w:rFonts w:cs="Times New Roman"/>
                <w:sz w:val="20"/>
                <w:szCs w:val="20"/>
              </w:rPr>
            </w:pPr>
            <w:r w:rsidRPr="00903FE5">
              <w:rPr>
                <w:rFonts w:cs="Times New Roman"/>
                <w:sz w:val="20"/>
                <w:szCs w:val="20"/>
              </w:rPr>
              <w:t xml:space="preserve">2020. gada nogalē FID vadībā sadarbībā ar līdzatbildīgajām institūcijām tika pabeigta </w:t>
            </w:r>
            <w:r w:rsidR="00B441B8" w:rsidRPr="00B441B8">
              <w:rPr>
                <w:rFonts w:cs="Times New Roman"/>
                <w:sz w:val="20"/>
                <w:szCs w:val="20"/>
              </w:rPr>
              <w:t>Nacionāl</w:t>
            </w:r>
            <w:r w:rsidR="00B441B8">
              <w:rPr>
                <w:rFonts w:cs="Times New Roman"/>
                <w:sz w:val="20"/>
                <w:szCs w:val="20"/>
              </w:rPr>
              <w:t>ā</w:t>
            </w:r>
            <w:r w:rsidR="00B441B8" w:rsidRPr="00B441B8">
              <w:rPr>
                <w:rFonts w:cs="Times New Roman"/>
                <w:sz w:val="20"/>
                <w:szCs w:val="20"/>
              </w:rPr>
              <w:t xml:space="preserve"> NILLTPF risku novērtēšanas ziņojum</w:t>
            </w:r>
            <w:r w:rsidR="00B441B8">
              <w:rPr>
                <w:rFonts w:cs="Times New Roman"/>
                <w:sz w:val="20"/>
                <w:szCs w:val="20"/>
              </w:rPr>
              <w:t>a</w:t>
            </w:r>
            <w:r w:rsidR="00B441B8" w:rsidRPr="00B441B8">
              <w:rPr>
                <w:rFonts w:cs="Times New Roman"/>
                <w:sz w:val="20"/>
                <w:szCs w:val="20"/>
              </w:rPr>
              <w:t xml:space="preserve"> par 2017. – 2019. gadu</w:t>
            </w:r>
            <w:r w:rsidRPr="00903FE5">
              <w:rPr>
                <w:rFonts w:cs="Times New Roman"/>
                <w:sz w:val="20"/>
                <w:szCs w:val="20"/>
              </w:rPr>
              <w:t xml:space="preserve"> izstrāde.</w:t>
            </w:r>
            <w:r w:rsidR="00B441B8">
              <w:rPr>
                <w:rFonts w:cs="Times New Roman"/>
                <w:sz w:val="20"/>
                <w:szCs w:val="20"/>
              </w:rPr>
              <w:t xml:space="preserve"> Z</w:t>
            </w:r>
            <w:r w:rsidRPr="00903FE5">
              <w:rPr>
                <w:rFonts w:cs="Times New Roman"/>
                <w:sz w:val="20"/>
                <w:szCs w:val="20"/>
              </w:rPr>
              <w:t>iņojums ir pieejams visiem interesentiem pēc tā pieprasīšanas FID.</w:t>
            </w:r>
            <w:r w:rsidR="00B441B8">
              <w:rPr>
                <w:rFonts w:cs="Times New Roman"/>
                <w:sz w:val="20"/>
                <w:szCs w:val="20"/>
              </w:rPr>
              <w:t xml:space="preserve"> </w:t>
            </w:r>
            <w:r w:rsidRPr="00903FE5">
              <w:rPr>
                <w:rFonts w:cs="Times New Roman"/>
                <w:sz w:val="20"/>
                <w:szCs w:val="20"/>
              </w:rPr>
              <w:t>Savukārt ziņojuma kopsavilkums 2021. gada martā tika publicēts FID tīmekļa vietnē</w:t>
            </w:r>
            <w:r w:rsidR="00B441B8">
              <w:rPr>
                <w:rFonts w:cs="Times New Roman"/>
                <w:sz w:val="20"/>
                <w:szCs w:val="20"/>
              </w:rPr>
              <w:t xml:space="preserve">, </w:t>
            </w:r>
            <w:r w:rsidRPr="00903FE5">
              <w:rPr>
                <w:rFonts w:cs="Times New Roman"/>
                <w:sz w:val="20"/>
                <w:szCs w:val="20"/>
              </w:rPr>
              <w:t>pieejama arī dokumenta redakcija angļu valodā.</w:t>
            </w:r>
          </w:p>
        </w:tc>
      </w:tr>
      <w:tr w:rsidR="00B56E27" w:rsidRPr="001B1DB1" w14:paraId="5C2F9DD1" w14:textId="77777777" w:rsidTr="00C135AB">
        <w:trPr>
          <w:trHeight w:val="384"/>
        </w:trPr>
        <w:tc>
          <w:tcPr>
            <w:tcW w:w="709" w:type="dxa"/>
          </w:tcPr>
          <w:p w14:paraId="4ADBE067" w14:textId="01329395" w:rsidR="00B56E27" w:rsidRPr="001B1DB1" w:rsidRDefault="00B56E27" w:rsidP="00B56E27">
            <w:pPr>
              <w:jc w:val="center"/>
              <w:rPr>
                <w:rFonts w:cs="Times New Roman"/>
                <w:bCs/>
                <w:sz w:val="20"/>
                <w:szCs w:val="20"/>
              </w:rPr>
            </w:pPr>
            <w:r>
              <w:rPr>
                <w:rFonts w:cs="Times New Roman"/>
                <w:bCs/>
                <w:sz w:val="20"/>
                <w:szCs w:val="20"/>
              </w:rPr>
              <w:t>1.9.</w:t>
            </w:r>
          </w:p>
        </w:tc>
        <w:tc>
          <w:tcPr>
            <w:tcW w:w="3686" w:type="dxa"/>
            <w:shd w:val="clear" w:color="auto" w:fill="auto"/>
          </w:tcPr>
          <w:p w14:paraId="703C9F84" w14:textId="0C546A6A" w:rsidR="00B56E27" w:rsidRPr="00817435" w:rsidRDefault="00B56E27" w:rsidP="00B56E27">
            <w:pPr>
              <w:jc w:val="both"/>
              <w:rPr>
                <w:bCs/>
                <w:sz w:val="20"/>
                <w:szCs w:val="20"/>
              </w:rPr>
            </w:pPr>
            <w:r>
              <w:rPr>
                <w:sz w:val="20"/>
                <w:szCs w:val="20"/>
              </w:rPr>
              <w:t>Uzlabot Latvijas finanšu sektora starptautisko reputāciju.</w:t>
            </w:r>
          </w:p>
        </w:tc>
        <w:tc>
          <w:tcPr>
            <w:tcW w:w="1559" w:type="dxa"/>
          </w:tcPr>
          <w:p w14:paraId="60C06B76" w14:textId="77777777" w:rsidR="00B56E27" w:rsidRPr="001B1DB1" w:rsidRDefault="00B56E27" w:rsidP="00B56E27">
            <w:pPr>
              <w:rPr>
                <w:rFonts w:cs="Times New Roman"/>
                <w:sz w:val="20"/>
                <w:szCs w:val="20"/>
              </w:rPr>
            </w:pPr>
          </w:p>
        </w:tc>
        <w:tc>
          <w:tcPr>
            <w:tcW w:w="2551" w:type="dxa"/>
            <w:shd w:val="clear" w:color="auto" w:fill="auto"/>
          </w:tcPr>
          <w:p w14:paraId="50E765E8" w14:textId="1D83093A" w:rsidR="00B56E27" w:rsidRPr="001B1DB1" w:rsidRDefault="00B56E27" w:rsidP="00B56E27">
            <w:pPr>
              <w:jc w:val="both"/>
              <w:rPr>
                <w:sz w:val="20"/>
                <w:szCs w:val="20"/>
              </w:rPr>
            </w:pPr>
            <w:r w:rsidRPr="00F61425">
              <w:rPr>
                <w:sz w:val="20"/>
                <w:szCs w:val="20"/>
              </w:rPr>
              <w:t>Iepirkt</w:t>
            </w:r>
            <w:r>
              <w:rPr>
                <w:sz w:val="20"/>
                <w:szCs w:val="20"/>
              </w:rPr>
              <w:t>i komunikācijas pakalpojumi</w:t>
            </w:r>
            <w:r w:rsidRPr="00F61425">
              <w:rPr>
                <w:sz w:val="20"/>
                <w:szCs w:val="20"/>
              </w:rPr>
              <w:t xml:space="preserve"> Latvijas finanšu sektora starptautiskās </w:t>
            </w:r>
            <w:r w:rsidRPr="00F61425">
              <w:rPr>
                <w:sz w:val="20"/>
                <w:szCs w:val="20"/>
              </w:rPr>
              <w:lastRenderedPageBreak/>
              <w:t>reputācijas uzlabošanai, ko nav iespējams īstenot ar valsts</w:t>
            </w:r>
            <w:r>
              <w:rPr>
                <w:sz w:val="20"/>
                <w:szCs w:val="20"/>
              </w:rPr>
              <w:t xml:space="preserve"> pārvaldes iekšējiem resursiem.</w:t>
            </w:r>
          </w:p>
        </w:tc>
        <w:tc>
          <w:tcPr>
            <w:tcW w:w="2694" w:type="dxa"/>
          </w:tcPr>
          <w:p w14:paraId="583D5F87" w14:textId="4705B533" w:rsidR="00B56E27" w:rsidRPr="00053D97" w:rsidRDefault="00B56E27" w:rsidP="00B56E27">
            <w:pPr>
              <w:jc w:val="both"/>
              <w:rPr>
                <w:sz w:val="20"/>
                <w:szCs w:val="20"/>
              </w:rPr>
            </w:pPr>
            <w:r w:rsidRPr="009F2A56">
              <w:rPr>
                <w:sz w:val="20"/>
                <w:szCs w:val="20"/>
              </w:rPr>
              <w:lastRenderedPageBreak/>
              <w:t xml:space="preserve">Regulāri sagatavots  un nosūtīts finanšu sektora apkārtraksts angļu un latviešu </w:t>
            </w:r>
            <w:r w:rsidRPr="009F2A56">
              <w:rPr>
                <w:sz w:val="20"/>
                <w:szCs w:val="20"/>
              </w:rPr>
              <w:lastRenderedPageBreak/>
              <w:t>valodā, pilnveidots apkārtraksta saturs, saņēmēju loks un izplatīšanas efektivitāte.</w:t>
            </w:r>
            <w:r>
              <w:rPr>
                <w:sz w:val="20"/>
                <w:szCs w:val="20"/>
              </w:rPr>
              <w:t xml:space="preserve"> </w:t>
            </w:r>
            <w:r w:rsidRPr="009F2A56">
              <w:rPr>
                <w:sz w:val="20"/>
                <w:szCs w:val="20"/>
              </w:rPr>
              <w:t>Izstrādāts komunikācijas produkts, regulāri atjaunots un tulkots uz angļu vai latviešu valodu (atbildes uz jautājumiem angļu valodā un citi komunikācijas materiāli).</w:t>
            </w:r>
          </w:p>
        </w:tc>
        <w:tc>
          <w:tcPr>
            <w:tcW w:w="1134" w:type="dxa"/>
            <w:shd w:val="clear" w:color="auto" w:fill="auto"/>
          </w:tcPr>
          <w:p w14:paraId="4586AD9C" w14:textId="41052D6C" w:rsidR="00B56E27" w:rsidRPr="001B1DB1" w:rsidRDefault="00B56E27" w:rsidP="00B56E27">
            <w:pPr>
              <w:jc w:val="center"/>
              <w:rPr>
                <w:sz w:val="20"/>
                <w:szCs w:val="20"/>
              </w:rPr>
            </w:pPr>
            <w:r>
              <w:rPr>
                <w:sz w:val="20"/>
                <w:szCs w:val="20"/>
              </w:rPr>
              <w:lastRenderedPageBreak/>
              <w:t>VK</w:t>
            </w:r>
          </w:p>
        </w:tc>
        <w:tc>
          <w:tcPr>
            <w:tcW w:w="1275" w:type="dxa"/>
            <w:shd w:val="clear" w:color="auto" w:fill="auto"/>
          </w:tcPr>
          <w:p w14:paraId="5ABF2545" w14:textId="7EAC59C1" w:rsidR="00B56E27" w:rsidRPr="007325CA" w:rsidRDefault="00B56E27" w:rsidP="00B56E27">
            <w:pPr>
              <w:jc w:val="center"/>
              <w:rPr>
                <w:sz w:val="20"/>
                <w:szCs w:val="20"/>
              </w:rPr>
            </w:pPr>
            <w:r>
              <w:rPr>
                <w:sz w:val="20"/>
                <w:szCs w:val="20"/>
              </w:rPr>
              <w:t>Finanšu sektora komunikācij</w:t>
            </w:r>
            <w:r>
              <w:rPr>
                <w:sz w:val="20"/>
                <w:szCs w:val="20"/>
              </w:rPr>
              <w:lastRenderedPageBreak/>
              <w:t>as koordinācijas grupa</w:t>
            </w:r>
          </w:p>
        </w:tc>
        <w:tc>
          <w:tcPr>
            <w:tcW w:w="1418" w:type="dxa"/>
            <w:shd w:val="clear" w:color="auto" w:fill="auto"/>
          </w:tcPr>
          <w:p w14:paraId="72059B9C" w14:textId="34FC32EE" w:rsidR="00B56E27" w:rsidRPr="001B1DB1" w:rsidRDefault="00B56E27" w:rsidP="00B56E27">
            <w:pPr>
              <w:jc w:val="center"/>
              <w:rPr>
                <w:sz w:val="20"/>
                <w:szCs w:val="20"/>
              </w:rPr>
            </w:pPr>
            <w:r>
              <w:rPr>
                <w:rFonts w:cs="Times New Roman"/>
                <w:bCs/>
                <w:sz w:val="20"/>
                <w:szCs w:val="20"/>
              </w:rPr>
              <w:lastRenderedPageBreak/>
              <w:t>31.12.2020.</w:t>
            </w:r>
          </w:p>
        </w:tc>
      </w:tr>
      <w:tr w:rsidR="00B56E27" w:rsidRPr="001B1DB1" w14:paraId="09C48914" w14:textId="77777777" w:rsidTr="000D3F92">
        <w:trPr>
          <w:trHeight w:val="384"/>
        </w:trPr>
        <w:tc>
          <w:tcPr>
            <w:tcW w:w="15026" w:type="dxa"/>
            <w:gridSpan w:val="8"/>
          </w:tcPr>
          <w:p w14:paraId="508A837D" w14:textId="77777777" w:rsidR="00B56E27" w:rsidRDefault="00B56E27" w:rsidP="00B56E27">
            <w:pPr>
              <w:jc w:val="both"/>
              <w:rPr>
                <w:rFonts w:cs="Times New Roman"/>
                <w:b/>
                <w:bCs/>
                <w:sz w:val="20"/>
                <w:szCs w:val="20"/>
              </w:rPr>
            </w:pPr>
            <w:r w:rsidRPr="001B1DB1">
              <w:rPr>
                <w:rFonts w:cs="Times New Roman"/>
                <w:b/>
                <w:bCs/>
                <w:sz w:val="20"/>
                <w:szCs w:val="20"/>
              </w:rPr>
              <w:t>Izpilde</w:t>
            </w:r>
          </w:p>
          <w:p w14:paraId="75AD05CD" w14:textId="002A1204" w:rsidR="009F2986" w:rsidRDefault="009F2986" w:rsidP="009F2986">
            <w:pPr>
              <w:jc w:val="both"/>
              <w:rPr>
                <w:rFonts w:cs="Times New Roman"/>
                <w:bCs/>
                <w:sz w:val="20"/>
                <w:szCs w:val="20"/>
              </w:rPr>
            </w:pPr>
            <w:r w:rsidRPr="00F15FC6">
              <w:rPr>
                <w:rFonts w:cs="Times New Roman"/>
                <w:bCs/>
                <w:sz w:val="20"/>
                <w:szCs w:val="20"/>
              </w:rPr>
              <w:t xml:space="preserve">Lai uzlabotu Latvijas finanšu sektora reputāciju, sagatavoti un izsūtīti Latvijas un starptautiskiem adresātiem trīs finanšu sektora apkārtraksti latviešu un angļu valodās, kas skaidro Latvijas </w:t>
            </w:r>
            <w:r w:rsidR="00943EA7">
              <w:rPr>
                <w:rFonts w:cs="Times New Roman"/>
                <w:bCs/>
                <w:sz w:val="20"/>
                <w:szCs w:val="20"/>
              </w:rPr>
              <w:t>r</w:t>
            </w:r>
            <w:r w:rsidRPr="00F15FC6">
              <w:rPr>
                <w:rFonts w:cs="Times New Roman"/>
                <w:bCs/>
                <w:sz w:val="20"/>
                <w:szCs w:val="20"/>
              </w:rPr>
              <w:t xml:space="preserve">īcības plānu un paveikto </w:t>
            </w:r>
            <w:r w:rsidR="00943EA7" w:rsidRPr="00943EA7">
              <w:rPr>
                <w:rFonts w:cs="Times New Roman"/>
                <w:bCs/>
                <w:sz w:val="20"/>
                <w:szCs w:val="20"/>
              </w:rPr>
              <w:t xml:space="preserve">MONEYVAL </w:t>
            </w:r>
            <w:r w:rsidRPr="00F15FC6">
              <w:rPr>
                <w:rFonts w:cs="Times New Roman"/>
                <w:bCs/>
                <w:sz w:val="20"/>
                <w:szCs w:val="20"/>
              </w:rPr>
              <w:t>rekomendāciju ieviešanā un atbild uz aktuālajiem jautājumiem.</w:t>
            </w:r>
          </w:p>
        </w:tc>
      </w:tr>
      <w:tr w:rsidR="00B56E27" w:rsidRPr="001B1DB1" w14:paraId="1326A7AD" w14:textId="77777777" w:rsidTr="00C135AB">
        <w:trPr>
          <w:trHeight w:val="384"/>
        </w:trPr>
        <w:tc>
          <w:tcPr>
            <w:tcW w:w="709" w:type="dxa"/>
          </w:tcPr>
          <w:p w14:paraId="5770AA7E" w14:textId="5BD0DBBF" w:rsidR="00B56E27" w:rsidRPr="001B1DB1" w:rsidRDefault="00B56E27" w:rsidP="00B56E27">
            <w:pPr>
              <w:jc w:val="center"/>
              <w:rPr>
                <w:rFonts w:cs="Times New Roman"/>
                <w:bCs/>
                <w:sz w:val="20"/>
                <w:szCs w:val="20"/>
              </w:rPr>
            </w:pPr>
            <w:r w:rsidRPr="001B1DB1">
              <w:rPr>
                <w:rFonts w:cs="Times New Roman"/>
                <w:bCs/>
                <w:sz w:val="20"/>
                <w:szCs w:val="20"/>
              </w:rPr>
              <w:t>1.</w:t>
            </w:r>
            <w:r>
              <w:rPr>
                <w:rFonts w:cs="Times New Roman"/>
                <w:bCs/>
                <w:sz w:val="20"/>
                <w:szCs w:val="20"/>
              </w:rPr>
              <w:t>10</w:t>
            </w:r>
            <w:r w:rsidRPr="001B1DB1">
              <w:rPr>
                <w:rFonts w:cs="Times New Roman"/>
                <w:bCs/>
                <w:sz w:val="20"/>
                <w:szCs w:val="20"/>
              </w:rPr>
              <w:t>.</w:t>
            </w:r>
          </w:p>
        </w:tc>
        <w:tc>
          <w:tcPr>
            <w:tcW w:w="3686" w:type="dxa"/>
            <w:shd w:val="clear" w:color="auto" w:fill="auto"/>
          </w:tcPr>
          <w:p w14:paraId="184994C5" w14:textId="6D469DFF" w:rsidR="00B56E27" w:rsidRPr="00817435" w:rsidRDefault="00B56E27" w:rsidP="00B56E27">
            <w:pPr>
              <w:jc w:val="both"/>
              <w:rPr>
                <w:rFonts w:cs="Times New Roman"/>
                <w:sz w:val="20"/>
                <w:szCs w:val="20"/>
              </w:rPr>
            </w:pPr>
            <w:r w:rsidRPr="00817435">
              <w:rPr>
                <w:bCs/>
                <w:sz w:val="20"/>
                <w:szCs w:val="20"/>
              </w:rPr>
              <w:t xml:space="preserve">Pilnveidot </w:t>
            </w:r>
            <w:r>
              <w:rPr>
                <w:bCs/>
                <w:sz w:val="20"/>
                <w:szCs w:val="20"/>
              </w:rPr>
              <w:t>uz</w:t>
            </w:r>
            <w:r w:rsidRPr="00DE3A39">
              <w:rPr>
                <w:bCs/>
                <w:sz w:val="20"/>
                <w:szCs w:val="20"/>
              </w:rPr>
              <w:t xml:space="preserve"> risku </w:t>
            </w:r>
            <w:r>
              <w:rPr>
                <w:bCs/>
                <w:sz w:val="20"/>
                <w:szCs w:val="20"/>
              </w:rPr>
              <w:t>novērtējumu balstīto</w:t>
            </w:r>
            <w:r w:rsidRPr="00DE3A39">
              <w:rPr>
                <w:bCs/>
                <w:sz w:val="20"/>
                <w:szCs w:val="20"/>
              </w:rPr>
              <w:t xml:space="preserve"> </w:t>
            </w:r>
            <w:r w:rsidRPr="00817435">
              <w:rPr>
                <w:bCs/>
                <w:sz w:val="20"/>
                <w:szCs w:val="20"/>
              </w:rPr>
              <w:t xml:space="preserve">pieeju finanšu sektorā klientu sākotnējās izpētes procesā, lai novērstu finanšu pakalpojumu nepieejamību nepamatotas sadarbības uzsākšanas atteikumu gadījumos. </w:t>
            </w:r>
          </w:p>
        </w:tc>
        <w:tc>
          <w:tcPr>
            <w:tcW w:w="1559" w:type="dxa"/>
          </w:tcPr>
          <w:p w14:paraId="59DCF9BE" w14:textId="77777777" w:rsidR="00B56E27" w:rsidRPr="001B1DB1" w:rsidRDefault="00B56E27" w:rsidP="00B56E27">
            <w:pPr>
              <w:rPr>
                <w:rFonts w:cs="Times New Roman"/>
                <w:sz w:val="20"/>
                <w:szCs w:val="20"/>
              </w:rPr>
            </w:pPr>
          </w:p>
        </w:tc>
        <w:tc>
          <w:tcPr>
            <w:tcW w:w="2551" w:type="dxa"/>
            <w:shd w:val="clear" w:color="auto" w:fill="auto"/>
          </w:tcPr>
          <w:p w14:paraId="0D65E65D" w14:textId="53CC62F5" w:rsidR="00B56E27" w:rsidRPr="001B1DB1" w:rsidRDefault="00B56E27" w:rsidP="00B56E27">
            <w:pPr>
              <w:jc w:val="both"/>
              <w:rPr>
                <w:rFonts w:eastAsia="Times New Roman" w:cs="Times New Roman"/>
                <w:sz w:val="20"/>
                <w:szCs w:val="20"/>
                <w:lang w:eastAsia="lv-LV"/>
              </w:rPr>
            </w:pPr>
            <w:r w:rsidRPr="001B1DB1">
              <w:rPr>
                <w:sz w:val="20"/>
                <w:szCs w:val="20"/>
              </w:rPr>
              <w:t>Nodrošināta labāka un adekvātāka risku pārvaldība, mazinot to personu skaitu, kuriem nav pieejami finanšu pakalpojumi tikai tādu normatīvo aktu prasību dēļ, kas paredz</w:t>
            </w:r>
            <w:r>
              <w:rPr>
                <w:sz w:val="20"/>
                <w:szCs w:val="20"/>
              </w:rPr>
              <w:t xml:space="preserve"> uz noteikumiem balstītu pieeju</w:t>
            </w:r>
            <w:r w:rsidRPr="001B1DB1">
              <w:rPr>
                <w:sz w:val="20"/>
                <w:szCs w:val="20"/>
              </w:rPr>
              <w:t xml:space="preserve">.  </w:t>
            </w:r>
          </w:p>
        </w:tc>
        <w:tc>
          <w:tcPr>
            <w:tcW w:w="2694" w:type="dxa"/>
          </w:tcPr>
          <w:p w14:paraId="19432653" w14:textId="77777777" w:rsidR="00B56E27" w:rsidRPr="001B1DB1" w:rsidRDefault="00B56E27" w:rsidP="00B56E27">
            <w:pPr>
              <w:jc w:val="both"/>
              <w:rPr>
                <w:rFonts w:cs="Times New Roman"/>
                <w:sz w:val="20"/>
                <w:szCs w:val="20"/>
              </w:rPr>
            </w:pPr>
            <w:r w:rsidRPr="00053D97">
              <w:rPr>
                <w:sz w:val="20"/>
                <w:szCs w:val="20"/>
              </w:rPr>
              <w:t>Izdots normatīvais akts vai</w:t>
            </w:r>
            <w:r w:rsidRPr="001B1DB1">
              <w:rPr>
                <w:sz w:val="20"/>
                <w:szCs w:val="20"/>
              </w:rPr>
              <w:t xml:space="preserve"> vadlīnijas.</w:t>
            </w:r>
          </w:p>
        </w:tc>
        <w:tc>
          <w:tcPr>
            <w:tcW w:w="1134" w:type="dxa"/>
            <w:shd w:val="clear" w:color="auto" w:fill="auto"/>
          </w:tcPr>
          <w:p w14:paraId="4021FBE5" w14:textId="3A1B735F" w:rsidR="00B56E27" w:rsidRPr="001B1DB1" w:rsidRDefault="00B56E27" w:rsidP="00B56E27">
            <w:pPr>
              <w:jc w:val="center"/>
              <w:rPr>
                <w:rFonts w:cs="Times New Roman"/>
                <w:sz w:val="20"/>
                <w:szCs w:val="20"/>
              </w:rPr>
            </w:pPr>
            <w:r w:rsidRPr="001B1DB1">
              <w:rPr>
                <w:sz w:val="20"/>
                <w:szCs w:val="20"/>
              </w:rPr>
              <w:t>FKTK</w:t>
            </w:r>
          </w:p>
        </w:tc>
        <w:tc>
          <w:tcPr>
            <w:tcW w:w="1275" w:type="dxa"/>
            <w:shd w:val="clear" w:color="auto" w:fill="auto"/>
          </w:tcPr>
          <w:p w14:paraId="72C94D71" w14:textId="77777777" w:rsidR="00B56E27" w:rsidRPr="001B1DB1" w:rsidRDefault="00B56E27" w:rsidP="00B56E27">
            <w:pPr>
              <w:jc w:val="center"/>
              <w:rPr>
                <w:rFonts w:cs="Times New Roman"/>
                <w:sz w:val="20"/>
                <w:szCs w:val="20"/>
              </w:rPr>
            </w:pPr>
            <w:r w:rsidRPr="007325CA">
              <w:rPr>
                <w:sz w:val="20"/>
                <w:szCs w:val="20"/>
              </w:rPr>
              <w:t>LFNA</w:t>
            </w:r>
          </w:p>
        </w:tc>
        <w:tc>
          <w:tcPr>
            <w:tcW w:w="1418" w:type="dxa"/>
            <w:shd w:val="clear" w:color="auto" w:fill="auto"/>
          </w:tcPr>
          <w:p w14:paraId="2FACCC4E" w14:textId="77777777" w:rsidR="00B56E27" w:rsidRPr="001B1DB1" w:rsidRDefault="00B56E27" w:rsidP="00B56E27">
            <w:pPr>
              <w:jc w:val="center"/>
              <w:rPr>
                <w:rFonts w:cs="Times New Roman"/>
                <w:bCs/>
                <w:sz w:val="20"/>
                <w:szCs w:val="20"/>
              </w:rPr>
            </w:pPr>
            <w:r w:rsidRPr="001B1DB1">
              <w:rPr>
                <w:sz w:val="20"/>
                <w:szCs w:val="20"/>
              </w:rPr>
              <w:t>01.07.2021.</w:t>
            </w:r>
          </w:p>
        </w:tc>
      </w:tr>
      <w:tr w:rsidR="00B56E27" w:rsidRPr="001B1DB1" w14:paraId="23EFA274" w14:textId="77777777" w:rsidTr="008B2C50">
        <w:trPr>
          <w:trHeight w:val="384"/>
        </w:trPr>
        <w:tc>
          <w:tcPr>
            <w:tcW w:w="15026" w:type="dxa"/>
            <w:gridSpan w:val="8"/>
          </w:tcPr>
          <w:p w14:paraId="14F5ECAC" w14:textId="77777777" w:rsidR="00B56E27" w:rsidRDefault="00B56E27" w:rsidP="00B56E27">
            <w:pPr>
              <w:jc w:val="both"/>
              <w:rPr>
                <w:rFonts w:cs="Times New Roman"/>
                <w:b/>
                <w:bCs/>
                <w:sz w:val="20"/>
                <w:szCs w:val="20"/>
              </w:rPr>
            </w:pPr>
            <w:r w:rsidRPr="001B1DB1">
              <w:rPr>
                <w:rFonts w:cs="Times New Roman"/>
                <w:b/>
                <w:bCs/>
                <w:sz w:val="20"/>
                <w:szCs w:val="20"/>
              </w:rPr>
              <w:t>Izpilde</w:t>
            </w:r>
          </w:p>
          <w:p w14:paraId="614EB306" w14:textId="763DA553" w:rsidR="00465ED8" w:rsidRPr="00465ED8" w:rsidRDefault="00465ED8" w:rsidP="00465ED8">
            <w:pPr>
              <w:jc w:val="both"/>
              <w:rPr>
                <w:sz w:val="20"/>
                <w:szCs w:val="20"/>
              </w:rPr>
            </w:pPr>
            <w:r w:rsidRPr="00465ED8">
              <w:rPr>
                <w:sz w:val="20"/>
                <w:szCs w:val="20"/>
              </w:rPr>
              <w:t xml:space="preserve">FKTK 2020. gadā sadarbībā ar </w:t>
            </w:r>
            <w:r w:rsidR="00A6372E">
              <w:rPr>
                <w:sz w:val="20"/>
                <w:szCs w:val="20"/>
              </w:rPr>
              <w:t>LFNA</w:t>
            </w:r>
            <w:r w:rsidRPr="00465ED8">
              <w:rPr>
                <w:sz w:val="20"/>
                <w:szCs w:val="20"/>
              </w:rPr>
              <w:t xml:space="preserve"> izstrādājusi un publicējusi mājaslapā </w:t>
            </w:r>
            <w:r w:rsidR="005A6D8D">
              <w:rPr>
                <w:sz w:val="20"/>
                <w:szCs w:val="20"/>
              </w:rPr>
              <w:t>“</w:t>
            </w:r>
            <w:r w:rsidRPr="00465ED8">
              <w:rPr>
                <w:sz w:val="20"/>
                <w:szCs w:val="20"/>
              </w:rPr>
              <w:t>Ieteikum</w:t>
            </w:r>
            <w:r w:rsidR="005A6D8D">
              <w:rPr>
                <w:sz w:val="20"/>
                <w:szCs w:val="20"/>
              </w:rPr>
              <w:t>us</w:t>
            </w:r>
            <w:r w:rsidRPr="00465ED8">
              <w:rPr>
                <w:sz w:val="20"/>
                <w:szCs w:val="20"/>
              </w:rPr>
              <w:t xml:space="preserve"> noziedzīgi iegūtu līdzekļu legalizācijas un terorisma un </w:t>
            </w:r>
            <w:proofErr w:type="spellStart"/>
            <w:r w:rsidRPr="00465ED8">
              <w:rPr>
                <w:sz w:val="20"/>
                <w:szCs w:val="20"/>
              </w:rPr>
              <w:t>proliferācijas</w:t>
            </w:r>
            <w:proofErr w:type="spellEnd"/>
            <w:r w:rsidRPr="00465ED8">
              <w:rPr>
                <w:sz w:val="20"/>
                <w:szCs w:val="20"/>
              </w:rPr>
              <w:t xml:space="preserve"> finansēšanas novēršanas un sankciju riska pārvaldīšanas iekšējās kontroles sistēmas izveidei un klientu izpētei</w:t>
            </w:r>
            <w:r w:rsidR="005A6D8D">
              <w:rPr>
                <w:sz w:val="20"/>
                <w:szCs w:val="20"/>
              </w:rPr>
              <w:t>”</w:t>
            </w:r>
            <w:r w:rsidRPr="00465ED8">
              <w:rPr>
                <w:sz w:val="20"/>
                <w:szCs w:val="20"/>
              </w:rPr>
              <w:t>. Ieteikumu mērķis ir sniegt finanšu iestādēm skaidrojumus par normatīvo aktu piemērošanas prasībām un praktiskus piemērus saistībā ar risku novērtējumu, iekšējās kontroles sistēmas elementiem, klientu izpēti un ziņojumu sniegšanu iestādēm, tādējādi veicinot vienotu izpratni par normatīvo aktu prasību piemērošanu un risk</w:t>
            </w:r>
            <w:r w:rsidR="005A6D8D">
              <w:rPr>
                <w:sz w:val="20"/>
                <w:szCs w:val="20"/>
              </w:rPr>
              <w:t>u</w:t>
            </w:r>
            <w:r w:rsidRPr="00465ED8">
              <w:rPr>
                <w:sz w:val="20"/>
                <w:szCs w:val="20"/>
              </w:rPr>
              <w:t xml:space="preserve"> </w:t>
            </w:r>
            <w:r w:rsidR="005A6D8D">
              <w:rPr>
                <w:sz w:val="20"/>
                <w:szCs w:val="20"/>
              </w:rPr>
              <w:t xml:space="preserve">novērtējumā </w:t>
            </w:r>
            <w:r w:rsidRPr="00465ED8">
              <w:rPr>
                <w:sz w:val="20"/>
                <w:szCs w:val="20"/>
              </w:rPr>
              <w:t>balstītas pieejas piemērošanu.</w:t>
            </w:r>
            <w:r w:rsidR="005A6D8D">
              <w:rPr>
                <w:sz w:val="20"/>
                <w:szCs w:val="20"/>
              </w:rPr>
              <w:t xml:space="preserve"> </w:t>
            </w:r>
            <w:r w:rsidRPr="00465ED8">
              <w:rPr>
                <w:sz w:val="20"/>
                <w:szCs w:val="20"/>
              </w:rPr>
              <w:t xml:space="preserve">Ieteikumi no 20.07.2020. ir pieejami FKTK </w:t>
            </w:r>
            <w:r w:rsidR="005A6D8D" w:rsidRPr="005A6D8D">
              <w:rPr>
                <w:sz w:val="20"/>
                <w:szCs w:val="20"/>
              </w:rPr>
              <w:t>tīmekļa vietnē</w:t>
            </w:r>
            <w:r w:rsidR="005A6D8D">
              <w:rPr>
                <w:sz w:val="20"/>
                <w:szCs w:val="20"/>
              </w:rPr>
              <w:t>.</w:t>
            </w:r>
          </w:p>
          <w:p w14:paraId="2336D58F" w14:textId="08E90E6D" w:rsidR="00465ED8" w:rsidRDefault="00465ED8" w:rsidP="00465ED8">
            <w:pPr>
              <w:jc w:val="both"/>
              <w:rPr>
                <w:sz w:val="20"/>
                <w:szCs w:val="20"/>
              </w:rPr>
            </w:pPr>
            <w:r w:rsidRPr="00465ED8">
              <w:rPr>
                <w:sz w:val="20"/>
                <w:szCs w:val="20"/>
              </w:rPr>
              <w:t xml:space="preserve">FKTK izstrādājusi apjomīgu ieteikumu grozījumu projektu, kas ir saskaņošanas procesā ar </w:t>
            </w:r>
            <w:r w:rsidR="005A6D8D">
              <w:rPr>
                <w:sz w:val="20"/>
                <w:szCs w:val="20"/>
              </w:rPr>
              <w:t>L</w:t>
            </w:r>
            <w:r w:rsidRPr="00465ED8">
              <w:rPr>
                <w:sz w:val="20"/>
                <w:szCs w:val="20"/>
              </w:rPr>
              <w:t>FNA, un vienlaikus tiek papildināta ar aktuālo tirgus dalībnieku praksi.</w:t>
            </w:r>
          </w:p>
          <w:p w14:paraId="7BCA88D1" w14:textId="324915A3" w:rsidR="00465ED8" w:rsidRPr="001B1DB1" w:rsidRDefault="009C6D4E" w:rsidP="009C6D4E">
            <w:pPr>
              <w:jc w:val="both"/>
              <w:rPr>
                <w:sz w:val="20"/>
                <w:szCs w:val="20"/>
              </w:rPr>
            </w:pPr>
            <w:r w:rsidRPr="009C6D4E">
              <w:rPr>
                <w:sz w:val="20"/>
                <w:szCs w:val="20"/>
              </w:rPr>
              <w:t>2020. gada jūnijā un 2021. gada martā</w:t>
            </w:r>
            <w:r>
              <w:t xml:space="preserve"> </w:t>
            </w:r>
            <w:r w:rsidRPr="009C6D4E">
              <w:rPr>
                <w:sz w:val="20"/>
                <w:szCs w:val="20"/>
              </w:rPr>
              <w:t>atjauninātas</w:t>
            </w:r>
            <w:r>
              <w:rPr>
                <w:sz w:val="20"/>
                <w:szCs w:val="20"/>
              </w:rPr>
              <w:t xml:space="preserve"> LFNA “</w:t>
            </w:r>
            <w:r w:rsidRPr="009C6D4E">
              <w:rPr>
                <w:sz w:val="20"/>
                <w:szCs w:val="20"/>
              </w:rPr>
              <w:t>Noziedzīgi iegūtu</w:t>
            </w:r>
            <w:r>
              <w:rPr>
                <w:sz w:val="20"/>
                <w:szCs w:val="20"/>
              </w:rPr>
              <w:t xml:space="preserve"> </w:t>
            </w:r>
            <w:r w:rsidRPr="009C6D4E">
              <w:rPr>
                <w:sz w:val="20"/>
                <w:szCs w:val="20"/>
              </w:rPr>
              <w:t>līdzekļu legalizācijas un</w:t>
            </w:r>
            <w:r>
              <w:rPr>
                <w:sz w:val="20"/>
                <w:szCs w:val="20"/>
              </w:rPr>
              <w:t xml:space="preserve"> </w:t>
            </w:r>
            <w:r w:rsidRPr="009C6D4E">
              <w:rPr>
                <w:sz w:val="20"/>
                <w:szCs w:val="20"/>
              </w:rPr>
              <w:t>terorisma finansēšanas</w:t>
            </w:r>
            <w:r>
              <w:rPr>
                <w:sz w:val="20"/>
                <w:szCs w:val="20"/>
              </w:rPr>
              <w:t xml:space="preserve"> </w:t>
            </w:r>
            <w:r w:rsidRPr="009C6D4E">
              <w:rPr>
                <w:sz w:val="20"/>
                <w:szCs w:val="20"/>
              </w:rPr>
              <w:t>novēršanas un</w:t>
            </w:r>
            <w:r>
              <w:rPr>
                <w:sz w:val="20"/>
                <w:szCs w:val="20"/>
              </w:rPr>
              <w:t xml:space="preserve"> </w:t>
            </w:r>
            <w:r w:rsidRPr="009C6D4E">
              <w:rPr>
                <w:sz w:val="20"/>
                <w:szCs w:val="20"/>
              </w:rPr>
              <w:t>sankciju ievērošanas</w:t>
            </w:r>
            <w:r>
              <w:rPr>
                <w:sz w:val="20"/>
                <w:szCs w:val="20"/>
              </w:rPr>
              <w:t xml:space="preserve"> politika un vadlīnijas”. Tās ir pieejamas LFNA tīmekļa vietnē. </w:t>
            </w:r>
            <w:r w:rsidRPr="009C6D4E">
              <w:rPr>
                <w:sz w:val="20"/>
                <w:szCs w:val="20"/>
              </w:rPr>
              <w:t xml:space="preserve"> </w:t>
            </w:r>
          </w:p>
        </w:tc>
      </w:tr>
      <w:tr w:rsidR="00B56E27" w:rsidRPr="001B1DB1" w14:paraId="2659FDDD" w14:textId="77777777" w:rsidTr="00002D3D">
        <w:trPr>
          <w:trHeight w:val="543"/>
        </w:trPr>
        <w:tc>
          <w:tcPr>
            <w:tcW w:w="709" w:type="dxa"/>
          </w:tcPr>
          <w:p w14:paraId="64418231" w14:textId="4E0C9326" w:rsidR="00B56E27" w:rsidRPr="001B1DB1" w:rsidRDefault="00B56E27" w:rsidP="00B56E27">
            <w:pPr>
              <w:jc w:val="center"/>
              <w:rPr>
                <w:rFonts w:cs="Times New Roman"/>
                <w:bCs/>
                <w:sz w:val="20"/>
                <w:szCs w:val="20"/>
              </w:rPr>
            </w:pPr>
            <w:r>
              <w:rPr>
                <w:rFonts w:cs="Times New Roman"/>
                <w:bCs/>
                <w:sz w:val="20"/>
                <w:szCs w:val="20"/>
              </w:rPr>
              <w:t>1.12.</w:t>
            </w:r>
          </w:p>
        </w:tc>
        <w:tc>
          <w:tcPr>
            <w:tcW w:w="3686" w:type="dxa"/>
            <w:shd w:val="clear" w:color="auto" w:fill="auto"/>
          </w:tcPr>
          <w:p w14:paraId="402C7754" w14:textId="290D66E5" w:rsidR="00B56E27" w:rsidRPr="00817435" w:rsidRDefault="00B56E27" w:rsidP="00B56E27">
            <w:pPr>
              <w:jc w:val="both"/>
              <w:rPr>
                <w:bCs/>
                <w:sz w:val="20"/>
                <w:szCs w:val="20"/>
              </w:rPr>
            </w:pPr>
            <w:r w:rsidRPr="001B1DB1">
              <w:rPr>
                <w:rFonts w:cs="Times New Roman"/>
                <w:bCs/>
                <w:sz w:val="20"/>
                <w:szCs w:val="20"/>
              </w:rPr>
              <w:t xml:space="preserve">Atkārtoti izvērtēt un noteikt Latvijas riska profilu, lai atbilstoši </w:t>
            </w:r>
            <w:r>
              <w:rPr>
                <w:rFonts w:cs="Times New Roman"/>
                <w:bCs/>
                <w:sz w:val="20"/>
                <w:szCs w:val="20"/>
              </w:rPr>
              <w:t>aktuālajiem riskiem</w:t>
            </w:r>
            <w:r w:rsidRPr="001B1DB1">
              <w:rPr>
                <w:rFonts w:cs="Times New Roman"/>
                <w:bCs/>
                <w:sz w:val="20"/>
                <w:szCs w:val="20"/>
              </w:rPr>
              <w:t xml:space="preserve"> reaģētu uz situācijas izmaiņām un </w:t>
            </w:r>
            <w:r>
              <w:rPr>
                <w:rFonts w:cs="Times New Roman"/>
                <w:bCs/>
                <w:sz w:val="20"/>
                <w:szCs w:val="20"/>
              </w:rPr>
              <w:t xml:space="preserve">nodrošinātu NILL konfiskāciju un </w:t>
            </w:r>
            <w:r w:rsidRPr="001B1DB1">
              <w:rPr>
                <w:rFonts w:cs="Times New Roman"/>
                <w:bCs/>
                <w:sz w:val="20"/>
                <w:szCs w:val="20"/>
              </w:rPr>
              <w:t>noteiktu prioritātes NILL izmeklēšanā</w:t>
            </w:r>
            <w:r>
              <w:rPr>
                <w:rFonts w:cs="Times New Roman"/>
                <w:bCs/>
                <w:sz w:val="20"/>
                <w:szCs w:val="20"/>
              </w:rPr>
              <w:t>.</w:t>
            </w:r>
            <w:r w:rsidRPr="001B1DB1">
              <w:rPr>
                <w:rFonts w:cs="Times New Roman"/>
                <w:bCs/>
                <w:sz w:val="20"/>
                <w:szCs w:val="20"/>
              </w:rPr>
              <w:t xml:space="preserve"> </w:t>
            </w:r>
          </w:p>
        </w:tc>
        <w:tc>
          <w:tcPr>
            <w:tcW w:w="1559" w:type="dxa"/>
          </w:tcPr>
          <w:p w14:paraId="609EA3B8" w14:textId="6ED19835" w:rsidR="00B56E27" w:rsidRDefault="00B56E27" w:rsidP="00B56E27">
            <w:pPr>
              <w:rPr>
                <w:rFonts w:cs="Times New Roman"/>
                <w:sz w:val="20"/>
                <w:szCs w:val="20"/>
              </w:rPr>
            </w:pPr>
            <w:r>
              <w:rPr>
                <w:rFonts w:cs="Times New Roman"/>
                <w:sz w:val="20"/>
                <w:szCs w:val="20"/>
              </w:rPr>
              <w:t>FATF 1.2. pamatjautājums;</w:t>
            </w:r>
          </w:p>
          <w:p w14:paraId="04EAB014" w14:textId="333C8EC5" w:rsidR="00B56E27" w:rsidRPr="001B1DB1" w:rsidRDefault="00B56E27" w:rsidP="00B56E27">
            <w:pPr>
              <w:rPr>
                <w:rFonts w:cs="Times New Roman"/>
                <w:sz w:val="20"/>
                <w:szCs w:val="20"/>
              </w:rPr>
            </w:pPr>
            <w:r>
              <w:rPr>
                <w:rFonts w:cs="Times New Roman"/>
                <w:sz w:val="20"/>
                <w:szCs w:val="20"/>
              </w:rPr>
              <w:t>FATF 1. rekomendācija.</w:t>
            </w:r>
          </w:p>
        </w:tc>
        <w:tc>
          <w:tcPr>
            <w:tcW w:w="2551" w:type="dxa"/>
            <w:shd w:val="clear" w:color="auto" w:fill="auto"/>
          </w:tcPr>
          <w:p w14:paraId="3A71AB95" w14:textId="023130A4" w:rsidR="00B56E27" w:rsidRPr="001B1DB1" w:rsidRDefault="00B56E27" w:rsidP="00B56E27">
            <w:pPr>
              <w:jc w:val="both"/>
              <w:rPr>
                <w:sz w:val="20"/>
                <w:szCs w:val="20"/>
              </w:rPr>
            </w:pPr>
            <w:r w:rsidRPr="008B395B">
              <w:rPr>
                <w:rFonts w:cs="Times New Roman"/>
                <w:sz w:val="20"/>
                <w:szCs w:val="20"/>
              </w:rPr>
              <w:t xml:space="preserve">Noteiktas NILL izmeklēšanas prioritātes </w:t>
            </w:r>
            <w:r w:rsidRPr="00245B03">
              <w:rPr>
                <w:rFonts w:cs="Times New Roman"/>
                <w:sz w:val="20"/>
                <w:szCs w:val="20"/>
              </w:rPr>
              <w:t>un nodrošināt</w:t>
            </w:r>
            <w:r>
              <w:rPr>
                <w:rFonts w:cs="Times New Roman"/>
                <w:sz w:val="20"/>
                <w:szCs w:val="20"/>
              </w:rPr>
              <w:t>a</w:t>
            </w:r>
            <w:r w:rsidRPr="00245B03">
              <w:rPr>
                <w:rFonts w:cs="Times New Roman"/>
                <w:sz w:val="20"/>
                <w:szCs w:val="20"/>
              </w:rPr>
              <w:t xml:space="preserve"> </w:t>
            </w:r>
            <w:r w:rsidRPr="008B395B">
              <w:rPr>
                <w:rFonts w:cs="Times New Roman"/>
                <w:sz w:val="20"/>
                <w:szCs w:val="20"/>
              </w:rPr>
              <w:t xml:space="preserve">NILL </w:t>
            </w:r>
            <w:r w:rsidRPr="00245B03">
              <w:rPr>
                <w:rFonts w:cs="Times New Roman"/>
                <w:sz w:val="20"/>
                <w:szCs w:val="20"/>
              </w:rPr>
              <w:t>konfiskācij</w:t>
            </w:r>
            <w:r>
              <w:rPr>
                <w:rFonts w:cs="Times New Roman"/>
                <w:sz w:val="20"/>
                <w:szCs w:val="20"/>
              </w:rPr>
              <w:t>a</w:t>
            </w:r>
            <w:r w:rsidRPr="00245B03">
              <w:rPr>
                <w:rFonts w:cs="Times New Roman"/>
                <w:sz w:val="20"/>
                <w:szCs w:val="20"/>
              </w:rPr>
              <w:t xml:space="preserve"> </w:t>
            </w:r>
            <w:r w:rsidRPr="008B395B">
              <w:rPr>
                <w:rFonts w:cs="Times New Roman"/>
                <w:sz w:val="20"/>
                <w:szCs w:val="20"/>
              </w:rPr>
              <w:t>atbilstoši Latvijas riska profilam.</w:t>
            </w:r>
            <w:r w:rsidRPr="001B1DB1">
              <w:rPr>
                <w:rFonts w:cs="Times New Roman"/>
                <w:sz w:val="20"/>
                <w:szCs w:val="20"/>
              </w:rPr>
              <w:t xml:space="preserve"> </w:t>
            </w:r>
          </w:p>
        </w:tc>
        <w:tc>
          <w:tcPr>
            <w:tcW w:w="2694" w:type="dxa"/>
          </w:tcPr>
          <w:p w14:paraId="35D05570" w14:textId="5C9F2E01" w:rsidR="00B56E27" w:rsidRPr="00053D97" w:rsidRDefault="00B56E27" w:rsidP="00B56E27">
            <w:pPr>
              <w:jc w:val="both"/>
              <w:rPr>
                <w:sz w:val="20"/>
                <w:szCs w:val="20"/>
              </w:rPr>
            </w:pPr>
            <w:r>
              <w:rPr>
                <w:rFonts w:cs="Times New Roman"/>
                <w:sz w:val="20"/>
                <w:szCs w:val="20"/>
              </w:rPr>
              <w:t xml:space="preserve">Aktualizēts </w:t>
            </w:r>
            <w:r w:rsidRPr="004D11F9">
              <w:rPr>
                <w:rFonts w:cs="Times New Roman"/>
                <w:sz w:val="20"/>
                <w:szCs w:val="20"/>
              </w:rPr>
              <w:t>Latvijas riska profil</w:t>
            </w:r>
            <w:r>
              <w:rPr>
                <w:rFonts w:cs="Times New Roman"/>
                <w:sz w:val="20"/>
                <w:szCs w:val="20"/>
              </w:rPr>
              <w:t>s.</w:t>
            </w:r>
          </w:p>
        </w:tc>
        <w:tc>
          <w:tcPr>
            <w:tcW w:w="1134" w:type="dxa"/>
            <w:shd w:val="clear" w:color="auto" w:fill="auto"/>
          </w:tcPr>
          <w:p w14:paraId="146A6928" w14:textId="53FDAE3E" w:rsidR="00B56E27" w:rsidRPr="001B1DB1" w:rsidRDefault="00B56E27" w:rsidP="00B56E27">
            <w:pPr>
              <w:jc w:val="center"/>
              <w:rPr>
                <w:sz w:val="20"/>
                <w:szCs w:val="20"/>
              </w:rPr>
            </w:pPr>
            <w:r>
              <w:rPr>
                <w:rFonts w:cs="Times New Roman"/>
                <w:bCs/>
                <w:sz w:val="20"/>
                <w:szCs w:val="20"/>
              </w:rPr>
              <w:t>FID</w:t>
            </w:r>
          </w:p>
        </w:tc>
        <w:tc>
          <w:tcPr>
            <w:tcW w:w="1275" w:type="dxa"/>
            <w:shd w:val="clear" w:color="auto" w:fill="auto"/>
          </w:tcPr>
          <w:p w14:paraId="5150D13D" w14:textId="46127137" w:rsidR="00B56E27" w:rsidRPr="007325CA" w:rsidRDefault="00B56E27" w:rsidP="00B56E27">
            <w:pPr>
              <w:jc w:val="center"/>
              <w:rPr>
                <w:sz w:val="20"/>
                <w:szCs w:val="20"/>
              </w:rPr>
            </w:pPr>
            <w:r>
              <w:rPr>
                <w:rFonts w:cs="Times New Roman"/>
                <w:bCs/>
                <w:sz w:val="20"/>
                <w:szCs w:val="20"/>
              </w:rPr>
              <w:t>ĢP</w:t>
            </w:r>
            <w:r w:rsidRPr="004D11F9">
              <w:rPr>
                <w:rFonts w:cs="Times New Roman"/>
                <w:bCs/>
                <w:sz w:val="20"/>
                <w:szCs w:val="20"/>
              </w:rPr>
              <w:t xml:space="preserve">, izmeklēšanas iestādes, </w:t>
            </w:r>
            <w:r>
              <w:rPr>
                <w:rFonts w:cs="Times New Roman"/>
                <w:bCs/>
                <w:sz w:val="20"/>
                <w:szCs w:val="20"/>
              </w:rPr>
              <w:t>TM, IeM</w:t>
            </w:r>
          </w:p>
        </w:tc>
        <w:tc>
          <w:tcPr>
            <w:tcW w:w="1418" w:type="dxa"/>
            <w:shd w:val="clear" w:color="auto" w:fill="auto"/>
          </w:tcPr>
          <w:p w14:paraId="2477E35C" w14:textId="4C8E2C03" w:rsidR="00B56E27" w:rsidRPr="001B1DB1" w:rsidRDefault="00B56E27" w:rsidP="00B56E27">
            <w:pPr>
              <w:jc w:val="center"/>
              <w:rPr>
                <w:sz w:val="20"/>
                <w:szCs w:val="20"/>
              </w:rPr>
            </w:pPr>
            <w:r>
              <w:rPr>
                <w:rFonts w:cs="Times New Roman"/>
                <w:bCs/>
                <w:sz w:val="20"/>
                <w:szCs w:val="20"/>
              </w:rPr>
              <w:t>30.06.2021.</w:t>
            </w:r>
          </w:p>
        </w:tc>
      </w:tr>
      <w:tr w:rsidR="00B56E27" w:rsidRPr="001B1DB1" w14:paraId="05DDCE0F" w14:textId="77777777" w:rsidTr="00965F34">
        <w:trPr>
          <w:trHeight w:val="543"/>
        </w:trPr>
        <w:tc>
          <w:tcPr>
            <w:tcW w:w="15026" w:type="dxa"/>
            <w:gridSpan w:val="8"/>
          </w:tcPr>
          <w:p w14:paraId="2CEDE38A" w14:textId="77777777" w:rsidR="00B56E27" w:rsidRDefault="00B56E27" w:rsidP="000C5A60">
            <w:pPr>
              <w:jc w:val="both"/>
              <w:rPr>
                <w:rFonts w:cs="Times New Roman"/>
                <w:b/>
                <w:bCs/>
                <w:sz w:val="20"/>
                <w:szCs w:val="20"/>
              </w:rPr>
            </w:pPr>
            <w:r w:rsidRPr="001B1DB1">
              <w:rPr>
                <w:rFonts w:cs="Times New Roman"/>
                <w:b/>
                <w:bCs/>
                <w:sz w:val="20"/>
                <w:szCs w:val="20"/>
              </w:rPr>
              <w:t>Izpilde</w:t>
            </w:r>
          </w:p>
          <w:p w14:paraId="53C9F58C" w14:textId="67104837" w:rsidR="00C16445" w:rsidRDefault="00F668F2" w:rsidP="000C5A60">
            <w:pPr>
              <w:pStyle w:val="CommentText"/>
              <w:jc w:val="both"/>
              <w:rPr>
                <w:rFonts w:cs="Times New Roman"/>
                <w:bCs/>
              </w:rPr>
            </w:pPr>
            <w:r w:rsidRPr="00F668F2">
              <w:rPr>
                <w:rFonts w:cs="Times New Roman"/>
                <w:bCs/>
              </w:rPr>
              <w:t>Nacionālā NILLTPF risku novērtējuma par 2017. – 2019. gadu ietvaros, kura izstrāde tika pabeigta 2020. gada decembrī, tika pārvērtēts un definēts Latvijas riska profils. NRA secinājumi apstiprināja Latvijas riska profila dualitāti: (1) NILL risks, kas piemīt reģionālajiem finanšu centriem; (2) NILL risks, kas izriet no Latvijā un citās ES valstīs izdarītiem noziegumiem.</w:t>
            </w:r>
          </w:p>
        </w:tc>
      </w:tr>
      <w:tr w:rsidR="006C636C" w:rsidRPr="001B1DB1" w14:paraId="301F4ADF" w14:textId="77777777" w:rsidTr="00EC4B46">
        <w:trPr>
          <w:trHeight w:val="543"/>
        </w:trPr>
        <w:tc>
          <w:tcPr>
            <w:tcW w:w="709" w:type="dxa"/>
          </w:tcPr>
          <w:p w14:paraId="5EFCB205" w14:textId="77777777" w:rsidR="006C636C" w:rsidRPr="001B1DB1" w:rsidRDefault="006C636C" w:rsidP="00EC4B46">
            <w:pPr>
              <w:jc w:val="center"/>
              <w:rPr>
                <w:rFonts w:cs="Times New Roman"/>
                <w:bCs/>
                <w:sz w:val="20"/>
                <w:szCs w:val="20"/>
              </w:rPr>
            </w:pPr>
            <w:r>
              <w:rPr>
                <w:rFonts w:cs="Times New Roman"/>
                <w:bCs/>
                <w:sz w:val="20"/>
                <w:szCs w:val="20"/>
              </w:rPr>
              <w:lastRenderedPageBreak/>
              <w:t>1.13.</w:t>
            </w:r>
          </w:p>
        </w:tc>
        <w:tc>
          <w:tcPr>
            <w:tcW w:w="3686" w:type="dxa"/>
            <w:shd w:val="clear" w:color="auto" w:fill="auto"/>
          </w:tcPr>
          <w:p w14:paraId="1F465498" w14:textId="77777777" w:rsidR="006C636C" w:rsidRDefault="006C636C" w:rsidP="00EC4B46">
            <w:pPr>
              <w:jc w:val="both"/>
              <w:rPr>
                <w:bCs/>
                <w:sz w:val="20"/>
                <w:szCs w:val="20"/>
              </w:rPr>
            </w:pPr>
            <w:r w:rsidRPr="001B1DB1">
              <w:rPr>
                <w:rFonts w:cs="Times New Roman"/>
                <w:bCs/>
                <w:sz w:val="20"/>
                <w:szCs w:val="20"/>
              </w:rPr>
              <w:t>NILL</w:t>
            </w:r>
            <w:r>
              <w:rPr>
                <w:rFonts w:cs="Times New Roman"/>
                <w:bCs/>
                <w:sz w:val="20"/>
                <w:szCs w:val="20"/>
              </w:rPr>
              <w:t>TPF</w:t>
            </w:r>
            <w:r w:rsidRPr="001B1DB1">
              <w:rPr>
                <w:rFonts w:cs="Times New Roman"/>
                <w:bCs/>
                <w:sz w:val="20"/>
                <w:szCs w:val="20"/>
              </w:rPr>
              <w:t xml:space="preserve"> apkarošanā iesaistītajām institūcijām aktuālo izmeklēšanu ietvaros pēc iesaistītās institūcijas iniciatīvas sasaukt </w:t>
            </w:r>
            <w:r>
              <w:rPr>
                <w:rFonts w:cs="Times New Roman"/>
                <w:bCs/>
                <w:sz w:val="20"/>
                <w:szCs w:val="20"/>
              </w:rPr>
              <w:t xml:space="preserve">FID </w:t>
            </w:r>
            <w:r w:rsidRPr="001B1DB1">
              <w:rPr>
                <w:rFonts w:cs="Times New Roman"/>
                <w:bCs/>
                <w:sz w:val="20"/>
                <w:szCs w:val="20"/>
              </w:rPr>
              <w:t>sadarbības koordinācijas grupu.</w:t>
            </w:r>
          </w:p>
        </w:tc>
        <w:tc>
          <w:tcPr>
            <w:tcW w:w="1559" w:type="dxa"/>
          </w:tcPr>
          <w:p w14:paraId="682803F0" w14:textId="77777777" w:rsidR="006C636C" w:rsidRPr="001B1DB1" w:rsidRDefault="006C636C" w:rsidP="00EC4B46">
            <w:pPr>
              <w:rPr>
                <w:rFonts w:cs="Times New Roman"/>
                <w:sz w:val="20"/>
                <w:szCs w:val="20"/>
              </w:rPr>
            </w:pPr>
            <w:r>
              <w:rPr>
                <w:rFonts w:cs="Times New Roman"/>
                <w:sz w:val="20"/>
                <w:szCs w:val="20"/>
              </w:rPr>
              <w:t>FATF 2. rekomendācija.</w:t>
            </w:r>
          </w:p>
        </w:tc>
        <w:tc>
          <w:tcPr>
            <w:tcW w:w="2551" w:type="dxa"/>
            <w:shd w:val="clear" w:color="auto" w:fill="auto"/>
          </w:tcPr>
          <w:p w14:paraId="622BFB48" w14:textId="77777777" w:rsidR="006C636C" w:rsidRDefault="006C636C" w:rsidP="00EC4B46">
            <w:pPr>
              <w:jc w:val="both"/>
              <w:rPr>
                <w:rFonts w:cs="Times New Roman"/>
                <w:sz w:val="20"/>
                <w:szCs w:val="20"/>
              </w:rPr>
            </w:pPr>
            <w:r>
              <w:rPr>
                <w:rFonts w:cs="Times New Roman"/>
                <w:sz w:val="20"/>
                <w:szCs w:val="20"/>
              </w:rPr>
              <w:t>Turpināta</w:t>
            </w:r>
            <w:r w:rsidRPr="001B1DB1">
              <w:rPr>
                <w:rFonts w:cs="Times New Roman"/>
                <w:sz w:val="20"/>
                <w:szCs w:val="20"/>
              </w:rPr>
              <w:t xml:space="preserve"> sadarbības koordinācijas grupu praktiskā darbība.</w:t>
            </w:r>
          </w:p>
          <w:p w14:paraId="4C53E4FA" w14:textId="77777777" w:rsidR="006C636C" w:rsidRPr="001B1DB1" w:rsidRDefault="006C636C" w:rsidP="00EC4B46">
            <w:pPr>
              <w:jc w:val="both"/>
              <w:rPr>
                <w:sz w:val="20"/>
                <w:szCs w:val="20"/>
              </w:rPr>
            </w:pPr>
            <w:r>
              <w:rPr>
                <w:rFonts w:cs="Times New Roman"/>
                <w:sz w:val="20"/>
                <w:szCs w:val="20"/>
              </w:rPr>
              <w:t>Nodrošināta e</w:t>
            </w:r>
            <w:r w:rsidRPr="001B1DB1">
              <w:rPr>
                <w:rFonts w:cs="Times New Roman"/>
                <w:sz w:val="20"/>
                <w:szCs w:val="20"/>
              </w:rPr>
              <w:t>fektīvāka informācijas apmaiņa starp publisko un privāto sektoru.</w:t>
            </w:r>
          </w:p>
        </w:tc>
        <w:tc>
          <w:tcPr>
            <w:tcW w:w="2694" w:type="dxa"/>
          </w:tcPr>
          <w:p w14:paraId="49843345" w14:textId="77777777" w:rsidR="006C636C" w:rsidRDefault="006C636C" w:rsidP="00EC4B46">
            <w:pPr>
              <w:jc w:val="both"/>
              <w:rPr>
                <w:rFonts w:cs="Times New Roman"/>
                <w:sz w:val="20"/>
                <w:szCs w:val="20"/>
              </w:rPr>
            </w:pPr>
            <w:r>
              <w:rPr>
                <w:rFonts w:cs="Times New Roman"/>
                <w:sz w:val="20"/>
                <w:szCs w:val="20"/>
              </w:rPr>
              <w:t>Pastāvīgi turpinātas FID sadarbības koordinācijas grupas sanāksmes.</w:t>
            </w:r>
          </w:p>
          <w:p w14:paraId="6FAFBFD8" w14:textId="77777777" w:rsidR="006C636C" w:rsidRDefault="006C636C" w:rsidP="00EC4B46">
            <w:pPr>
              <w:jc w:val="both"/>
              <w:rPr>
                <w:rFonts w:cs="Times New Roman"/>
                <w:sz w:val="20"/>
                <w:szCs w:val="20"/>
              </w:rPr>
            </w:pPr>
            <w:r w:rsidRPr="001B1DB1">
              <w:rPr>
                <w:rFonts w:cs="Times New Roman"/>
                <w:sz w:val="20"/>
                <w:szCs w:val="20"/>
              </w:rPr>
              <w:t xml:space="preserve">Regulāras </w:t>
            </w:r>
            <w:r>
              <w:rPr>
                <w:rFonts w:cs="Times New Roman"/>
                <w:sz w:val="20"/>
                <w:szCs w:val="20"/>
              </w:rPr>
              <w:t>FID s</w:t>
            </w:r>
            <w:r w:rsidRPr="001B1DB1">
              <w:rPr>
                <w:rFonts w:cs="Times New Roman"/>
                <w:sz w:val="20"/>
                <w:szCs w:val="20"/>
              </w:rPr>
              <w:t>adarbības koordinācijas grupas sanāksmes.</w:t>
            </w:r>
          </w:p>
          <w:p w14:paraId="445FC33F" w14:textId="77777777" w:rsidR="006C636C" w:rsidRPr="00053D97" w:rsidRDefault="006C636C" w:rsidP="00EC4B46">
            <w:pPr>
              <w:jc w:val="both"/>
              <w:rPr>
                <w:sz w:val="20"/>
                <w:szCs w:val="20"/>
              </w:rPr>
            </w:pPr>
            <w:r w:rsidRPr="001B1DB1">
              <w:rPr>
                <w:rFonts w:cs="Times New Roman"/>
                <w:sz w:val="20"/>
                <w:szCs w:val="20"/>
              </w:rPr>
              <w:t>Dalība starptautiska mēroga publiskās – privātās partnerības formātos.</w:t>
            </w:r>
          </w:p>
        </w:tc>
        <w:tc>
          <w:tcPr>
            <w:tcW w:w="1134" w:type="dxa"/>
            <w:shd w:val="clear" w:color="auto" w:fill="auto"/>
          </w:tcPr>
          <w:p w14:paraId="28D21271" w14:textId="77777777" w:rsidR="006C636C" w:rsidRPr="001B1DB1" w:rsidRDefault="006C636C" w:rsidP="00EC4B46">
            <w:pPr>
              <w:jc w:val="center"/>
              <w:rPr>
                <w:sz w:val="20"/>
                <w:szCs w:val="20"/>
              </w:rPr>
            </w:pPr>
            <w:r w:rsidRPr="001B1DB1">
              <w:rPr>
                <w:rFonts w:cs="Times New Roman"/>
                <w:bCs/>
                <w:sz w:val="20"/>
                <w:szCs w:val="20"/>
              </w:rPr>
              <w:t>FID</w:t>
            </w:r>
          </w:p>
        </w:tc>
        <w:tc>
          <w:tcPr>
            <w:tcW w:w="1275" w:type="dxa"/>
            <w:shd w:val="clear" w:color="auto" w:fill="auto"/>
          </w:tcPr>
          <w:p w14:paraId="1E1A48A1" w14:textId="77777777" w:rsidR="006C636C" w:rsidRPr="007325CA" w:rsidRDefault="006C636C" w:rsidP="00EC4B46">
            <w:pPr>
              <w:jc w:val="center"/>
              <w:rPr>
                <w:sz w:val="20"/>
                <w:szCs w:val="20"/>
              </w:rPr>
            </w:pPr>
            <w:r>
              <w:rPr>
                <w:rFonts w:cs="Times New Roman"/>
                <w:bCs/>
                <w:sz w:val="20"/>
                <w:szCs w:val="20"/>
              </w:rPr>
              <w:t xml:space="preserve">UKI, </w:t>
            </w:r>
            <w:r w:rsidRPr="001B1DB1">
              <w:rPr>
                <w:rFonts w:cs="Times New Roman"/>
                <w:bCs/>
                <w:sz w:val="20"/>
                <w:szCs w:val="20"/>
              </w:rPr>
              <w:t xml:space="preserve">VP, VDD, VID, KNAB, VRS, IDB, </w:t>
            </w:r>
            <w:r w:rsidRPr="00833304">
              <w:rPr>
                <w:rFonts w:cs="Times New Roman"/>
                <w:bCs/>
                <w:sz w:val="20"/>
                <w:szCs w:val="20"/>
              </w:rPr>
              <w:t>MP</w:t>
            </w:r>
            <w:r w:rsidRPr="001B1DB1">
              <w:rPr>
                <w:rFonts w:cs="Times New Roman"/>
                <w:bCs/>
                <w:sz w:val="20"/>
                <w:szCs w:val="20"/>
              </w:rPr>
              <w:t xml:space="preserve">, </w:t>
            </w:r>
            <w:proofErr w:type="spellStart"/>
            <w:r w:rsidRPr="001B1DB1">
              <w:rPr>
                <w:rFonts w:cs="Times New Roman"/>
                <w:bCs/>
                <w:sz w:val="20"/>
                <w:szCs w:val="20"/>
              </w:rPr>
              <w:t>IeVP</w:t>
            </w:r>
            <w:proofErr w:type="spellEnd"/>
            <w:r w:rsidRPr="001B1DB1">
              <w:rPr>
                <w:rFonts w:cs="Times New Roman"/>
                <w:bCs/>
                <w:sz w:val="20"/>
                <w:szCs w:val="20"/>
              </w:rPr>
              <w:t>, ĢP un likuma subjekti</w:t>
            </w:r>
            <w:r>
              <w:rPr>
                <w:rFonts w:cs="Times New Roman"/>
                <w:bCs/>
                <w:sz w:val="20"/>
                <w:szCs w:val="20"/>
              </w:rPr>
              <w:t>, LFNA</w:t>
            </w:r>
          </w:p>
        </w:tc>
        <w:tc>
          <w:tcPr>
            <w:tcW w:w="1418" w:type="dxa"/>
            <w:shd w:val="clear" w:color="auto" w:fill="auto"/>
          </w:tcPr>
          <w:p w14:paraId="7160F837" w14:textId="77777777" w:rsidR="006C636C" w:rsidRPr="001B1DB1" w:rsidRDefault="006C636C" w:rsidP="00EC4B46">
            <w:pPr>
              <w:jc w:val="center"/>
              <w:rPr>
                <w:sz w:val="20"/>
                <w:szCs w:val="20"/>
              </w:rPr>
            </w:pPr>
            <w:r w:rsidRPr="00C461C1">
              <w:rPr>
                <w:rFonts w:cs="Times New Roman"/>
                <w:bCs/>
                <w:sz w:val="20"/>
                <w:szCs w:val="20"/>
              </w:rPr>
              <w:t>Reiz</w:t>
            </w:r>
            <w:r>
              <w:rPr>
                <w:rFonts w:cs="Times New Roman"/>
                <w:bCs/>
                <w:sz w:val="20"/>
                <w:szCs w:val="20"/>
              </w:rPr>
              <w:t>i</w:t>
            </w:r>
            <w:r w:rsidRPr="00C461C1">
              <w:rPr>
                <w:rFonts w:cs="Times New Roman"/>
                <w:bCs/>
                <w:sz w:val="20"/>
                <w:szCs w:val="20"/>
              </w:rPr>
              <w:t xml:space="preserve"> mēnesī</w:t>
            </w:r>
          </w:p>
        </w:tc>
      </w:tr>
      <w:tr w:rsidR="006C636C" w:rsidRPr="001B1DB1" w14:paraId="757A3A52" w14:textId="77777777" w:rsidTr="0042609B">
        <w:trPr>
          <w:trHeight w:val="543"/>
        </w:trPr>
        <w:tc>
          <w:tcPr>
            <w:tcW w:w="15026" w:type="dxa"/>
            <w:gridSpan w:val="8"/>
          </w:tcPr>
          <w:p w14:paraId="3D6136C4" w14:textId="5C593EB9" w:rsidR="006C636C" w:rsidRPr="006C636C" w:rsidRDefault="006C636C" w:rsidP="006C636C">
            <w:pPr>
              <w:jc w:val="both"/>
              <w:rPr>
                <w:rFonts w:cs="Times New Roman"/>
                <w:b/>
                <w:bCs/>
                <w:sz w:val="20"/>
                <w:szCs w:val="20"/>
              </w:rPr>
            </w:pPr>
            <w:r w:rsidRPr="001B1DB1">
              <w:rPr>
                <w:rFonts w:cs="Times New Roman"/>
                <w:b/>
                <w:bCs/>
                <w:sz w:val="20"/>
                <w:szCs w:val="20"/>
              </w:rPr>
              <w:t>Izpilde</w:t>
            </w:r>
          </w:p>
          <w:p w14:paraId="7A105A46" w14:textId="77777777" w:rsidR="006C636C" w:rsidRDefault="006C636C" w:rsidP="006C636C">
            <w:pPr>
              <w:jc w:val="both"/>
              <w:rPr>
                <w:rFonts w:cs="Times New Roman"/>
                <w:bCs/>
                <w:sz w:val="20"/>
                <w:szCs w:val="20"/>
              </w:rPr>
            </w:pPr>
            <w:r>
              <w:rPr>
                <w:rFonts w:cs="Times New Roman"/>
                <w:bCs/>
                <w:sz w:val="20"/>
                <w:szCs w:val="20"/>
              </w:rPr>
              <w:t>Laika posmā no 01.01.2021. līdz 30.06.2021. ir notikušas 121 SKG sēde, no kurām 92 sēdēm iniciators ir bijis FID, 20 – publiskā sektora iestāde, 9 – NILLTFPFN likuma subjekts vai privātā sektora pārstāvis.</w:t>
            </w:r>
          </w:p>
          <w:p w14:paraId="6064382C" w14:textId="77777777" w:rsidR="006C636C" w:rsidRDefault="006C636C" w:rsidP="006C636C">
            <w:pPr>
              <w:jc w:val="both"/>
              <w:rPr>
                <w:rFonts w:cs="Times New Roman"/>
                <w:bCs/>
                <w:sz w:val="20"/>
                <w:szCs w:val="20"/>
              </w:rPr>
            </w:pPr>
            <w:r>
              <w:rPr>
                <w:rFonts w:cs="Times New Roman"/>
                <w:bCs/>
                <w:sz w:val="20"/>
                <w:szCs w:val="20"/>
              </w:rPr>
              <w:t>Kopumā SKG sēdēs ir piedalījušies 14 privātā sektora iestāžu pārstāvji, 19 publiskās sektora iestāžu un NILLTFPFN likuma subjektu pārstāvji.</w:t>
            </w:r>
          </w:p>
          <w:p w14:paraId="5B34C7DA" w14:textId="49AD4746" w:rsidR="00937A92" w:rsidRPr="00937A92" w:rsidRDefault="006C636C" w:rsidP="00937A92">
            <w:pPr>
              <w:jc w:val="both"/>
              <w:rPr>
                <w:rFonts w:cs="Times New Roman"/>
                <w:bCs/>
                <w:sz w:val="20"/>
                <w:szCs w:val="20"/>
              </w:rPr>
            </w:pPr>
            <w:r>
              <w:rPr>
                <w:rFonts w:cs="Times New Roman"/>
                <w:bCs/>
                <w:sz w:val="20"/>
                <w:szCs w:val="20"/>
              </w:rPr>
              <w:t xml:space="preserve">Notikušas 11 sesijas atgriezeniskās saites saņemšanai ar NILLTFPF likuma subjektiem un kredītiestādēm; 12 sanāksmes ar publiskā sektora pārstāvjiem sadarbības u.c. jautājumos; 9 sanāksmes ar privātā sektora pārstāvjiem aktuālo jautājumu apspriešanai, apmācībai u.tml.; 77 </w:t>
            </w:r>
            <w:proofErr w:type="spellStart"/>
            <w:r>
              <w:rPr>
                <w:rFonts w:cs="Times New Roman"/>
                <w:bCs/>
                <w:sz w:val="20"/>
                <w:szCs w:val="20"/>
              </w:rPr>
              <w:t>sasitībā</w:t>
            </w:r>
            <w:proofErr w:type="spellEnd"/>
            <w:r>
              <w:rPr>
                <w:rFonts w:cs="Times New Roman"/>
                <w:bCs/>
                <w:sz w:val="20"/>
                <w:szCs w:val="20"/>
              </w:rPr>
              <w:t xml:space="preserve"> ar operacionālo lietu; 4 uzraugu sanāksmes platformas; 7 </w:t>
            </w:r>
            <w:proofErr w:type="spellStart"/>
            <w:r>
              <w:rPr>
                <w:rFonts w:cs="Times New Roman"/>
                <w:bCs/>
                <w:sz w:val="20"/>
                <w:szCs w:val="20"/>
              </w:rPr>
              <w:t>speciālizētās</w:t>
            </w:r>
            <w:proofErr w:type="spellEnd"/>
            <w:r>
              <w:rPr>
                <w:rFonts w:cs="Times New Roman"/>
                <w:bCs/>
                <w:sz w:val="20"/>
                <w:szCs w:val="20"/>
              </w:rPr>
              <w:t xml:space="preserve"> darba grupas; 1, lai risinātu privātā un publiskā sektora kopīgos jautājumus. </w:t>
            </w:r>
            <w:r w:rsidR="00937A92" w:rsidRPr="00937A92">
              <w:rPr>
                <w:rFonts w:cs="Times New Roman"/>
                <w:bCs/>
                <w:sz w:val="20"/>
                <w:szCs w:val="20"/>
              </w:rPr>
              <w:tab/>
            </w:r>
          </w:p>
          <w:p w14:paraId="3E198E70" w14:textId="12E3CB9E" w:rsidR="00937A92" w:rsidRPr="00C461C1" w:rsidRDefault="00937A92" w:rsidP="00937A92">
            <w:pPr>
              <w:jc w:val="both"/>
              <w:rPr>
                <w:rFonts w:cs="Times New Roman"/>
                <w:bCs/>
                <w:sz w:val="20"/>
                <w:szCs w:val="20"/>
              </w:rPr>
            </w:pPr>
            <w:r w:rsidRPr="00937A92">
              <w:rPr>
                <w:rFonts w:cs="Times New Roman"/>
                <w:bCs/>
                <w:sz w:val="20"/>
                <w:szCs w:val="20"/>
              </w:rPr>
              <w:t xml:space="preserve">Notiek regulāra dalība </w:t>
            </w:r>
            <w:proofErr w:type="spellStart"/>
            <w:r w:rsidRPr="00E62EB7">
              <w:rPr>
                <w:rFonts w:cs="Times New Roman"/>
                <w:bCs/>
                <w:i/>
                <w:iCs/>
                <w:sz w:val="20"/>
                <w:szCs w:val="20"/>
              </w:rPr>
              <w:t>Europol</w:t>
            </w:r>
            <w:proofErr w:type="spellEnd"/>
            <w:r w:rsidRPr="00E62EB7">
              <w:rPr>
                <w:rFonts w:cs="Times New Roman"/>
                <w:bCs/>
                <w:i/>
                <w:iCs/>
                <w:sz w:val="20"/>
                <w:szCs w:val="20"/>
              </w:rPr>
              <w:t xml:space="preserve"> </w:t>
            </w:r>
            <w:proofErr w:type="spellStart"/>
            <w:r w:rsidRPr="00E62EB7">
              <w:rPr>
                <w:rFonts w:cs="Times New Roman"/>
                <w:bCs/>
                <w:i/>
                <w:iCs/>
                <w:sz w:val="20"/>
                <w:szCs w:val="20"/>
              </w:rPr>
              <w:t>Financial</w:t>
            </w:r>
            <w:proofErr w:type="spellEnd"/>
            <w:r w:rsidRPr="00E62EB7">
              <w:rPr>
                <w:rFonts w:cs="Times New Roman"/>
                <w:bCs/>
                <w:i/>
                <w:iCs/>
                <w:sz w:val="20"/>
                <w:szCs w:val="20"/>
              </w:rPr>
              <w:t xml:space="preserve"> </w:t>
            </w:r>
            <w:proofErr w:type="spellStart"/>
            <w:r w:rsidRPr="00E62EB7">
              <w:rPr>
                <w:rFonts w:cs="Times New Roman"/>
                <w:bCs/>
                <w:i/>
                <w:iCs/>
                <w:sz w:val="20"/>
                <w:szCs w:val="20"/>
              </w:rPr>
              <w:t>Intelligence</w:t>
            </w:r>
            <w:proofErr w:type="spellEnd"/>
            <w:r w:rsidRPr="00E62EB7">
              <w:rPr>
                <w:rFonts w:cs="Times New Roman"/>
                <w:bCs/>
                <w:i/>
                <w:iCs/>
                <w:sz w:val="20"/>
                <w:szCs w:val="20"/>
              </w:rPr>
              <w:t xml:space="preserve"> </w:t>
            </w:r>
            <w:proofErr w:type="spellStart"/>
            <w:r w:rsidRPr="00E62EB7">
              <w:rPr>
                <w:rFonts w:cs="Times New Roman"/>
                <w:bCs/>
                <w:i/>
                <w:iCs/>
                <w:sz w:val="20"/>
                <w:szCs w:val="20"/>
              </w:rPr>
              <w:t>Public</w:t>
            </w:r>
            <w:proofErr w:type="spellEnd"/>
            <w:r w:rsidRPr="00E62EB7">
              <w:rPr>
                <w:rFonts w:cs="Times New Roman"/>
                <w:bCs/>
                <w:i/>
                <w:iCs/>
                <w:sz w:val="20"/>
                <w:szCs w:val="20"/>
              </w:rPr>
              <w:t xml:space="preserve"> </w:t>
            </w:r>
            <w:proofErr w:type="spellStart"/>
            <w:r w:rsidRPr="00E62EB7">
              <w:rPr>
                <w:rFonts w:cs="Times New Roman"/>
                <w:bCs/>
                <w:i/>
                <w:iCs/>
                <w:sz w:val="20"/>
                <w:szCs w:val="20"/>
              </w:rPr>
              <w:t>Private</w:t>
            </w:r>
            <w:proofErr w:type="spellEnd"/>
            <w:r w:rsidRPr="00E62EB7">
              <w:rPr>
                <w:rFonts w:cs="Times New Roman"/>
                <w:bCs/>
                <w:i/>
                <w:iCs/>
                <w:sz w:val="20"/>
                <w:szCs w:val="20"/>
              </w:rPr>
              <w:t xml:space="preserve"> </w:t>
            </w:r>
            <w:proofErr w:type="spellStart"/>
            <w:r w:rsidRPr="00E62EB7">
              <w:rPr>
                <w:rFonts w:cs="Times New Roman"/>
                <w:bCs/>
                <w:i/>
                <w:iCs/>
                <w:sz w:val="20"/>
                <w:szCs w:val="20"/>
              </w:rPr>
              <w:t>Partnership</w:t>
            </w:r>
            <w:proofErr w:type="spellEnd"/>
            <w:r w:rsidRPr="00E62EB7">
              <w:rPr>
                <w:rFonts w:cs="Times New Roman"/>
                <w:bCs/>
                <w:i/>
                <w:iCs/>
                <w:sz w:val="20"/>
                <w:szCs w:val="20"/>
              </w:rPr>
              <w:t xml:space="preserve"> (EFIPPP) </w:t>
            </w:r>
            <w:proofErr w:type="spellStart"/>
            <w:r w:rsidRPr="00E62EB7">
              <w:rPr>
                <w:rFonts w:cs="Times New Roman"/>
                <w:bCs/>
                <w:i/>
                <w:iCs/>
                <w:sz w:val="20"/>
                <w:szCs w:val="20"/>
              </w:rPr>
              <w:t>Steering</w:t>
            </w:r>
            <w:proofErr w:type="spellEnd"/>
            <w:r w:rsidRPr="00E62EB7">
              <w:rPr>
                <w:rFonts w:cs="Times New Roman"/>
                <w:bCs/>
                <w:i/>
                <w:iCs/>
                <w:sz w:val="20"/>
                <w:szCs w:val="20"/>
              </w:rPr>
              <w:t xml:space="preserve"> </w:t>
            </w:r>
            <w:proofErr w:type="spellStart"/>
            <w:r w:rsidRPr="00E62EB7">
              <w:rPr>
                <w:rFonts w:cs="Times New Roman"/>
                <w:bCs/>
                <w:i/>
                <w:iCs/>
                <w:sz w:val="20"/>
                <w:szCs w:val="20"/>
              </w:rPr>
              <w:t>Committee</w:t>
            </w:r>
            <w:proofErr w:type="spellEnd"/>
            <w:r w:rsidRPr="00E62EB7">
              <w:rPr>
                <w:rFonts w:cs="Times New Roman"/>
                <w:bCs/>
                <w:i/>
                <w:iCs/>
                <w:sz w:val="20"/>
                <w:szCs w:val="20"/>
              </w:rPr>
              <w:t xml:space="preserve">, EFIPPP </w:t>
            </w:r>
            <w:proofErr w:type="spellStart"/>
            <w:r w:rsidRPr="00E62EB7">
              <w:rPr>
                <w:rFonts w:cs="Times New Roman"/>
                <w:bCs/>
                <w:i/>
                <w:iCs/>
                <w:sz w:val="20"/>
                <w:szCs w:val="20"/>
              </w:rPr>
              <w:t>threats</w:t>
            </w:r>
            <w:proofErr w:type="spellEnd"/>
            <w:r w:rsidRPr="00E62EB7">
              <w:rPr>
                <w:rFonts w:cs="Times New Roman"/>
                <w:bCs/>
                <w:i/>
                <w:iCs/>
                <w:sz w:val="20"/>
                <w:szCs w:val="20"/>
              </w:rPr>
              <w:t xml:space="preserve"> &amp; </w:t>
            </w:r>
            <w:proofErr w:type="spellStart"/>
            <w:r w:rsidRPr="00E62EB7">
              <w:rPr>
                <w:rFonts w:cs="Times New Roman"/>
                <w:bCs/>
                <w:i/>
                <w:iCs/>
                <w:sz w:val="20"/>
                <w:szCs w:val="20"/>
              </w:rPr>
              <w:t>typologies</w:t>
            </w:r>
            <w:proofErr w:type="spellEnd"/>
            <w:r w:rsidRPr="00E62EB7">
              <w:rPr>
                <w:rFonts w:cs="Times New Roman"/>
                <w:bCs/>
                <w:i/>
                <w:iCs/>
                <w:sz w:val="20"/>
                <w:szCs w:val="20"/>
              </w:rPr>
              <w:t xml:space="preserve"> </w:t>
            </w:r>
            <w:proofErr w:type="spellStart"/>
            <w:r w:rsidRPr="00E62EB7">
              <w:rPr>
                <w:rFonts w:cs="Times New Roman"/>
                <w:bCs/>
                <w:i/>
                <w:iCs/>
                <w:sz w:val="20"/>
                <w:szCs w:val="20"/>
              </w:rPr>
              <w:t>working</w:t>
            </w:r>
            <w:proofErr w:type="spellEnd"/>
            <w:r w:rsidRPr="00E62EB7">
              <w:rPr>
                <w:rFonts w:cs="Times New Roman"/>
                <w:bCs/>
                <w:i/>
                <w:iCs/>
                <w:sz w:val="20"/>
                <w:szCs w:val="20"/>
              </w:rPr>
              <w:t xml:space="preserve"> </w:t>
            </w:r>
            <w:proofErr w:type="spellStart"/>
            <w:r w:rsidRPr="00E62EB7">
              <w:rPr>
                <w:rFonts w:cs="Times New Roman"/>
                <w:bCs/>
                <w:i/>
                <w:iCs/>
                <w:sz w:val="20"/>
                <w:szCs w:val="20"/>
              </w:rPr>
              <w:t>group</w:t>
            </w:r>
            <w:proofErr w:type="spellEnd"/>
            <w:r w:rsidRPr="00E62EB7">
              <w:rPr>
                <w:rFonts w:cs="Times New Roman"/>
                <w:bCs/>
                <w:i/>
                <w:iCs/>
                <w:sz w:val="20"/>
                <w:szCs w:val="20"/>
              </w:rPr>
              <w:t xml:space="preserve">, EFIPPP </w:t>
            </w:r>
            <w:proofErr w:type="spellStart"/>
            <w:r w:rsidRPr="00E62EB7">
              <w:rPr>
                <w:rFonts w:cs="Times New Roman"/>
                <w:bCs/>
                <w:i/>
                <w:iCs/>
                <w:sz w:val="20"/>
                <w:szCs w:val="20"/>
              </w:rPr>
              <w:t>Plenaries</w:t>
            </w:r>
            <w:proofErr w:type="spellEnd"/>
            <w:r w:rsidRPr="00937A92">
              <w:rPr>
                <w:rFonts w:cs="Times New Roman"/>
                <w:bCs/>
                <w:sz w:val="20"/>
                <w:szCs w:val="20"/>
              </w:rPr>
              <w:t xml:space="preserve"> un citos pasākumos.</w:t>
            </w:r>
          </w:p>
        </w:tc>
      </w:tr>
    </w:tbl>
    <w:p w14:paraId="409DD5BB"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C703D7" w:rsidRPr="001B1DB1" w14:paraId="15F5A275" w14:textId="77777777" w:rsidTr="009744C5">
        <w:tc>
          <w:tcPr>
            <w:tcW w:w="4395" w:type="dxa"/>
            <w:gridSpan w:val="2"/>
          </w:tcPr>
          <w:p w14:paraId="021D3491" w14:textId="77777777" w:rsidR="00C703D7" w:rsidRPr="001B1DB1" w:rsidRDefault="00C703D7" w:rsidP="00C703D7">
            <w:pPr>
              <w:rPr>
                <w:rFonts w:cs="Times New Roman"/>
                <w:b/>
                <w:bCs/>
                <w:sz w:val="20"/>
                <w:szCs w:val="20"/>
              </w:rPr>
            </w:pPr>
            <w:r w:rsidRPr="001B1DB1">
              <w:rPr>
                <w:rFonts w:cs="Times New Roman"/>
                <w:b/>
                <w:bCs/>
                <w:sz w:val="20"/>
                <w:szCs w:val="20"/>
              </w:rPr>
              <w:t>Rīcības virziens</w:t>
            </w:r>
          </w:p>
        </w:tc>
        <w:tc>
          <w:tcPr>
            <w:tcW w:w="10631" w:type="dxa"/>
            <w:gridSpan w:val="6"/>
          </w:tcPr>
          <w:p w14:paraId="357649B0" w14:textId="77777777" w:rsidR="00C703D7" w:rsidRPr="001B1DB1" w:rsidRDefault="00C703D7" w:rsidP="00C703D7">
            <w:pPr>
              <w:jc w:val="both"/>
              <w:rPr>
                <w:rFonts w:cs="Times New Roman"/>
                <w:b/>
                <w:bCs/>
                <w:sz w:val="20"/>
                <w:szCs w:val="20"/>
              </w:rPr>
            </w:pPr>
            <w:r w:rsidRPr="001B1DB1">
              <w:rPr>
                <w:rFonts w:cs="Times New Roman"/>
                <w:b/>
                <w:bCs/>
                <w:sz w:val="20"/>
                <w:szCs w:val="20"/>
              </w:rPr>
              <w:t>Starptautiskā sadarbība</w:t>
            </w:r>
          </w:p>
        </w:tc>
      </w:tr>
      <w:tr w:rsidR="00653158" w:rsidRPr="001B1DB1" w14:paraId="32CCFD47" w14:textId="77777777" w:rsidTr="00172808">
        <w:tc>
          <w:tcPr>
            <w:tcW w:w="4395" w:type="dxa"/>
            <w:gridSpan w:val="2"/>
          </w:tcPr>
          <w:p w14:paraId="0B6631DB" w14:textId="7677921F"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6A935FBE" w14:textId="77777777" w:rsidR="00653158" w:rsidRPr="001B1DB1" w:rsidRDefault="00653158" w:rsidP="00653158">
            <w:pPr>
              <w:jc w:val="both"/>
              <w:rPr>
                <w:rFonts w:cs="Times New Roman"/>
                <w:b/>
                <w:bCs/>
                <w:sz w:val="20"/>
                <w:szCs w:val="20"/>
              </w:rPr>
            </w:pPr>
            <w:r w:rsidRPr="001B1DB1">
              <w:rPr>
                <w:b/>
                <w:bCs/>
                <w:sz w:val="20"/>
                <w:szCs w:val="20"/>
              </w:rPr>
              <w:t>Starptautiskā sadarbība sniedz noderīgu informāciju, sekmē finanšu izlūkošanu un pierādījumu iegūšanu un veicina vēršanos pret noziedzniekiem un to aktīviem.</w:t>
            </w:r>
          </w:p>
        </w:tc>
      </w:tr>
      <w:tr w:rsidR="004F6CB1" w:rsidRPr="001B1DB1" w14:paraId="6E7057A2" w14:textId="77777777" w:rsidTr="009744C5">
        <w:trPr>
          <w:trHeight w:val="543"/>
        </w:trPr>
        <w:tc>
          <w:tcPr>
            <w:tcW w:w="709" w:type="dxa"/>
          </w:tcPr>
          <w:p w14:paraId="7D1D4CEE" w14:textId="77777777" w:rsidR="004F6CB1" w:rsidRPr="001B1DB1" w:rsidRDefault="004F6CB1" w:rsidP="004F6CB1">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681D32E1" w14:textId="77777777" w:rsidR="004F6CB1" w:rsidRPr="001B1DB1" w:rsidRDefault="004F6CB1" w:rsidP="004F6CB1">
            <w:pPr>
              <w:jc w:val="center"/>
              <w:rPr>
                <w:rFonts w:cs="Times New Roman"/>
                <w:bCs/>
                <w:i/>
                <w:sz w:val="20"/>
                <w:szCs w:val="20"/>
              </w:rPr>
            </w:pPr>
            <w:r w:rsidRPr="001B1DB1">
              <w:rPr>
                <w:rFonts w:cs="Times New Roman"/>
                <w:b/>
                <w:bCs/>
                <w:sz w:val="20"/>
                <w:szCs w:val="20"/>
              </w:rPr>
              <w:t>Pasākums</w:t>
            </w:r>
          </w:p>
        </w:tc>
        <w:tc>
          <w:tcPr>
            <w:tcW w:w="1559" w:type="dxa"/>
          </w:tcPr>
          <w:p w14:paraId="4335DBA6" w14:textId="77777777" w:rsidR="004F6CB1" w:rsidRPr="001B1DB1" w:rsidRDefault="004F6CB1" w:rsidP="004F6CB1">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04383717" w14:textId="77777777" w:rsidR="004F6CB1" w:rsidRPr="001B1DB1" w:rsidRDefault="004F6CB1" w:rsidP="004F6CB1">
            <w:pPr>
              <w:jc w:val="center"/>
              <w:rPr>
                <w:rFonts w:cs="Times New Roman"/>
                <w:b/>
                <w:bCs/>
                <w:i/>
                <w:sz w:val="20"/>
                <w:szCs w:val="20"/>
              </w:rPr>
            </w:pPr>
            <w:r w:rsidRPr="001B1DB1">
              <w:rPr>
                <w:rFonts w:cs="Times New Roman"/>
                <w:b/>
                <w:sz w:val="20"/>
                <w:szCs w:val="20"/>
              </w:rPr>
              <w:t>Darbības rezultāts</w:t>
            </w:r>
          </w:p>
        </w:tc>
        <w:tc>
          <w:tcPr>
            <w:tcW w:w="2694" w:type="dxa"/>
          </w:tcPr>
          <w:p w14:paraId="7BA62147" w14:textId="77777777" w:rsidR="004F6CB1" w:rsidRPr="001B1DB1" w:rsidRDefault="004F6CB1" w:rsidP="004F6CB1">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2F579C47" w14:textId="77777777" w:rsidR="004F6CB1" w:rsidRPr="001B1DB1" w:rsidRDefault="004F6CB1" w:rsidP="004F6CB1">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4F131075" w14:textId="77777777" w:rsidR="004F6CB1" w:rsidRPr="001B1DB1" w:rsidRDefault="004F6CB1" w:rsidP="004F6CB1">
            <w:pPr>
              <w:jc w:val="center"/>
              <w:rPr>
                <w:rFonts w:cs="Times New Roman"/>
                <w:b/>
                <w:bCs/>
                <w:sz w:val="20"/>
                <w:szCs w:val="20"/>
              </w:rPr>
            </w:pPr>
            <w:r w:rsidRPr="001B1DB1">
              <w:rPr>
                <w:rFonts w:cs="Times New Roman"/>
                <w:b/>
                <w:bCs/>
                <w:sz w:val="20"/>
                <w:szCs w:val="20"/>
              </w:rPr>
              <w:t>Līdz-</w:t>
            </w:r>
          </w:p>
          <w:p w14:paraId="296B28FB" w14:textId="77777777" w:rsidR="004F6CB1" w:rsidRPr="001B1DB1" w:rsidRDefault="004F6CB1" w:rsidP="004F6CB1">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0F0FDBCF" w14:textId="77777777" w:rsidR="004F6CB1" w:rsidRPr="001B1DB1" w:rsidRDefault="004F6CB1" w:rsidP="004F6CB1">
            <w:pPr>
              <w:jc w:val="center"/>
              <w:rPr>
                <w:rFonts w:cs="Times New Roman"/>
                <w:bCs/>
                <w:i/>
                <w:sz w:val="20"/>
                <w:szCs w:val="20"/>
              </w:rPr>
            </w:pPr>
            <w:r w:rsidRPr="001B1DB1">
              <w:rPr>
                <w:rFonts w:cs="Times New Roman"/>
                <w:b/>
                <w:bCs/>
                <w:sz w:val="20"/>
                <w:szCs w:val="20"/>
              </w:rPr>
              <w:t>Izpildes termiņš</w:t>
            </w:r>
          </w:p>
        </w:tc>
      </w:tr>
      <w:tr w:rsidR="00B9541C" w:rsidRPr="001B1DB1" w14:paraId="662B353D" w14:textId="77777777" w:rsidTr="00172808">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B08D47" w14:textId="78DD5712" w:rsidR="00B9541C" w:rsidRPr="001B1DB1" w:rsidRDefault="00B9541C" w:rsidP="00F6007F">
            <w:pPr>
              <w:jc w:val="center"/>
              <w:rPr>
                <w:sz w:val="20"/>
                <w:szCs w:val="20"/>
              </w:rPr>
            </w:pPr>
            <w:r>
              <w:rPr>
                <w:sz w:val="20"/>
                <w:szCs w:val="20"/>
              </w:rPr>
              <w:t>2.6.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428C0F9" w14:textId="543CD3CB" w:rsidR="00B9541C" w:rsidRPr="001B1DB1" w:rsidRDefault="00B9541C" w:rsidP="00B9541C">
            <w:pPr>
              <w:jc w:val="both"/>
              <w:rPr>
                <w:sz w:val="20"/>
                <w:szCs w:val="20"/>
              </w:rPr>
            </w:pPr>
            <w:r>
              <w:rPr>
                <w:sz w:val="20"/>
                <w:szCs w:val="20"/>
              </w:rPr>
              <w:t xml:space="preserve">Nodrošināt, ka UKI, FID un izmeklēšanas iestādes </w:t>
            </w:r>
            <w:r w:rsidRPr="00D860EF">
              <w:rPr>
                <w:sz w:val="20"/>
                <w:szCs w:val="20"/>
              </w:rPr>
              <w:t xml:space="preserve">var ātri, konstruktīvi un efektīvi nodrošināt visplašāko starptautisko sadarbību attiecībā uz </w:t>
            </w:r>
            <w:r>
              <w:rPr>
                <w:sz w:val="20"/>
                <w:szCs w:val="20"/>
              </w:rPr>
              <w:t>NILL</w:t>
            </w:r>
            <w:r w:rsidRPr="00D860EF">
              <w:rPr>
                <w:sz w:val="20"/>
                <w:szCs w:val="20"/>
              </w:rPr>
              <w:t>, saistītiem sākotnējiem noziedzīgajiem nodarīj</w:t>
            </w:r>
            <w:r>
              <w:rPr>
                <w:sz w:val="20"/>
                <w:szCs w:val="20"/>
              </w:rPr>
              <w:t>umiem un terorisma finansēšanu atbilstoši FATF 40. rekomendācijas prasībām.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254BC9" w14:textId="6EE8F0F0" w:rsidR="00B9541C" w:rsidRDefault="00B9541C" w:rsidP="00B9541C">
            <w:pPr>
              <w:jc w:val="both"/>
              <w:rPr>
                <w:sz w:val="20"/>
                <w:szCs w:val="20"/>
              </w:rPr>
            </w:pPr>
            <w:r>
              <w:rPr>
                <w:sz w:val="20"/>
                <w:szCs w:val="20"/>
              </w:rPr>
              <w:t>FATF 40. rekomendācija</w:t>
            </w:r>
            <w:r w:rsidR="001209FF">
              <w:rPr>
                <w:sz w:val="20"/>
                <w:szCs w:val="20"/>
              </w:rPr>
              <w:t>;</w:t>
            </w:r>
          </w:p>
          <w:p w14:paraId="1A7FE4C1" w14:textId="010650F9" w:rsidR="00B9541C" w:rsidRPr="001B1DB1" w:rsidRDefault="00B9541C" w:rsidP="00B9541C">
            <w:pPr>
              <w:jc w:val="both"/>
              <w:rPr>
                <w:sz w:val="20"/>
                <w:szCs w:val="20"/>
              </w:rPr>
            </w:pPr>
            <w:proofErr w:type="spellStart"/>
            <w:r w:rsidRPr="00CA689C">
              <w:rPr>
                <w:i/>
                <w:sz w:val="20"/>
                <w:szCs w:val="20"/>
              </w:rPr>
              <w:t>Latvia’s</w:t>
            </w:r>
            <w:proofErr w:type="spellEnd"/>
            <w:r w:rsidRPr="00CA689C">
              <w:rPr>
                <w:i/>
                <w:sz w:val="20"/>
                <w:szCs w:val="20"/>
              </w:rPr>
              <w:t xml:space="preserve"> First </w:t>
            </w:r>
            <w:proofErr w:type="spellStart"/>
            <w:r w:rsidRPr="00CA689C">
              <w:rPr>
                <w:i/>
                <w:sz w:val="20"/>
                <w:szCs w:val="20"/>
              </w:rPr>
              <w:t>Enhanced</w:t>
            </w:r>
            <w:proofErr w:type="spellEnd"/>
            <w:r w:rsidRPr="00CA689C">
              <w:rPr>
                <w:i/>
                <w:sz w:val="20"/>
                <w:szCs w:val="20"/>
              </w:rPr>
              <w:t xml:space="preserve"> </w:t>
            </w:r>
            <w:proofErr w:type="spellStart"/>
            <w:r w:rsidRPr="00CA689C">
              <w:rPr>
                <w:i/>
                <w:sz w:val="20"/>
                <w:szCs w:val="20"/>
              </w:rPr>
              <w:t>Follow</w:t>
            </w:r>
            <w:proofErr w:type="spellEnd"/>
            <w:r w:rsidRPr="00CA689C">
              <w:rPr>
                <w:i/>
                <w:sz w:val="20"/>
                <w:szCs w:val="20"/>
              </w:rPr>
              <w:t xml:space="preserve"> </w:t>
            </w:r>
            <w:proofErr w:type="spellStart"/>
            <w:r w:rsidRPr="00CA689C">
              <w:rPr>
                <w:i/>
                <w:sz w:val="20"/>
                <w:szCs w:val="20"/>
              </w:rPr>
              <w:t>up</w:t>
            </w:r>
            <w:proofErr w:type="spellEnd"/>
            <w:r w:rsidRPr="00CA689C">
              <w:rPr>
                <w:i/>
                <w:sz w:val="20"/>
                <w:szCs w:val="20"/>
              </w:rPr>
              <w:t xml:space="preserve"> </w:t>
            </w:r>
            <w:proofErr w:type="spellStart"/>
            <w:r w:rsidRPr="00CA689C">
              <w:rPr>
                <w:i/>
                <w:sz w:val="20"/>
                <w:szCs w:val="20"/>
              </w:rPr>
              <w:t>Report</w:t>
            </w:r>
            <w:proofErr w:type="spellEnd"/>
            <w:r>
              <w:rPr>
                <w:sz w:val="20"/>
                <w:szCs w:val="20"/>
              </w:rPr>
              <w:t xml:space="preserve"> – 73. un 75. rindkopa.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77780DA" w14:textId="3C95EC70" w:rsidR="00B9541C" w:rsidRPr="001B1DB1" w:rsidRDefault="00B9541C" w:rsidP="00B9541C">
            <w:pPr>
              <w:jc w:val="both"/>
              <w:rPr>
                <w:sz w:val="20"/>
                <w:szCs w:val="20"/>
              </w:rPr>
            </w:pPr>
            <w:r>
              <w:rPr>
                <w:sz w:val="20"/>
                <w:szCs w:val="20"/>
              </w:rPr>
              <w:t xml:space="preserve">UKI, FID un izmeklēšanas iestāžu īstenotā starptautiskā sadarbība </w:t>
            </w:r>
            <w:r w:rsidRPr="00D860EF">
              <w:rPr>
                <w:sz w:val="20"/>
                <w:szCs w:val="20"/>
              </w:rPr>
              <w:t xml:space="preserve">attiecībā uz </w:t>
            </w:r>
            <w:r>
              <w:rPr>
                <w:sz w:val="20"/>
                <w:szCs w:val="20"/>
              </w:rPr>
              <w:t>NILL</w:t>
            </w:r>
            <w:r w:rsidRPr="00D860EF">
              <w:rPr>
                <w:sz w:val="20"/>
                <w:szCs w:val="20"/>
              </w:rPr>
              <w:t>, saistītiem sākotnējiem noziedzīgajiem nodarīj</w:t>
            </w:r>
            <w:r>
              <w:rPr>
                <w:sz w:val="20"/>
                <w:szCs w:val="20"/>
              </w:rPr>
              <w:t>umiem un terorisma finansēšanu atbilst FATF 40.rekomendācijas prasībām.</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E9702A2" w14:textId="68C2D3D1" w:rsidR="00B9541C" w:rsidRPr="001B1DB1" w:rsidRDefault="00B9541C" w:rsidP="00B9541C">
            <w:pPr>
              <w:jc w:val="both"/>
              <w:rPr>
                <w:sz w:val="20"/>
                <w:szCs w:val="20"/>
              </w:rPr>
            </w:pPr>
            <w:r>
              <w:rPr>
                <w:sz w:val="20"/>
                <w:szCs w:val="20"/>
              </w:rPr>
              <w:t>Papildinātas un aktualizētas „</w:t>
            </w:r>
            <w:r w:rsidRPr="00B205AF">
              <w:rPr>
                <w:sz w:val="20"/>
                <w:szCs w:val="20"/>
              </w:rPr>
              <w:t>Vadlīnijas noziedzīgi iegūtu līdzekļu legalizācijas un terorisma finansēšanas novēršanas uzraudzības un kontroles institūc</w:t>
            </w:r>
            <w:r>
              <w:rPr>
                <w:sz w:val="20"/>
                <w:szCs w:val="20"/>
              </w:rPr>
              <w:t xml:space="preserve">iju starptautiskajai sadarbībai”, attiecinot tās arī uz FID un izmeklēšanas iestāžu īstenoto starptautisko sadarbību saskaņā ar FATF 40.rekomendācijas prasībām.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4D0015" w14:textId="0D2E1CA5" w:rsidR="00B9541C" w:rsidRPr="001B1DB1" w:rsidRDefault="00B9541C" w:rsidP="00B9541C">
            <w:pPr>
              <w:pStyle w:val="Body"/>
              <w:jc w:val="center"/>
              <w:rPr>
                <w:sz w:val="20"/>
                <w:szCs w:val="20"/>
              </w:rPr>
            </w:pPr>
            <w:r>
              <w:rPr>
                <w:sz w:val="20"/>
                <w:szCs w:val="20"/>
              </w:rPr>
              <w:t>TM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08E970" w14:textId="0D9B8A93" w:rsidR="00B9541C" w:rsidRPr="001B1DB1" w:rsidRDefault="00B9541C" w:rsidP="00B9541C">
            <w:pPr>
              <w:jc w:val="center"/>
              <w:rPr>
                <w:rFonts w:cs="Times New Roman"/>
                <w:sz w:val="20"/>
                <w:szCs w:val="20"/>
              </w:rPr>
            </w:pPr>
            <w:r w:rsidRPr="001B1DB1">
              <w:rPr>
                <w:sz w:val="20"/>
                <w:szCs w:val="20"/>
              </w:rPr>
              <w:t>VID, FKTK, LB, IAUI, LZAP, LZNP, LZRA, NKMP, PTAC,</w:t>
            </w:r>
            <w:r>
              <w:rPr>
                <w:sz w:val="20"/>
                <w:szCs w:val="20"/>
              </w:rPr>
              <w:t xml:space="preserve"> LSMPAA,</w:t>
            </w:r>
            <w:r w:rsidR="00171A05">
              <w:rPr>
                <w:sz w:val="20"/>
                <w:szCs w:val="20"/>
              </w:rPr>
              <w:t xml:space="preserve"> </w:t>
            </w:r>
            <w:r w:rsidR="00171A05">
              <w:rPr>
                <w:rFonts w:cs="Times New Roman"/>
                <w:sz w:val="20"/>
                <w:szCs w:val="20"/>
              </w:rPr>
              <w:t>MKD,</w:t>
            </w:r>
            <w:r w:rsidRPr="001B1DB1">
              <w:rPr>
                <w:sz w:val="20"/>
                <w:szCs w:val="20"/>
              </w:rPr>
              <w:t xml:space="preserve"> FID</w:t>
            </w:r>
            <w:r>
              <w:rPr>
                <w:sz w:val="20"/>
                <w:szCs w:val="20"/>
              </w:rPr>
              <w:t xml:space="preserve">, </w:t>
            </w:r>
            <w:r w:rsidRPr="001B1DB1">
              <w:rPr>
                <w:sz w:val="20"/>
                <w:szCs w:val="20"/>
              </w:rPr>
              <w:t xml:space="preserve">VP, KNAB, VDD, VRS, </w:t>
            </w:r>
            <w:r w:rsidRPr="001B1DB1">
              <w:rPr>
                <w:sz w:val="20"/>
                <w:szCs w:val="20"/>
              </w:rPr>
              <w:lastRenderedPageBreak/>
              <w:t xml:space="preserve">IDB, </w:t>
            </w:r>
            <w:r w:rsidRPr="00833304">
              <w:rPr>
                <w:sz w:val="20"/>
                <w:szCs w:val="20"/>
              </w:rPr>
              <w:t>MP</w:t>
            </w:r>
            <w:r w:rsidRPr="001B1DB1">
              <w:rPr>
                <w:sz w:val="20"/>
                <w:szCs w:val="20"/>
              </w:rPr>
              <w:t xml:space="preserve">, </w:t>
            </w:r>
            <w:proofErr w:type="spellStart"/>
            <w:r w:rsidRPr="001B1DB1">
              <w:rPr>
                <w:sz w:val="20"/>
                <w:szCs w:val="20"/>
              </w:rPr>
              <w:t>IeVP</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F05649" w14:textId="63511F2C" w:rsidR="00B9541C" w:rsidRPr="001B1DB1" w:rsidRDefault="00B9541C" w:rsidP="00B9541C">
            <w:pPr>
              <w:jc w:val="center"/>
              <w:rPr>
                <w:sz w:val="20"/>
                <w:szCs w:val="20"/>
              </w:rPr>
            </w:pPr>
            <w:r>
              <w:rPr>
                <w:sz w:val="20"/>
                <w:szCs w:val="20"/>
              </w:rPr>
              <w:lastRenderedPageBreak/>
              <w:t>31.12.2020.</w:t>
            </w:r>
          </w:p>
        </w:tc>
      </w:tr>
      <w:tr w:rsidR="00AD56CB" w:rsidRPr="001B1DB1" w14:paraId="5F11FBF7" w14:textId="77777777" w:rsidTr="00CA3A46">
        <w:trPr>
          <w:trHeight w:val="543"/>
        </w:trPr>
        <w:tc>
          <w:tcPr>
            <w:tcW w:w="15026" w:type="dxa"/>
            <w:gridSpan w:val="8"/>
            <w:tcBorders>
              <w:top w:val="single" w:sz="4" w:space="0" w:color="000000"/>
              <w:left w:val="single" w:sz="4" w:space="0" w:color="000000"/>
              <w:bottom w:val="single" w:sz="4" w:space="0" w:color="000000"/>
              <w:right w:val="single" w:sz="4" w:space="0" w:color="000000"/>
            </w:tcBorders>
            <w:shd w:val="clear" w:color="auto" w:fill="auto"/>
          </w:tcPr>
          <w:p w14:paraId="14306306" w14:textId="77777777" w:rsidR="00AD56CB" w:rsidRDefault="00A02E44" w:rsidP="00A02E44">
            <w:pPr>
              <w:jc w:val="both"/>
              <w:rPr>
                <w:rFonts w:cs="Times New Roman"/>
                <w:b/>
                <w:bCs/>
                <w:sz w:val="20"/>
                <w:szCs w:val="20"/>
              </w:rPr>
            </w:pPr>
            <w:r w:rsidRPr="001B1DB1">
              <w:rPr>
                <w:rFonts w:cs="Times New Roman"/>
                <w:b/>
                <w:bCs/>
                <w:sz w:val="20"/>
                <w:szCs w:val="20"/>
              </w:rPr>
              <w:t>Izpilde</w:t>
            </w:r>
          </w:p>
          <w:p w14:paraId="47C15621" w14:textId="5FC9CF1A" w:rsidR="00C27322" w:rsidRPr="00C27322" w:rsidRDefault="00C27322" w:rsidP="00A02E44">
            <w:pPr>
              <w:jc w:val="both"/>
              <w:rPr>
                <w:sz w:val="20"/>
                <w:szCs w:val="20"/>
              </w:rPr>
            </w:pPr>
            <w:r>
              <w:rPr>
                <w:sz w:val="20"/>
                <w:szCs w:val="20"/>
              </w:rPr>
              <w:t>TM</w:t>
            </w:r>
            <w:r w:rsidRPr="00C27322">
              <w:rPr>
                <w:sz w:val="20"/>
                <w:szCs w:val="20"/>
              </w:rPr>
              <w:t xml:space="preserve"> ir papildinājusi un aktualizējusi „Vadlīnijas noziedzīgi iegūtu līdzekļu legalizācijas un terorisma finansēšanas novēršanas uzraudzības un kontroles institūciju starptautiskajai sadarbībai”, attiecinot tās arī uz FID un izmeklēšanas iestāžu īstenoto starptautisko sadarbību saskaņā ar FATF 40. rekomendācijas prasībām. Vadlīnijas ir saskaņotas ar izmeklēšanas iestādēm un FID un tiks izplatītas uzraudzības un kontroles institūcijām, kā arī izmeklēšanas iestādēm un FID, kā arī publicētas </w:t>
            </w:r>
            <w:r>
              <w:rPr>
                <w:sz w:val="20"/>
                <w:szCs w:val="20"/>
              </w:rPr>
              <w:t>TM</w:t>
            </w:r>
            <w:r w:rsidRPr="00C27322">
              <w:rPr>
                <w:sz w:val="20"/>
                <w:szCs w:val="20"/>
              </w:rPr>
              <w:t xml:space="preserve"> mājas lapā.</w:t>
            </w:r>
          </w:p>
        </w:tc>
      </w:tr>
    </w:tbl>
    <w:p w14:paraId="4AEDACC5"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12517F" w:rsidRPr="001B1DB1" w14:paraId="5C9B7FE1" w14:textId="77777777" w:rsidTr="009744C5">
        <w:tc>
          <w:tcPr>
            <w:tcW w:w="4395" w:type="dxa"/>
            <w:gridSpan w:val="2"/>
          </w:tcPr>
          <w:p w14:paraId="1B09EA3E" w14:textId="77777777" w:rsidR="0012517F" w:rsidRPr="001B1DB1" w:rsidRDefault="0012517F" w:rsidP="0012517F">
            <w:pPr>
              <w:rPr>
                <w:rFonts w:cs="Times New Roman"/>
                <w:b/>
                <w:bCs/>
                <w:sz w:val="20"/>
                <w:szCs w:val="20"/>
              </w:rPr>
            </w:pPr>
            <w:r w:rsidRPr="001B1DB1">
              <w:rPr>
                <w:rFonts w:cs="Times New Roman"/>
                <w:b/>
                <w:bCs/>
                <w:sz w:val="20"/>
                <w:szCs w:val="20"/>
              </w:rPr>
              <w:t>Rīcības virziens</w:t>
            </w:r>
          </w:p>
        </w:tc>
        <w:tc>
          <w:tcPr>
            <w:tcW w:w="10631" w:type="dxa"/>
            <w:gridSpan w:val="6"/>
          </w:tcPr>
          <w:p w14:paraId="666C1CD8" w14:textId="77777777" w:rsidR="0012517F" w:rsidRPr="001B1DB1" w:rsidRDefault="00913DC1" w:rsidP="0012517F">
            <w:pPr>
              <w:jc w:val="both"/>
              <w:rPr>
                <w:rFonts w:cs="Times New Roman"/>
                <w:b/>
                <w:bCs/>
                <w:sz w:val="20"/>
                <w:szCs w:val="20"/>
              </w:rPr>
            </w:pPr>
            <w:r w:rsidRPr="001B1DB1">
              <w:rPr>
                <w:rFonts w:cs="Times New Roman"/>
                <w:b/>
                <w:bCs/>
                <w:sz w:val="20"/>
                <w:szCs w:val="20"/>
              </w:rPr>
              <w:t>UZRAUDZĪBA</w:t>
            </w:r>
          </w:p>
        </w:tc>
      </w:tr>
      <w:tr w:rsidR="00653158" w:rsidRPr="001B1DB1" w14:paraId="2A6433C3" w14:textId="77777777" w:rsidTr="009744C5">
        <w:tc>
          <w:tcPr>
            <w:tcW w:w="4395" w:type="dxa"/>
            <w:gridSpan w:val="2"/>
          </w:tcPr>
          <w:p w14:paraId="5485CCC7" w14:textId="642D95C3"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Pr>
          <w:p w14:paraId="2C0DD9AB" w14:textId="77777777" w:rsidR="00653158" w:rsidRPr="001B1DB1" w:rsidRDefault="00653158">
            <w:pPr>
              <w:jc w:val="both"/>
              <w:rPr>
                <w:rFonts w:cs="Times New Roman"/>
                <w:b/>
                <w:bCs/>
                <w:sz w:val="20"/>
                <w:szCs w:val="20"/>
              </w:rPr>
            </w:pPr>
            <w:r w:rsidRPr="001B1DB1">
              <w:rPr>
                <w:rFonts w:cs="Times New Roman"/>
                <w:b/>
                <w:bCs/>
                <w:sz w:val="20"/>
                <w:szCs w:val="20"/>
              </w:rPr>
              <w:t>UKI pienācīgi uzrauga, kontrolē un regulē finanšu iestādes, NNDP un virtuālo aktīvu pakalpojumu sniedzējus, lai nodrošinātu atbilstību NILLTPFN prasībām, kas ir samērīgas atbilstošajiem riskiem.</w:t>
            </w:r>
          </w:p>
        </w:tc>
      </w:tr>
      <w:tr w:rsidR="00C703D7" w:rsidRPr="001B1DB1" w14:paraId="1CFBFA95" w14:textId="77777777" w:rsidTr="009744C5">
        <w:trPr>
          <w:trHeight w:val="543"/>
        </w:trPr>
        <w:tc>
          <w:tcPr>
            <w:tcW w:w="709" w:type="dxa"/>
          </w:tcPr>
          <w:p w14:paraId="612293FC"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069403B7"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775F3CCC"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1BAC5C97"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3E68D7B6"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57282633"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3A4E5E80"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6B8C2485"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7A620237"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7A3A99" w:rsidRPr="001B1DB1" w14:paraId="3761EC03" w14:textId="77777777" w:rsidTr="00002D3D">
        <w:trPr>
          <w:trHeight w:val="543"/>
        </w:trPr>
        <w:tc>
          <w:tcPr>
            <w:tcW w:w="709" w:type="dxa"/>
            <w:vMerge w:val="restart"/>
          </w:tcPr>
          <w:p w14:paraId="059182F1" w14:textId="77777777" w:rsidR="007A3A99" w:rsidRPr="001B1DB1" w:rsidRDefault="007A3A99" w:rsidP="00002D3D">
            <w:pPr>
              <w:jc w:val="center"/>
              <w:rPr>
                <w:rFonts w:cs="Times New Roman"/>
                <w:bCs/>
                <w:sz w:val="20"/>
                <w:szCs w:val="20"/>
              </w:rPr>
            </w:pPr>
            <w:r w:rsidRPr="001B1DB1">
              <w:rPr>
                <w:rFonts w:cs="Times New Roman"/>
                <w:bCs/>
                <w:sz w:val="20"/>
                <w:szCs w:val="20"/>
              </w:rPr>
              <w:t>3.2.</w:t>
            </w:r>
          </w:p>
        </w:tc>
        <w:tc>
          <w:tcPr>
            <w:tcW w:w="3686" w:type="dxa"/>
            <w:vMerge w:val="restart"/>
            <w:shd w:val="clear" w:color="auto" w:fill="auto"/>
          </w:tcPr>
          <w:p w14:paraId="3A59178A" w14:textId="77777777" w:rsidR="007A3A99" w:rsidRPr="001B1DB1" w:rsidRDefault="007A3A99" w:rsidP="003C76EA">
            <w:pPr>
              <w:jc w:val="both"/>
              <w:rPr>
                <w:sz w:val="20"/>
                <w:szCs w:val="20"/>
              </w:rPr>
            </w:pPr>
            <w:r w:rsidRPr="001B1DB1">
              <w:rPr>
                <w:rFonts w:cs="Times New Roman"/>
                <w:sz w:val="20"/>
                <w:szCs w:val="20"/>
              </w:rPr>
              <w:t>Pārskatīt UKI darbinieku skaitu un resursus, lai nodrošinātu, ka tās spēj adekvāti pārvaldīt identificētos riskus un uzraudzīt likuma subjektu rīcību attiecībā uz riskiem.</w:t>
            </w:r>
          </w:p>
        </w:tc>
        <w:tc>
          <w:tcPr>
            <w:tcW w:w="1559" w:type="dxa"/>
            <w:vMerge w:val="restart"/>
          </w:tcPr>
          <w:p w14:paraId="06E8E79F" w14:textId="79344E4E" w:rsidR="007A3A99" w:rsidRPr="001B1DB1" w:rsidRDefault="007A3A99" w:rsidP="001209FF">
            <w:pPr>
              <w:jc w:val="both"/>
              <w:rPr>
                <w:rFonts w:cs="Times New Roman"/>
                <w:sz w:val="20"/>
                <w:szCs w:val="20"/>
              </w:rPr>
            </w:pPr>
            <w:r w:rsidRPr="001B1DB1">
              <w:rPr>
                <w:rFonts w:cs="Times New Roman"/>
                <w:sz w:val="20"/>
                <w:szCs w:val="20"/>
              </w:rPr>
              <w:t>MONEYVAL 3.5.</w:t>
            </w:r>
            <w:r>
              <w:rPr>
                <w:rFonts w:cs="Times New Roman"/>
                <w:sz w:val="20"/>
                <w:szCs w:val="20"/>
              </w:rPr>
              <w:t xml:space="preserve"> </w:t>
            </w:r>
            <w:r w:rsidRPr="001B1DB1">
              <w:rPr>
                <w:rFonts w:cs="Times New Roman"/>
                <w:sz w:val="20"/>
                <w:szCs w:val="20"/>
              </w:rPr>
              <w:t>rekomendācija</w:t>
            </w:r>
            <w:r>
              <w:rPr>
                <w:rFonts w:cs="Times New Roman"/>
                <w:sz w:val="20"/>
                <w:szCs w:val="20"/>
              </w:rPr>
              <w:t>.</w:t>
            </w:r>
          </w:p>
        </w:tc>
        <w:tc>
          <w:tcPr>
            <w:tcW w:w="2551" w:type="dxa"/>
            <w:vMerge w:val="restart"/>
            <w:shd w:val="clear" w:color="auto" w:fill="auto"/>
          </w:tcPr>
          <w:p w14:paraId="300A741D" w14:textId="77777777" w:rsidR="007A3A99" w:rsidRPr="001B1DB1" w:rsidRDefault="007A3A99" w:rsidP="00002D3D">
            <w:pPr>
              <w:rPr>
                <w:rFonts w:cs="Times New Roman"/>
                <w:sz w:val="20"/>
                <w:szCs w:val="20"/>
              </w:rPr>
            </w:pPr>
            <w:r w:rsidRPr="001B1DB1">
              <w:rPr>
                <w:rFonts w:cs="Times New Roman"/>
                <w:sz w:val="20"/>
                <w:szCs w:val="20"/>
              </w:rPr>
              <w:t>Stiprināta UKI kapacitāte.</w:t>
            </w:r>
          </w:p>
        </w:tc>
        <w:tc>
          <w:tcPr>
            <w:tcW w:w="2694" w:type="dxa"/>
          </w:tcPr>
          <w:p w14:paraId="1C153C9A" w14:textId="77777777" w:rsidR="007A3A99" w:rsidRPr="001B1DB1" w:rsidRDefault="007A3A99" w:rsidP="00002D3D">
            <w:pPr>
              <w:jc w:val="both"/>
              <w:rPr>
                <w:rFonts w:cs="Times New Roman"/>
                <w:sz w:val="20"/>
                <w:szCs w:val="20"/>
              </w:rPr>
            </w:pPr>
            <w:r w:rsidRPr="001B1DB1">
              <w:rPr>
                <w:rFonts w:cs="Times New Roman"/>
                <w:sz w:val="20"/>
                <w:szCs w:val="20"/>
              </w:rPr>
              <w:t>1. Izveidotas 3 jaunas amata vietas NKMP.</w:t>
            </w:r>
          </w:p>
        </w:tc>
        <w:tc>
          <w:tcPr>
            <w:tcW w:w="1134" w:type="dxa"/>
            <w:shd w:val="clear" w:color="auto" w:fill="auto"/>
          </w:tcPr>
          <w:p w14:paraId="75C29F08" w14:textId="77777777" w:rsidR="007A3A99" w:rsidRPr="001B1DB1" w:rsidRDefault="007A3A99" w:rsidP="00664B7B">
            <w:pPr>
              <w:jc w:val="center"/>
              <w:rPr>
                <w:sz w:val="20"/>
                <w:szCs w:val="20"/>
              </w:rPr>
            </w:pPr>
            <w:r w:rsidRPr="001B1DB1">
              <w:rPr>
                <w:rFonts w:cs="Times New Roman"/>
                <w:sz w:val="20"/>
                <w:szCs w:val="20"/>
              </w:rPr>
              <w:t>NKMP</w:t>
            </w:r>
          </w:p>
        </w:tc>
        <w:tc>
          <w:tcPr>
            <w:tcW w:w="1275" w:type="dxa"/>
            <w:shd w:val="clear" w:color="auto" w:fill="auto"/>
          </w:tcPr>
          <w:p w14:paraId="465BF3DC" w14:textId="77777777" w:rsidR="007A3A99" w:rsidRPr="001B1DB1" w:rsidRDefault="007A3A99" w:rsidP="00664B7B">
            <w:pPr>
              <w:jc w:val="center"/>
              <w:rPr>
                <w:sz w:val="20"/>
                <w:szCs w:val="20"/>
              </w:rPr>
            </w:pPr>
            <w:r w:rsidRPr="001B1DB1">
              <w:rPr>
                <w:sz w:val="20"/>
                <w:szCs w:val="20"/>
              </w:rPr>
              <w:t>KM</w:t>
            </w:r>
          </w:p>
        </w:tc>
        <w:tc>
          <w:tcPr>
            <w:tcW w:w="1418" w:type="dxa"/>
            <w:shd w:val="clear" w:color="auto" w:fill="auto"/>
          </w:tcPr>
          <w:p w14:paraId="50A725CC" w14:textId="77777777" w:rsidR="007A3A99" w:rsidRPr="001B1DB1" w:rsidRDefault="007A3A99" w:rsidP="00664B7B">
            <w:pPr>
              <w:jc w:val="center"/>
              <w:rPr>
                <w:rFonts w:cs="Times New Roman"/>
                <w:bCs/>
                <w:sz w:val="20"/>
                <w:szCs w:val="20"/>
              </w:rPr>
            </w:pPr>
            <w:r>
              <w:rPr>
                <w:rFonts w:cs="Times New Roman"/>
                <w:sz w:val="20"/>
                <w:szCs w:val="20"/>
              </w:rPr>
              <w:t>31.12.</w:t>
            </w:r>
            <w:r w:rsidRPr="001B1DB1">
              <w:rPr>
                <w:rFonts w:cs="Times New Roman"/>
                <w:sz w:val="20"/>
                <w:szCs w:val="20"/>
              </w:rPr>
              <w:t>2020.</w:t>
            </w:r>
          </w:p>
        </w:tc>
      </w:tr>
      <w:tr w:rsidR="00546229" w:rsidRPr="001B1DB1" w14:paraId="0323B43F" w14:textId="77777777" w:rsidTr="00002D3D">
        <w:trPr>
          <w:trHeight w:val="543"/>
        </w:trPr>
        <w:tc>
          <w:tcPr>
            <w:tcW w:w="709" w:type="dxa"/>
            <w:vMerge/>
          </w:tcPr>
          <w:p w14:paraId="42A7EDF4" w14:textId="77777777" w:rsidR="00546229" w:rsidRPr="001B1DB1" w:rsidRDefault="00546229" w:rsidP="00546229">
            <w:pPr>
              <w:jc w:val="center"/>
              <w:rPr>
                <w:rFonts w:cs="Times New Roman"/>
                <w:bCs/>
                <w:sz w:val="20"/>
                <w:szCs w:val="20"/>
              </w:rPr>
            </w:pPr>
          </w:p>
        </w:tc>
        <w:tc>
          <w:tcPr>
            <w:tcW w:w="3686" w:type="dxa"/>
            <w:vMerge/>
            <w:shd w:val="clear" w:color="auto" w:fill="auto"/>
          </w:tcPr>
          <w:p w14:paraId="3F6092B1" w14:textId="77777777" w:rsidR="00546229" w:rsidRPr="001B1DB1" w:rsidRDefault="00546229" w:rsidP="00546229">
            <w:pPr>
              <w:jc w:val="both"/>
              <w:rPr>
                <w:sz w:val="20"/>
                <w:szCs w:val="20"/>
              </w:rPr>
            </w:pPr>
          </w:p>
        </w:tc>
        <w:tc>
          <w:tcPr>
            <w:tcW w:w="1559" w:type="dxa"/>
            <w:vMerge/>
          </w:tcPr>
          <w:p w14:paraId="76E85D19" w14:textId="77777777" w:rsidR="00546229" w:rsidRPr="001B1DB1" w:rsidRDefault="00546229" w:rsidP="00546229">
            <w:pPr>
              <w:rPr>
                <w:rFonts w:cs="Times New Roman"/>
                <w:sz w:val="20"/>
                <w:szCs w:val="20"/>
              </w:rPr>
            </w:pPr>
          </w:p>
        </w:tc>
        <w:tc>
          <w:tcPr>
            <w:tcW w:w="2551" w:type="dxa"/>
            <w:vMerge/>
            <w:shd w:val="clear" w:color="auto" w:fill="auto"/>
          </w:tcPr>
          <w:p w14:paraId="4B488F41" w14:textId="77777777" w:rsidR="00546229" w:rsidRPr="001B1DB1" w:rsidRDefault="00546229" w:rsidP="00546229">
            <w:pPr>
              <w:rPr>
                <w:rFonts w:cs="Times New Roman"/>
                <w:sz w:val="20"/>
                <w:szCs w:val="20"/>
              </w:rPr>
            </w:pPr>
          </w:p>
        </w:tc>
        <w:tc>
          <w:tcPr>
            <w:tcW w:w="2694" w:type="dxa"/>
          </w:tcPr>
          <w:p w14:paraId="2BC4AD3A" w14:textId="77777777" w:rsidR="00546229" w:rsidRPr="00E02A02" w:rsidRDefault="00546229" w:rsidP="00546229">
            <w:pPr>
              <w:jc w:val="both"/>
              <w:rPr>
                <w:rFonts w:cs="Times New Roman"/>
                <w:sz w:val="20"/>
                <w:szCs w:val="20"/>
              </w:rPr>
            </w:pPr>
            <w:r w:rsidRPr="00E02A02">
              <w:rPr>
                <w:rFonts w:cs="Times New Roman"/>
                <w:sz w:val="20"/>
                <w:szCs w:val="20"/>
              </w:rPr>
              <w:t xml:space="preserve">2. 1) Pilnveidots FKTK Atbilstības kontroles departamentā ieviestais IT risinājums, </w:t>
            </w:r>
            <w:r>
              <w:rPr>
                <w:rFonts w:cs="Times New Roman"/>
                <w:sz w:val="20"/>
                <w:szCs w:val="20"/>
              </w:rPr>
              <w:t xml:space="preserve">nodrošinot iespēju pēc nepieciešamības veikt pārbaudei izvēlēto klientu vai to darījumu </w:t>
            </w:r>
            <w:proofErr w:type="spellStart"/>
            <w:r>
              <w:rPr>
                <w:rFonts w:cs="Times New Roman"/>
                <w:sz w:val="20"/>
                <w:szCs w:val="20"/>
              </w:rPr>
              <w:t>skrīningu</w:t>
            </w:r>
            <w:proofErr w:type="spellEnd"/>
            <w:r>
              <w:rPr>
                <w:rFonts w:cs="Times New Roman"/>
                <w:sz w:val="20"/>
                <w:szCs w:val="20"/>
              </w:rPr>
              <w:t xml:space="preserve"> pret </w:t>
            </w:r>
            <w:r w:rsidRPr="00E02A02">
              <w:rPr>
                <w:rFonts w:cs="Times New Roman"/>
                <w:sz w:val="20"/>
                <w:szCs w:val="20"/>
              </w:rPr>
              <w:t>“</w:t>
            </w:r>
            <w:proofErr w:type="spellStart"/>
            <w:r w:rsidRPr="00E02A02">
              <w:rPr>
                <w:rFonts w:cs="Times New Roman"/>
                <w:i/>
                <w:sz w:val="20"/>
                <w:szCs w:val="20"/>
              </w:rPr>
              <w:t>Adverse</w:t>
            </w:r>
            <w:proofErr w:type="spellEnd"/>
            <w:r w:rsidRPr="00E02A02">
              <w:rPr>
                <w:rFonts w:cs="Times New Roman"/>
                <w:i/>
                <w:sz w:val="20"/>
                <w:szCs w:val="20"/>
              </w:rPr>
              <w:t xml:space="preserve"> </w:t>
            </w:r>
            <w:proofErr w:type="spellStart"/>
            <w:r w:rsidRPr="00E02A02">
              <w:rPr>
                <w:rFonts w:cs="Times New Roman"/>
                <w:i/>
                <w:sz w:val="20"/>
                <w:szCs w:val="20"/>
              </w:rPr>
              <w:t>media</w:t>
            </w:r>
            <w:proofErr w:type="spellEnd"/>
            <w:r w:rsidRPr="00E02A02">
              <w:rPr>
                <w:rFonts w:cs="Times New Roman"/>
                <w:i/>
                <w:sz w:val="20"/>
                <w:szCs w:val="20"/>
              </w:rPr>
              <w:t xml:space="preserve"> </w:t>
            </w:r>
            <w:proofErr w:type="spellStart"/>
            <w:r w:rsidRPr="00E02A02">
              <w:rPr>
                <w:rFonts w:cs="Times New Roman"/>
                <w:i/>
                <w:sz w:val="20"/>
                <w:szCs w:val="20"/>
              </w:rPr>
              <w:t>search</w:t>
            </w:r>
            <w:proofErr w:type="spellEnd"/>
            <w:r w:rsidRPr="00E02A02">
              <w:rPr>
                <w:rFonts w:cs="Times New Roman"/>
                <w:sz w:val="20"/>
                <w:szCs w:val="20"/>
              </w:rPr>
              <w:t>”</w:t>
            </w:r>
            <w:r>
              <w:rPr>
                <w:rFonts w:cs="Times New Roman"/>
                <w:sz w:val="20"/>
                <w:szCs w:val="20"/>
              </w:rPr>
              <w:t xml:space="preserve"> un politiski nozīmīgu personu sarakstiem</w:t>
            </w:r>
            <w:r w:rsidRPr="00E02A02">
              <w:rPr>
                <w:rFonts w:cs="Times New Roman"/>
                <w:sz w:val="20"/>
                <w:szCs w:val="20"/>
              </w:rPr>
              <w:t>;</w:t>
            </w:r>
          </w:p>
          <w:p w14:paraId="3336444A" w14:textId="031075F6" w:rsidR="00546229" w:rsidRPr="00E02A02" w:rsidRDefault="00546229" w:rsidP="00546229">
            <w:pPr>
              <w:jc w:val="both"/>
              <w:rPr>
                <w:rFonts w:cs="Times New Roman"/>
                <w:sz w:val="20"/>
                <w:szCs w:val="20"/>
              </w:rPr>
            </w:pPr>
            <w:r w:rsidRPr="00E02A02">
              <w:rPr>
                <w:rFonts w:cs="Times New Roman"/>
                <w:sz w:val="20"/>
                <w:szCs w:val="20"/>
              </w:rPr>
              <w:t>2) </w:t>
            </w:r>
            <w:r>
              <w:rPr>
                <w:rFonts w:cs="Times New Roman"/>
                <w:sz w:val="20"/>
                <w:szCs w:val="20"/>
              </w:rPr>
              <w:t>nodrošināta IT speciālistu iesaiste gadījumos, kad  NILLTPF pārbaudes ietvaros nepieciešams pārliecināties par iestādes IT risinājumu atbilstību NILLTPF jomas prasību izpildei</w:t>
            </w:r>
            <w:r w:rsidRPr="00E02A02">
              <w:rPr>
                <w:rFonts w:cs="Times New Roman"/>
                <w:sz w:val="20"/>
                <w:szCs w:val="20"/>
              </w:rPr>
              <w:t>;</w:t>
            </w:r>
          </w:p>
          <w:p w14:paraId="6BF50FE1" w14:textId="10A35641" w:rsidR="00546229" w:rsidRPr="001B1DB1" w:rsidRDefault="00546229" w:rsidP="00546229">
            <w:pPr>
              <w:jc w:val="both"/>
              <w:rPr>
                <w:rFonts w:cs="Times New Roman"/>
                <w:sz w:val="20"/>
                <w:szCs w:val="20"/>
              </w:rPr>
            </w:pPr>
            <w:r w:rsidRPr="00E02A02">
              <w:rPr>
                <w:rFonts w:cs="Times New Roman"/>
                <w:sz w:val="20"/>
                <w:szCs w:val="20"/>
              </w:rPr>
              <w:t>3) SRSS (</w:t>
            </w:r>
            <w:proofErr w:type="spellStart"/>
            <w:r w:rsidRPr="00E02A02">
              <w:rPr>
                <w:rFonts w:cs="Times New Roman"/>
                <w:i/>
                <w:sz w:val="20"/>
                <w:szCs w:val="20"/>
              </w:rPr>
              <w:t>Structural</w:t>
            </w:r>
            <w:proofErr w:type="spellEnd"/>
            <w:r w:rsidRPr="00E02A02">
              <w:rPr>
                <w:rFonts w:cs="Times New Roman"/>
                <w:i/>
                <w:sz w:val="20"/>
                <w:szCs w:val="20"/>
              </w:rPr>
              <w:t xml:space="preserve"> </w:t>
            </w:r>
            <w:proofErr w:type="spellStart"/>
            <w:r w:rsidRPr="00E02A02">
              <w:rPr>
                <w:rFonts w:cs="Times New Roman"/>
                <w:i/>
                <w:sz w:val="20"/>
                <w:szCs w:val="20"/>
              </w:rPr>
              <w:t>Reform</w:t>
            </w:r>
            <w:proofErr w:type="spellEnd"/>
            <w:r w:rsidRPr="00E02A02">
              <w:rPr>
                <w:rFonts w:cs="Times New Roman"/>
                <w:i/>
                <w:sz w:val="20"/>
                <w:szCs w:val="20"/>
              </w:rPr>
              <w:t xml:space="preserve"> </w:t>
            </w:r>
            <w:proofErr w:type="spellStart"/>
            <w:r w:rsidRPr="00E02A02">
              <w:rPr>
                <w:rFonts w:cs="Times New Roman"/>
                <w:i/>
                <w:sz w:val="20"/>
                <w:szCs w:val="20"/>
              </w:rPr>
              <w:t>Support</w:t>
            </w:r>
            <w:proofErr w:type="spellEnd"/>
            <w:r w:rsidRPr="00E02A02">
              <w:rPr>
                <w:rFonts w:cs="Times New Roman"/>
                <w:i/>
                <w:sz w:val="20"/>
                <w:szCs w:val="20"/>
              </w:rPr>
              <w:t xml:space="preserve"> </w:t>
            </w:r>
            <w:proofErr w:type="spellStart"/>
            <w:r w:rsidRPr="00E02A02">
              <w:rPr>
                <w:rFonts w:cs="Times New Roman"/>
                <w:i/>
                <w:sz w:val="20"/>
                <w:szCs w:val="20"/>
              </w:rPr>
              <w:t>Service</w:t>
            </w:r>
            <w:proofErr w:type="spellEnd"/>
            <w:r w:rsidRPr="00E02A02">
              <w:rPr>
                <w:rFonts w:cs="Times New Roman"/>
                <w:sz w:val="20"/>
                <w:szCs w:val="20"/>
              </w:rPr>
              <w:t xml:space="preserve"> / Strukturālo reformu atbalsta dienests) un EEZ (Eiropas Ekonomikas </w:t>
            </w:r>
            <w:r w:rsidRPr="00E02A02">
              <w:rPr>
                <w:rFonts w:cs="Times New Roman"/>
                <w:sz w:val="20"/>
                <w:szCs w:val="20"/>
              </w:rPr>
              <w:lastRenderedPageBreak/>
              <w:t>zona) projektu ieviešana FKTK kapacitātes stiprināšanai.</w:t>
            </w:r>
          </w:p>
        </w:tc>
        <w:tc>
          <w:tcPr>
            <w:tcW w:w="1134" w:type="dxa"/>
            <w:shd w:val="clear" w:color="auto" w:fill="auto"/>
          </w:tcPr>
          <w:p w14:paraId="336F2E9D" w14:textId="77777777" w:rsidR="00546229" w:rsidRPr="001B1DB1" w:rsidRDefault="00546229" w:rsidP="00546229">
            <w:pPr>
              <w:jc w:val="center"/>
              <w:rPr>
                <w:sz w:val="20"/>
                <w:szCs w:val="20"/>
              </w:rPr>
            </w:pPr>
            <w:r w:rsidRPr="001B1DB1">
              <w:rPr>
                <w:rFonts w:cs="Times New Roman"/>
                <w:sz w:val="20"/>
                <w:szCs w:val="20"/>
              </w:rPr>
              <w:lastRenderedPageBreak/>
              <w:t>FKTK</w:t>
            </w:r>
          </w:p>
        </w:tc>
        <w:tc>
          <w:tcPr>
            <w:tcW w:w="1275" w:type="dxa"/>
            <w:shd w:val="clear" w:color="auto" w:fill="auto"/>
          </w:tcPr>
          <w:p w14:paraId="4B5C0AE3" w14:textId="77777777" w:rsidR="00546229" w:rsidRPr="001B1DB1" w:rsidRDefault="00546229" w:rsidP="00546229">
            <w:pPr>
              <w:jc w:val="center"/>
              <w:rPr>
                <w:sz w:val="20"/>
                <w:szCs w:val="20"/>
              </w:rPr>
            </w:pPr>
          </w:p>
        </w:tc>
        <w:tc>
          <w:tcPr>
            <w:tcW w:w="1418" w:type="dxa"/>
            <w:shd w:val="clear" w:color="auto" w:fill="auto"/>
          </w:tcPr>
          <w:p w14:paraId="251A75BE" w14:textId="77777777" w:rsidR="00546229" w:rsidRPr="001B1DB1" w:rsidRDefault="00546229" w:rsidP="00546229">
            <w:pPr>
              <w:jc w:val="center"/>
              <w:rPr>
                <w:rFonts w:cs="Times New Roman"/>
                <w:bCs/>
                <w:sz w:val="20"/>
                <w:szCs w:val="20"/>
              </w:rPr>
            </w:pPr>
            <w:r>
              <w:rPr>
                <w:rFonts w:cs="Times New Roman"/>
                <w:sz w:val="20"/>
                <w:szCs w:val="20"/>
              </w:rPr>
              <w:t>31.12.</w:t>
            </w:r>
            <w:r w:rsidRPr="001B1DB1">
              <w:rPr>
                <w:rFonts w:cs="Times New Roman"/>
                <w:sz w:val="20"/>
                <w:szCs w:val="20"/>
              </w:rPr>
              <w:t>2020.</w:t>
            </w:r>
          </w:p>
        </w:tc>
      </w:tr>
      <w:tr w:rsidR="007A3A99" w:rsidRPr="001B1DB1" w14:paraId="5B093788" w14:textId="77777777" w:rsidTr="00C842AB">
        <w:trPr>
          <w:trHeight w:val="543"/>
        </w:trPr>
        <w:tc>
          <w:tcPr>
            <w:tcW w:w="709" w:type="dxa"/>
            <w:vMerge/>
          </w:tcPr>
          <w:p w14:paraId="61F14DA8" w14:textId="77777777" w:rsidR="007A3A99" w:rsidRPr="001B1DB1" w:rsidRDefault="007A3A99" w:rsidP="007A3A99">
            <w:pPr>
              <w:jc w:val="center"/>
              <w:rPr>
                <w:rFonts w:cs="Times New Roman"/>
                <w:bCs/>
                <w:sz w:val="20"/>
                <w:szCs w:val="20"/>
              </w:rPr>
            </w:pPr>
          </w:p>
        </w:tc>
        <w:tc>
          <w:tcPr>
            <w:tcW w:w="3686" w:type="dxa"/>
            <w:vMerge/>
            <w:shd w:val="clear" w:color="auto" w:fill="auto"/>
          </w:tcPr>
          <w:p w14:paraId="013D2317" w14:textId="77777777" w:rsidR="007A3A99" w:rsidRPr="001B1DB1" w:rsidRDefault="007A3A99" w:rsidP="007A3A99">
            <w:pPr>
              <w:jc w:val="both"/>
              <w:rPr>
                <w:sz w:val="20"/>
                <w:szCs w:val="20"/>
              </w:rPr>
            </w:pPr>
          </w:p>
        </w:tc>
        <w:tc>
          <w:tcPr>
            <w:tcW w:w="1559" w:type="dxa"/>
            <w:vMerge/>
          </w:tcPr>
          <w:p w14:paraId="2177E2E7" w14:textId="77777777" w:rsidR="007A3A99" w:rsidRPr="001B1DB1" w:rsidRDefault="007A3A99" w:rsidP="007A3A99">
            <w:pPr>
              <w:rPr>
                <w:rFonts w:cs="Times New Roman"/>
                <w:sz w:val="20"/>
                <w:szCs w:val="20"/>
              </w:rPr>
            </w:pPr>
          </w:p>
        </w:tc>
        <w:tc>
          <w:tcPr>
            <w:tcW w:w="2551" w:type="dxa"/>
            <w:vMerge/>
            <w:shd w:val="clear" w:color="auto" w:fill="auto"/>
          </w:tcPr>
          <w:p w14:paraId="0F487E94" w14:textId="77777777" w:rsidR="007A3A99" w:rsidRPr="001B1DB1" w:rsidRDefault="007A3A99" w:rsidP="007A3A99">
            <w:pPr>
              <w:rPr>
                <w:rFonts w:cs="Times New Roman"/>
                <w:sz w:val="20"/>
                <w:szCs w:val="20"/>
              </w:rPr>
            </w:pPr>
          </w:p>
        </w:tc>
        <w:tc>
          <w:tcPr>
            <w:tcW w:w="2694" w:type="dxa"/>
            <w:tcBorders>
              <w:top w:val="nil"/>
              <w:left w:val="nil"/>
              <w:bottom w:val="single" w:sz="8" w:space="0" w:color="auto"/>
              <w:right w:val="single" w:sz="8" w:space="0" w:color="auto"/>
            </w:tcBorders>
          </w:tcPr>
          <w:p w14:paraId="6B2CBDC1" w14:textId="41B21D18" w:rsidR="007A3A99" w:rsidRPr="001B1DB1" w:rsidRDefault="007A3A99" w:rsidP="007A3A99">
            <w:pPr>
              <w:jc w:val="both"/>
              <w:rPr>
                <w:rFonts w:cs="Times New Roman"/>
                <w:sz w:val="20"/>
                <w:szCs w:val="20"/>
              </w:rPr>
            </w:pPr>
            <w:r>
              <w:rPr>
                <w:sz w:val="20"/>
                <w:szCs w:val="20"/>
              </w:rPr>
              <w:t>3. Izveidotas 2 jaunas amata vietas MKD.</w:t>
            </w:r>
          </w:p>
        </w:tc>
        <w:tc>
          <w:tcPr>
            <w:tcW w:w="1134" w:type="dxa"/>
            <w:tcBorders>
              <w:top w:val="nil"/>
              <w:left w:val="nil"/>
              <w:bottom w:val="single" w:sz="8" w:space="0" w:color="auto"/>
              <w:right w:val="single" w:sz="8" w:space="0" w:color="auto"/>
            </w:tcBorders>
            <w:shd w:val="clear" w:color="auto" w:fill="auto"/>
          </w:tcPr>
          <w:p w14:paraId="2E789056" w14:textId="1179AF1E" w:rsidR="007A3A99" w:rsidRPr="001B1DB1" w:rsidRDefault="007A3A99" w:rsidP="007A3A99">
            <w:pPr>
              <w:jc w:val="center"/>
              <w:rPr>
                <w:rFonts w:cs="Times New Roman"/>
                <w:sz w:val="20"/>
                <w:szCs w:val="20"/>
              </w:rPr>
            </w:pPr>
            <w:r>
              <w:rPr>
                <w:sz w:val="20"/>
                <w:szCs w:val="20"/>
              </w:rPr>
              <w:t>MKD</w:t>
            </w:r>
          </w:p>
        </w:tc>
        <w:tc>
          <w:tcPr>
            <w:tcW w:w="1275" w:type="dxa"/>
            <w:tcBorders>
              <w:top w:val="nil"/>
              <w:left w:val="nil"/>
              <w:bottom w:val="single" w:sz="8" w:space="0" w:color="auto"/>
              <w:right w:val="single" w:sz="8" w:space="0" w:color="auto"/>
            </w:tcBorders>
            <w:shd w:val="clear" w:color="auto" w:fill="auto"/>
          </w:tcPr>
          <w:p w14:paraId="6245EECF" w14:textId="043FC83A" w:rsidR="007A3A99" w:rsidRPr="001B1DB1" w:rsidRDefault="007A3A99" w:rsidP="007A3A99">
            <w:pPr>
              <w:jc w:val="center"/>
              <w:rPr>
                <w:sz w:val="20"/>
                <w:szCs w:val="20"/>
              </w:rPr>
            </w:pPr>
            <w:r>
              <w:rPr>
                <w:sz w:val="20"/>
                <w:szCs w:val="20"/>
              </w:rPr>
              <w:t>TM</w:t>
            </w:r>
          </w:p>
        </w:tc>
        <w:tc>
          <w:tcPr>
            <w:tcW w:w="1418" w:type="dxa"/>
            <w:tcBorders>
              <w:top w:val="nil"/>
              <w:left w:val="nil"/>
              <w:bottom w:val="single" w:sz="8" w:space="0" w:color="auto"/>
              <w:right w:val="single" w:sz="8" w:space="0" w:color="auto"/>
            </w:tcBorders>
            <w:shd w:val="clear" w:color="auto" w:fill="auto"/>
          </w:tcPr>
          <w:p w14:paraId="2FE7648D" w14:textId="1DF100A3" w:rsidR="007A3A99" w:rsidRDefault="007A3A99" w:rsidP="007A3A99">
            <w:pPr>
              <w:jc w:val="center"/>
              <w:rPr>
                <w:rFonts w:cs="Times New Roman"/>
                <w:sz w:val="20"/>
                <w:szCs w:val="20"/>
              </w:rPr>
            </w:pPr>
            <w:r>
              <w:rPr>
                <w:sz w:val="20"/>
                <w:szCs w:val="20"/>
              </w:rPr>
              <w:t>31.12.2020.</w:t>
            </w:r>
          </w:p>
        </w:tc>
      </w:tr>
      <w:tr w:rsidR="00AD56CB" w:rsidRPr="001B1DB1" w14:paraId="70D996BB" w14:textId="77777777" w:rsidTr="002E3D84">
        <w:trPr>
          <w:trHeight w:val="543"/>
        </w:trPr>
        <w:tc>
          <w:tcPr>
            <w:tcW w:w="15026" w:type="dxa"/>
            <w:gridSpan w:val="8"/>
          </w:tcPr>
          <w:p w14:paraId="42628997" w14:textId="77777777" w:rsidR="00AD56CB" w:rsidRDefault="00A02E44" w:rsidP="00A02E44">
            <w:pPr>
              <w:jc w:val="both"/>
              <w:rPr>
                <w:rFonts w:cs="Times New Roman"/>
                <w:b/>
                <w:bCs/>
                <w:sz w:val="20"/>
                <w:szCs w:val="20"/>
              </w:rPr>
            </w:pPr>
            <w:r w:rsidRPr="001B1DB1">
              <w:rPr>
                <w:rFonts w:cs="Times New Roman"/>
                <w:b/>
                <w:bCs/>
                <w:sz w:val="20"/>
                <w:szCs w:val="20"/>
              </w:rPr>
              <w:t>Izpilde</w:t>
            </w:r>
          </w:p>
          <w:p w14:paraId="7D062C2C" w14:textId="5C1B0012" w:rsidR="00641E77" w:rsidRPr="008D04D7" w:rsidRDefault="00641E77" w:rsidP="008D04D7">
            <w:pPr>
              <w:shd w:val="clear" w:color="auto" w:fill="FFFFFF"/>
              <w:jc w:val="both"/>
              <w:rPr>
                <w:sz w:val="20"/>
                <w:szCs w:val="20"/>
              </w:rPr>
            </w:pPr>
            <w:r w:rsidRPr="00F83CE3">
              <w:rPr>
                <w:sz w:val="20"/>
                <w:szCs w:val="20"/>
              </w:rPr>
              <w:t>2020. un 2021. gadā ir turpināts stiprināt uzraugošo un kontroles iestāžu kapacitāti, ir izveidotas 3 jaunas amata vietas NMKP, 2 jaunas amata vietas MKD, kā arī pilnveidots FKTK Atbilstības kontroles departamenta ieviestais IT risinājums.</w:t>
            </w:r>
          </w:p>
        </w:tc>
      </w:tr>
      <w:tr w:rsidR="00CF34C2" w:rsidRPr="001B1DB1" w14:paraId="5F40DDA9" w14:textId="77777777" w:rsidTr="00002D3D">
        <w:trPr>
          <w:trHeight w:val="543"/>
        </w:trPr>
        <w:tc>
          <w:tcPr>
            <w:tcW w:w="709" w:type="dxa"/>
          </w:tcPr>
          <w:p w14:paraId="1153208C" w14:textId="70057324"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7</w:t>
            </w:r>
            <w:r w:rsidRPr="001B1DB1">
              <w:rPr>
                <w:rFonts w:cs="Times New Roman"/>
                <w:bCs/>
                <w:sz w:val="20"/>
                <w:szCs w:val="20"/>
              </w:rPr>
              <w:t>.</w:t>
            </w:r>
          </w:p>
        </w:tc>
        <w:tc>
          <w:tcPr>
            <w:tcW w:w="3686" w:type="dxa"/>
            <w:shd w:val="clear" w:color="auto" w:fill="auto"/>
          </w:tcPr>
          <w:p w14:paraId="3D144485" w14:textId="44C70290" w:rsidR="00CF34C2" w:rsidRPr="001B1DB1" w:rsidRDefault="00CF34C2" w:rsidP="00B60885">
            <w:pPr>
              <w:jc w:val="both"/>
              <w:rPr>
                <w:sz w:val="20"/>
                <w:szCs w:val="20"/>
              </w:rPr>
            </w:pPr>
            <w:r w:rsidRPr="001B1DB1">
              <w:rPr>
                <w:sz w:val="20"/>
                <w:szCs w:val="20"/>
              </w:rPr>
              <w:t xml:space="preserve">Izstrādāt grozījumus </w:t>
            </w:r>
            <w:r w:rsidR="00DB2BCF" w:rsidRPr="00DB2BCF">
              <w:rPr>
                <w:sz w:val="20"/>
                <w:szCs w:val="20"/>
              </w:rPr>
              <w:t>NILLTPFNL</w:t>
            </w:r>
            <w:r w:rsidR="002C73EE" w:rsidRPr="001767CC">
              <w:rPr>
                <w:sz w:val="20"/>
                <w:szCs w:val="20"/>
              </w:rPr>
              <w:t>.</w:t>
            </w:r>
            <w:r w:rsidR="00C56032">
              <w:rPr>
                <w:sz w:val="20"/>
                <w:szCs w:val="20"/>
              </w:rPr>
              <w:t xml:space="preserve"> (Pasākums </w:t>
            </w:r>
            <w:r w:rsidR="00C56032" w:rsidRPr="00C56032">
              <w:rPr>
                <w:sz w:val="20"/>
                <w:szCs w:val="20"/>
              </w:rPr>
              <w:t>izpildāms atbilstoši M</w:t>
            </w:r>
            <w:r w:rsidR="007673C2">
              <w:rPr>
                <w:sz w:val="20"/>
                <w:szCs w:val="20"/>
              </w:rPr>
              <w:t>ONEYVAL</w:t>
            </w:r>
            <w:r w:rsidR="00C56032" w:rsidRPr="00C56032">
              <w:rPr>
                <w:sz w:val="20"/>
                <w:szCs w:val="20"/>
              </w:rPr>
              <w:t xml:space="preserve"> novērtējumam par Latvijas progresu tehnisko rekomendāciju izpildē</w:t>
            </w:r>
            <w:r w:rsidR="00C56032">
              <w:rPr>
                <w:sz w:val="20"/>
                <w:szCs w:val="20"/>
              </w:rPr>
              <w:t>).</w:t>
            </w:r>
          </w:p>
        </w:tc>
        <w:tc>
          <w:tcPr>
            <w:tcW w:w="1559" w:type="dxa"/>
          </w:tcPr>
          <w:p w14:paraId="4D957BDB" w14:textId="7293BC3E" w:rsidR="00CF34C2" w:rsidRPr="001B1DB1" w:rsidRDefault="00CF34C2" w:rsidP="00495378">
            <w:pPr>
              <w:jc w:val="both"/>
              <w:rPr>
                <w:rFonts w:cs="Times New Roman"/>
                <w:sz w:val="20"/>
                <w:szCs w:val="20"/>
              </w:rPr>
            </w:pPr>
            <w:r w:rsidRPr="001B1DB1">
              <w:rPr>
                <w:rFonts w:cs="Times New Roman"/>
                <w:sz w:val="20"/>
                <w:szCs w:val="20"/>
              </w:rPr>
              <w:t>FATF 10., 17., 26. un 28. rekomendācija</w:t>
            </w:r>
            <w:r w:rsidR="002C73EE" w:rsidRPr="001B1DB1">
              <w:rPr>
                <w:rFonts w:cs="Times New Roman"/>
                <w:sz w:val="20"/>
                <w:szCs w:val="20"/>
              </w:rPr>
              <w:t>.</w:t>
            </w:r>
          </w:p>
        </w:tc>
        <w:tc>
          <w:tcPr>
            <w:tcW w:w="2551" w:type="dxa"/>
            <w:shd w:val="clear" w:color="auto" w:fill="auto"/>
          </w:tcPr>
          <w:p w14:paraId="7ABD5CB8" w14:textId="77777777" w:rsidR="00CF34C2" w:rsidRPr="001B1DB1" w:rsidRDefault="00CF34C2" w:rsidP="00002D3D">
            <w:pPr>
              <w:jc w:val="both"/>
              <w:rPr>
                <w:rFonts w:cs="Times New Roman"/>
                <w:sz w:val="20"/>
                <w:szCs w:val="20"/>
              </w:rPr>
            </w:pPr>
            <w:r w:rsidRPr="001B1DB1">
              <w:rPr>
                <w:rFonts w:cs="Times New Roman"/>
                <w:sz w:val="20"/>
                <w:szCs w:val="20"/>
              </w:rPr>
              <w:t>Nodrošināta pilnīga atbilstība FATF rekomendācijām, tai skaitā:</w:t>
            </w:r>
          </w:p>
          <w:p w14:paraId="4D9AE8B8" w14:textId="3BDCD145" w:rsidR="00CF34C2" w:rsidRPr="001B1DB1" w:rsidRDefault="00CF34C2" w:rsidP="00D358EE">
            <w:pPr>
              <w:pStyle w:val="ListParagraph"/>
              <w:numPr>
                <w:ilvl w:val="0"/>
                <w:numId w:val="8"/>
              </w:numPr>
              <w:ind w:left="182" w:hanging="144"/>
              <w:jc w:val="both"/>
              <w:rPr>
                <w:rFonts w:cs="Times New Roman"/>
                <w:sz w:val="20"/>
                <w:szCs w:val="20"/>
              </w:rPr>
            </w:pPr>
            <w:r w:rsidRPr="001B1DB1">
              <w:rPr>
                <w:rFonts w:cs="Times New Roman"/>
                <w:sz w:val="20"/>
                <w:szCs w:val="20"/>
              </w:rPr>
              <w:t xml:space="preserve">noteikts pienākums identificēt </w:t>
            </w:r>
            <w:r w:rsidRPr="00A85F64">
              <w:rPr>
                <w:rFonts w:cs="Times New Roman"/>
                <w:bCs/>
                <w:sz w:val="20"/>
                <w:szCs w:val="20"/>
              </w:rPr>
              <w:t>juridisku veidojumu</w:t>
            </w:r>
            <w:r w:rsidRPr="001B1DB1">
              <w:rPr>
                <w:rFonts w:cs="Times New Roman"/>
                <w:sz w:val="20"/>
                <w:szCs w:val="20"/>
              </w:rPr>
              <w:t xml:space="preserve"> augstāk</w:t>
            </w:r>
            <w:r w:rsidR="008400F4">
              <w:rPr>
                <w:rFonts w:cs="Times New Roman"/>
                <w:sz w:val="20"/>
                <w:szCs w:val="20"/>
              </w:rPr>
              <w:t>o</w:t>
            </w:r>
            <w:r w:rsidRPr="001B1DB1">
              <w:rPr>
                <w:rFonts w:cs="Times New Roman"/>
                <w:sz w:val="20"/>
                <w:szCs w:val="20"/>
              </w:rPr>
              <w:t xml:space="preserve"> vadību;</w:t>
            </w:r>
          </w:p>
          <w:p w14:paraId="5AD245BF" w14:textId="28A992C2" w:rsidR="00CF34C2" w:rsidRPr="00C258C5" w:rsidRDefault="00CF34C2" w:rsidP="00D358EE">
            <w:pPr>
              <w:pStyle w:val="ListParagraph"/>
              <w:numPr>
                <w:ilvl w:val="0"/>
                <w:numId w:val="8"/>
              </w:numPr>
              <w:ind w:left="182" w:hanging="182"/>
              <w:jc w:val="both"/>
              <w:rPr>
                <w:rFonts w:cs="Times New Roman"/>
                <w:sz w:val="20"/>
                <w:szCs w:val="20"/>
              </w:rPr>
            </w:pPr>
            <w:r w:rsidRPr="00C258C5">
              <w:rPr>
                <w:rFonts w:cs="Times New Roman"/>
                <w:sz w:val="20"/>
                <w:szCs w:val="20"/>
              </w:rPr>
              <w:t>pilnveidot</w:t>
            </w:r>
            <w:r w:rsidR="00C6518C">
              <w:rPr>
                <w:rFonts w:cs="Times New Roman"/>
                <w:sz w:val="20"/>
                <w:szCs w:val="20"/>
              </w:rPr>
              <w:t>s</w:t>
            </w:r>
            <w:r w:rsidRPr="00C258C5">
              <w:rPr>
                <w:rFonts w:cs="Times New Roman"/>
                <w:sz w:val="20"/>
                <w:szCs w:val="20"/>
              </w:rPr>
              <w:t xml:space="preserve"> regulējum</w:t>
            </w:r>
            <w:r w:rsidR="00C6518C">
              <w:rPr>
                <w:rFonts w:cs="Times New Roman"/>
                <w:sz w:val="20"/>
                <w:szCs w:val="20"/>
              </w:rPr>
              <w:t>s</w:t>
            </w:r>
            <w:r w:rsidRPr="00C258C5">
              <w:rPr>
                <w:rFonts w:cs="Times New Roman"/>
                <w:sz w:val="20"/>
                <w:szCs w:val="20"/>
              </w:rPr>
              <w:t xml:space="preserve"> attiecībā uz klienta izpētei nepieciešamās informācijas atzīšanu un iegūšanu;</w:t>
            </w:r>
          </w:p>
          <w:p w14:paraId="69683D53" w14:textId="0C6FD640" w:rsidR="00CE4B9B" w:rsidRPr="001767CC" w:rsidRDefault="00CF34C2" w:rsidP="00FE0CC1">
            <w:pPr>
              <w:pStyle w:val="ListParagraph"/>
              <w:numPr>
                <w:ilvl w:val="0"/>
                <w:numId w:val="8"/>
              </w:numPr>
              <w:ind w:left="182" w:hanging="182"/>
              <w:jc w:val="both"/>
              <w:rPr>
                <w:rFonts w:cs="Times New Roman"/>
                <w:sz w:val="20"/>
                <w:szCs w:val="20"/>
              </w:rPr>
            </w:pPr>
            <w:r w:rsidRPr="001B1DB1">
              <w:rPr>
                <w:rFonts w:cs="Times New Roman"/>
                <w:sz w:val="20"/>
                <w:szCs w:val="20"/>
              </w:rPr>
              <w:t>izvērtēt</w:t>
            </w:r>
            <w:r w:rsidR="00C6518C">
              <w:rPr>
                <w:rFonts w:cs="Times New Roman"/>
                <w:sz w:val="20"/>
                <w:szCs w:val="20"/>
              </w:rPr>
              <w:t>as</w:t>
            </w:r>
            <w:r w:rsidRPr="001B1DB1">
              <w:rPr>
                <w:rFonts w:cs="Times New Roman"/>
                <w:sz w:val="20"/>
                <w:szCs w:val="20"/>
              </w:rPr>
              <w:t xml:space="preserve"> iespējas pilnveidot klienta izpētes regulējumu attiecībā uz gadījumiem, kad piemērojama klienta privilēģija;</w:t>
            </w:r>
          </w:p>
          <w:p w14:paraId="2C0DF7BD" w14:textId="778D4F04" w:rsidR="00CF34C2" w:rsidRPr="00D358EE" w:rsidRDefault="00CF34C2">
            <w:pPr>
              <w:pStyle w:val="ListParagraph"/>
              <w:numPr>
                <w:ilvl w:val="0"/>
                <w:numId w:val="8"/>
              </w:numPr>
              <w:ind w:left="182" w:hanging="182"/>
              <w:jc w:val="both"/>
            </w:pPr>
            <w:r w:rsidRPr="001B1DB1">
              <w:rPr>
                <w:rFonts w:cs="Times New Roman"/>
                <w:sz w:val="20"/>
                <w:szCs w:val="20"/>
              </w:rPr>
              <w:t>noteikt</w:t>
            </w:r>
            <w:r w:rsidR="00C6518C">
              <w:rPr>
                <w:rFonts w:cs="Times New Roman"/>
                <w:sz w:val="20"/>
                <w:szCs w:val="20"/>
              </w:rPr>
              <w:t>as</w:t>
            </w:r>
            <w:r w:rsidRPr="001B1DB1">
              <w:rPr>
                <w:rFonts w:cs="Times New Roman"/>
                <w:sz w:val="20"/>
                <w:szCs w:val="20"/>
              </w:rPr>
              <w:t xml:space="preserve"> galvenās prasības </w:t>
            </w:r>
            <w:r w:rsidR="00D06F5B" w:rsidRPr="001B1DB1">
              <w:rPr>
                <w:rFonts w:cs="Times New Roman"/>
                <w:sz w:val="20"/>
                <w:szCs w:val="20"/>
              </w:rPr>
              <w:t>ar risku pamatot</w:t>
            </w:r>
            <w:r w:rsidRPr="001B1DB1">
              <w:rPr>
                <w:rFonts w:cs="Times New Roman"/>
                <w:sz w:val="20"/>
                <w:szCs w:val="20"/>
              </w:rPr>
              <w:t>ai uzraudzībai</w:t>
            </w:r>
            <w:r w:rsidR="00D358EE">
              <w:rPr>
                <w:rFonts w:cs="Times New Roman"/>
                <w:sz w:val="20"/>
                <w:szCs w:val="20"/>
              </w:rPr>
              <w:t>.</w:t>
            </w:r>
          </w:p>
        </w:tc>
        <w:tc>
          <w:tcPr>
            <w:tcW w:w="2694" w:type="dxa"/>
          </w:tcPr>
          <w:p w14:paraId="2EE5D85D" w14:textId="4906770C" w:rsidR="00CF34C2" w:rsidRPr="00053D97" w:rsidRDefault="00CF34C2" w:rsidP="00002D3D">
            <w:pPr>
              <w:jc w:val="both"/>
              <w:rPr>
                <w:rFonts w:cs="Times New Roman"/>
                <w:sz w:val="20"/>
                <w:szCs w:val="20"/>
              </w:rPr>
            </w:pPr>
            <w:r w:rsidRPr="00053D97">
              <w:rPr>
                <w:rFonts w:cs="Times New Roman"/>
                <w:sz w:val="20"/>
                <w:szCs w:val="20"/>
              </w:rPr>
              <w:t>Izstrādāt</w:t>
            </w:r>
            <w:r w:rsidR="00CE4B9B" w:rsidRPr="001767CC">
              <w:rPr>
                <w:rFonts w:cs="Times New Roman"/>
                <w:sz w:val="20"/>
                <w:szCs w:val="20"/>
              </w:rPr>
              <w:t>i</w:t>
            </w:r>
            <w:r w:rsidRPr="00B94DA4">
              <w:rPr>
                <w:rFonts w:cs="Times New Roman"/>
                <w:sz w:val="20"/>
                <w:szCs w:val="20"/>
              </w:rPr>
              <w:t xml:space="preserve"> likumprojekt</w:t>
            </w:r>
            <w:r w:rsidR="00CE4B9B" w:rsidRPr="00B94DA4">
              <w:rPr>
                <w:rFonts w:cs="Times New Roman"/>
                <w:sz w:val="20"/>
                <w:szCs w:val="20"/>
              </w:rPr>
              <w:t>i</w:t>
            </w:r>
            <w:r w:rsidRPr="00053D97">
              <w:rPr>
                <w:rFonts w:cs="Times New Roman"/>
                <w:sz w:val="20"/>
                <w:szCs w:val="20"/>
              </w:rPr>
              <w:t xml:space="preserve"> un iesniegt</w:t>
            </w:r>
            <w:r w:rsidR="00CE4B9B" w:rsidRPr="001767CC">
              <w:rPr>
                <w:rFonts w:cs="Times New Roman"/>
                <w:sz w:val="20"/>
                <w:szCs w:val="20"/>
              </w:rPr>
              <w:t>i</w:t>
            </w:r>
            <w:r w:rsidRPr="00053D97">
              <w:rPr>
                <w:rFonts w:cs="Times New Roman"/>
                <w:sz w:val="20"/>
                <w:szCs w:val="20"/>
              </w:rPr>
              <w:t xml:space="preserve"> izskatīšanai MK</w:t>
            </w:r>
            <w:r w:rsidR="002C73EE" w:rsidRPr="00053D97">
              <w:rPr>
                <w:rFonts w:cs="Times New Roman"/>
                <w:sz w:val="20"/>
                <w:szCs w:val="20"/>
              </w:rPr>
              <w:t>.</w:t>
            </w:r>
          </w:p>
        </w:tc>
        <w:tc>
          <w:tcPr>
            <w:tcW w:w="1134" w:type="dxa"/>
            <w:shd w:val="clear" w:color="auto" w:fill="auto"/>
          </w:tcPr>
          <w:p w14:paraId="42AA454C" w14:textId="77777777" w:rsidR="00CF34C2" w:rsidRPr="00053D97" w:rsidRDefault="00CF34C2" w:rsidP="00664B7B">
            <w:pPr>
              <w:jc w:val="center"/>
              <w:rPr>
                <w:sz w:val="20"/>
                <w:szCs w:val="20"/>
              </w:rPr>
            </w:pPr>
            <w:r w:rsidRPr="00053D97">
              <w:rPr>
                <w:sz w:val="20"/>
                <w:szCs w:val="20"/>
              </w:rPr>
              <w:t>FM</w:t>
            </w:r>
          </w:p>
        </w:tc>
        <w:tc>
          <w:tcPr>
            <w:tcW w:w="1275" w:type="dxa"/>
            <w:shd w:val="clear" w:color="auto" w:fill="auto"/>
          </w:tcPr>
          <w:p w14:paraId="19314276" w14:textId="77777777" w:rsidR="00CF34C2" w:rsidRPr="00053D97" w:rsidRDefault="00CF34C2" w:rsidP="00664B7B">
            <w:pPr>
              <w:jc w:val="center"/>
              <w:rPr>
                <w:sz w:val="20"/>
                <w:szCs w:val="20"/>
              </w:rPr>
            </w:pPr>
          </w:p>
        </w:tc>
        <w:tc>
          <w:tcPr>
            <w:tcW w:w="1418" w:type="dxa"/>
            <w:shd w:val="clear" w:color="auto" w:fill="auto"/>
          </w:tcPr>
          <w:p w14:paraId="11CF7825" w14:textId="6F87D558" w:rsidR="00CF34C2" w:rsidRPr="00053D97" w:rsidRDefault="001F71C7" w:rsidP="00664B7B">
            <w:pPr>
              <w:jc w:val="center"/>
              <w:rPr>
                <w:rFonts w:cs="Times New Roman"/>
                <w:bCs/>
                <w:sz w:val="20"/>
                <w:szCs w:val="20"/>
              </w:rPr>
            </w:pPr>
            <w:r w:rsidRPr="001F71C7">
              <w:rPr>
                <w:rFonts w:cs="Times New Roman"/>
                <w:bCs/>
                <w:sz w:val="20"/>
                <w:szCs w:val="20"/>
              </w:rPr>
              <w:t>01.09.2020.</w:t>
            </w:r>
          </w:p>
        </w:tc>
      </w:tr>
      <w:tr w:rsidR="00AD56CB" w:rsidRPr="001B1DB1" w14:paraId="4118C62C" w14:textId="77777777" w:rsidTr="00D11DCC">
        <w:trPr>
          <w:trHeight w:val="543"/>
        </w:trPr>
        <w:tc>
          <w:tcPr>
            <w:tcW w:w="15026" w:type="dxa"/>
            <w:gridSpan w:val="8"/>
          </w:tcPr>
          <w:p w14:paraId="69E47F83" w14:textId="77777777" w:rsidR="00AD56CB" w:rsidRDefault="00A02E44" w:rsidP="00A02E44">
            <w:pPr>
              <w:jc w:val="both"/>
              <w:rPr>
                <w:rFonts w:cs="Times New Roman"/>
                <w:b/>
                <w:bCs/>
                <w:sz w:val="20"/>
                <w:szCs w:val="20"/>
              </w:rPr>
            </w:pPr>
            <w:r w:rsidRPr="001B1DB1">
              <w:rPr>
                <w:rFonts w:cs="Times New Roman"/>
                <w:b/>
                <w:bCs/>
                <w:sz w:val="20"/>
                <w:szCs w:val="20"/>
              </w:rPr>
              <w:t>Izpilde</w:t>
            </w:r>
          </w:p>
          <w:p w14:paraId="1F4697AE" w14:textId="77777777" w:rsidR="00A85F64" w:rsidRPr="00A85F64" w:rsidRDefault="00A85F64" w:rsidP="00A85F64">
            <w:pPr>
              <w:jc w:val="both"/>
              <w:rPr>
                <w:rFonts w:cs="Times New Roman"/>
                <w:bCs/>
                <w:sz w:val="20"/>
                <w:szCs w:val="20"/>
              </w:rPr>
            </w:pPr>
            <w:r w:rsidRPr="00A85F64">
              <w:rPr>
                <w:rFonts w:cs="Times New Roman"/>
                <w:bCs/>
                <w:sz w:val="20"/>
                <w:szCs w:val="20"/>
              </w:rPr>
              <w:t>2021. gada 12. jūlijā stājās spēkā grozījumi NILLTPFNL, kas cita starpā nodrošina normatīvā regulējuma atbilstību FATF 10., 17., 26. un 28. rekomendācijai.</w:t>
            </w:r>
          </w:p>
          <w:p w14:paraId="7235A308" w14:textId="77777777" w:rsidR="00A85F64" w:rsidRPr="00A85F64" w:rsidRDefault="00A85F64" w:rsidP="00A85F64">
            <w:pPr>
              <w:jc w:val="both"/>
              <w:rPr>
                <w:rFonts w:cs="Times New Roman"/>
                <w:bCs/>
                <w:sz w:val="20"/>
                <w:szCs w:val="20"/>
              </w:rPr>
            </w:pPr>
            <w:r w:rsidRPr="00A85F64">
              <w:rPr>
                <w:rFonts w:cs="Times New Roman"/>
                <w:bCs/>
                <w:sz w:val="20"/>
                <w:szCs w:val="20"/>
              </w:rPr>
              <w:t>Grozījumi paredz:</w:t>
            </w:r>
          </w:p>
          <w:p w14:paraId="0EBC6C49" w14:textId="2C59F560" w:rsidR="00A85F64" w:rsidRPr="00A85F64" w:rsidRDefault="00A85F64" w:rsidP="00A85F64">
            <w:pPr>
              <w:jc w:val="both"/>
              <w:rPr>
                <w:rFonts w:cs="Times New Roman"/>
                <w:bCs/>
                <w:sz w:val="20"/>
                <w:szCs w:val="20"/>
              </w:rPr>
            </w:pPr>
            <w:r w:rsidRPr="00A85F64">
              <w:rPr>
                <w:rFonts w:cs="Times New Roman"/>
                <w:bCs/>
                <w:sz w:val="20"/>
                <w:szCs w:val="20"/>
              </w:rPr>
              <w:t xml:space="preserve">1) </w:t>
            </w:r>
            <w:r w:rsidRPr="00925B55">
              <w:rPr>
                <w:rFonts w:cs="Times New Roman"/>
                <w:bCs/>
                <w:sz w:val="20"/>
                <w:szCs w:val="20"/>
              </w:rPr>
              <w:t>pienākumu</w:t>
            </w:r>
            <w:r w:rsidRPr="00A85F64">
              <w:rPr>
                <w:rFonts w:cs="Times New Roman"/>
                <w:bCs/>
                <w:sz w:val="20"/>
                <w:szCs w:val="20"/>
              </w:rPr>
              <w:t xml:space="preserve"> identificēt juridisku veidojumu augstāko vadību klienta izpētes ietvaros (NILLTPFNL 13. un 14</w:t>
            </w:r>
            <w:r w:rsidR="00013309">
              <w:rPr>
                <w:rFonts w:cs="Times New Roman"/>
                <w:bCs/>
                <w:sz w:val="20"/>
                <w:szCs w:val="20"/>
              </w:rPr>
              <w:t>.</w:t>
            </w:r>
            <w:r w:rsidRPr="00A85F64">
              <w:rPr>
                <w:rFonts w:cs="Times New Roman"/>
                <w:bCs/>
                <w:sz w:val="20"/>
                <w:szCs w:val="20"/>
              </w:rPr>
              <w:t xml:space="preserve"> pants);</w:t>
            </w:r>
          </w:p>
          <w:p w14:paraId="36F887B0" w14:textId="12271DCC" w:rsidR="00A85F64" w:rsidRPr="00A85F64" w:rsidRDefault="00925B55" w:rsidP="00A85F64">
            <w:pPr>
              <w:jc w:val="both"/>
              <w:rPr>
                <w:rFonts w:cs="Times New Roman"/>
                <w:bCs/>
                <w:sz w:val="20"/>
                <w:szCs w:val="20"/>
              </w:rPr>
            </w:pPr>
            <w:r>
              <w:rPr>
                <w:rFonts w:cs="Times New Roman"/>
                <w:bCs/>
                <w:sz w:val="20"/>
                <w:szCs w:val="20"/>
              </w:rPr>
              <w:t>2</w:t>
            </w:r>
            <w:r w:rsidR="00A85F64" w:rsidRPr="00A85F64">
              <w:rPr>
                <w:rFonts w:cs="Times New Roman"/>
                <w:bCs/>
                <w:sz w:val="20"/>
                <w:szCs w:val="20"/>
              </w:rPr>
              <w:t>) veicināt uz risku novērtējumu balstītas pieejas  īstenošanu klienta izpētē, t.sk. paredzot tiesības veikt vienkāršotu klienta izpēti gadījumos, kad klienta, piemītošais NILLTPF risks ir zems vai tiek sniegti konkrēti pakalpojumi, kuru risks uzskatāms par zemu (NILLTPFN 26.</w:t>
            </w:r>
            <w:r w:rsidR="00013309">
              <w:rPr>
                <w:rFonts w:cs="Times New Roman"/>
                <w:bCs/>
                <w:sz w:val="20"/>
                <w:szCs w:val="20"/>
              </w:rPr>
              <w:t xml:space="preserve"> </w:t>
            </w:r>
            <w:r w:rsidR="00A85F64" w:rsidRPr="00A85F64">
              <w:rPr>
                <w:rFonts w:cs="Times New Roman"/>
                <w:bCs/>
                <w:sz w:val="20"/>
                <w:szCs w:val="20"/>
              </w:rPr>
              <w:t>pants);</w:t>
            </w:r>
          </w:p>
          <w:p w14:paraId="0570527A" w14:textId="01AEDE40" w:rsidR="00A85F64" w:rsidRDefault="00925B55" w:rsidP="00A85F64">
            <w:pPr>
              <w:jc w:val="both"/>
              <w:rPr>
                <w:rFonts w:cs="Times New Roman"/>
                <w:bCs/>
                <w:sz w:val="20"/>
                <w:szCs w:val="20"/>
              </w:rPr>
            </w:pPr>
            <w:r>
              <w:rPr>
                <w:rFonts w:cs="Times New Roman"/>
                <w:bCs/>
                <w:sz w:val="20"/>
                <w:szCs w:val="20"/>
              </w:rPr>
              <w:t>3</w:t>
            </w:r>
            <w:r w:rsidR="00A85F64" w:rsidRPr="00A85F64">
              <w:rPr>
                <w:rFonts w:cs="Times New Roman"/>
                <w:bCs/>
                <w:sz w:val="20"/>
                <w:szCs w:val="20"/>
              </w:rPr>
              <w:t>) tiesības Likuma subjektam veikt klienta neklātienes identifikāciju balstoties uz risku novērtējumu un iekšējām procedūrām, neierobežojot tiesības neklātienes identifikāciju veikt konkrētām klientu kategorijām (NILLTPFNL 23.</w:t>
            </w:r>
            <w:r w:rsidR="00013309">
              <w:rPr>
                <w:rFonts w:cs="Times New Roman"/>
                <w:bCs/>
                <w:sz w:val="20"/>
                <w:szCs w:val="20"/>
              </w:rPr>
              <w:t xml:space="preserve"> </w:t>
            </w:r>
            <w:r w:rsidR="00A85F64" w:rsidRPr="00A85F64">
              <w:rPr>
                <w:rFonts w:cs="Times New Roman"/>
                <w:bCs/>
                <w:sz w:val="20"/>
                <w:szCs w:val="20"/>
              </w:rPr>
              <w:t>pants).</w:t>
            </w:r>
          </w:p>
        </w:tc>
      </w:tr>
      <w:tr w:rsidR="00CF34C2" w:rsidRPr="001B1DB1" w14:paraId="0B01B036" w14:textId="77777777" w:rsidTr="00002D3D">
        <w:trPr>
          <w:trHeight w:val="543"/>
        </w:trPr>
        <w:tc>
          <w:tcPr>
            <w:tcW w:w="709" w:type="dxa"/>
          </w:tcPr>
          <w:p w14:paraId="56847B67" w14:textId="1811D091" w:rsidR="00CF34C2" w:rsidRPr="001B1DB1" w:rsidRDefault="00CF34C2" w:rsidP="00A50162">
            <w:pPr>
              <w:jc w:val="center"/>
              <w:rPr>
                <w:rFonts w:cs="Times New Roman"/>
                <w:bCs/>
                <w:sz w:val="20"/>
                <w:szCs w:val="20"/>
              </w:rPr>
            </w:pPr>
            <w:r w:rsidRPr="001B1DB1">
              <w:rPr>
                <w:rFonts w:cs="Times New Roman"/>
                <w:bCs/>
                <w:sz w:val="20"/>
                <w:szCs w:val="20"/>
              </w:rPr>
              <w:lastRenderedPageBreak/>
              <w:t>3.</w:t>
            </w:r>
            <w:r w:rsidR="00A50162">
              <w:rPr>
                <w:rFonts w:cs="Times New Roman"/>
                <w:bCs/>
                <w:sz w:val="20"/>
                <w:szCs w:val="20"/>
              </w:rPr>
              <w:t>8</w:t>
            </w:r>
            <w:r w:rsidRPr="001B1DB1">
              <w:rPr>
                <w:rFonts w:cs="Times New Roman"/>
                <w:bCs/>
                <w:sz w:val="20"/>
                <w:szCs w:val="20"/>
              </w:rPr>
              <w:t>.</w:t>
            </w:r>
          </w:p>
        </w:tc>
        <w:tc>
          <w:tcPr>
            <w:tcW w:w="3686" w:type="dxa"/>
            <w:shd w:val="clear" w:color="auto" w:fill="auto"/>
          </w:tcPr>
          <w:p w14:paraId="337F048C" w14:textId="624E5297" w:rsidR="00CF34C2" w:rsidRPr="001B1DB1" w:rsidRDefault="00CF34C2" w:rsidP="00002D3D">
            <w:pPr>
              <w:jc w:val="both"/>
              <w:rPr>
                <w:sz w:val="20"/>
                <w:szCs w:val="20"/>
              </w:rPr>
            </w:pPr>
            <w:r w:rsidRPr="001B1DB1">
              <w:rPr>
                <w:sz w:val="20"/>
                <w:szCs w:val="20"/>
              </w:rPr>
              <w:t xml:space="preserve">Izstrādāt grozījumus Alternatīvo ieguldījumu fondu </w:t>
            </w:r>
            <w:r w:rsidR="004E7E77">
              <w:rPr>
                <w:sz w:val="20"/>
                <w:szCs w:val="20"/>
              </w:rPr>
              <w:t xml:space="preserve">un to </w:t>
            </w:r>
            <w:r w:rsidRPr="001B1DB1">
              <w:rPr>
                <w:sz w:val="20"/>
                <w:szCs w:val="20"/>
              </w:rPr>
              <w:t>pārvaldnieku likumā</w:t>
            </w:r>
            <w:r w:rsidR="002C73EE" w:rsidRPr="001B1DB1">
              <w:rPr>
                <w:sz w:val="20"/>
                <w:szCs w:val="20"/>
              </w:rPr>
              <w:t>.</w:t>
            </w:r>
          </w:p>
        </w:tc>
        <w:tc>
          <w:tcPr>
            <w:tcW w:w="1559" w:type="dxa"/>
          </w:tcPr>
          <w:p w14:paraId="2ADE3871" w14:textId="77777777" w:rsidR="00CF34C2" w:rsidRPr="001B1DB1" w:rsidRDefault="00CF34C2" w:rsidP="00002D3D">
            <w:pPr>
              <w:jc w:val="both"/>
              <w:rPr>
                <w:rFonts w:cs="Times New Roman"/>
                <w:sz w:val="20"/>
                <w:szCs w:val="20"/>
              </w:rPr>
            </w:pPr>
            <w:r w:rsidRPr="001B1DB1">
              <w:rPr>
                <w:rFonts w:cs="Times New Roman"/>
                <w:sz w:val="20"/>
                <w:szCs w:val="20"/>
              </w:rPr>
              <w:t>FATF 26. rekomendācija</w:t>
            </w:r>
          </w:p>
        </w:tc>
        <w:tc>
          <w:tcPr>
            <w:tcW w:w="2551" w:type="dxa"/>
            <w:shd w:val="clear" w:color="auto" w:fill="auto"/>
          </w:tcPr>
          <w:p w14:paraId="2A2808C4" w14:textId="38547752" w:rsidR="00CF34C2" w:rsidRPr="001B1DB1" w:rsidRDefault="00CF34C2" w:rsidP="00002D3D">
            <w:pPr>
              <w:jc w:val="both"/>
              <w:rPr>
                <w:rFonts w:cs="Times New Roman"/>
                <w:sz w:val="20"/>
                <w:szCs w:val="20"/>
              </w:rPr>
            </w:pPr>
            <w:r w:rsidRPr="001B1DB1">
              <w:rPr>
                <w:rFonts w:cs="Times New Roman"/>
                <w:sz w:val="20"/>
                <w:szCs w:val="20"/>
              </w:rPr>
              <w:t>Noteikt</w:t>
            </w:r>
            <w:r w:rsidR="00C6518C">
              <w:rPr>
                <w:rFonts w:cs="Times New Roman"/>
                <w:sz w:val="20"/>
                <w:szCs w:val="20"/>
              </w:rPr>
              <w:t>as</w:t>
            </w:r>
            <w:r w:rsidRPr="001B1DB1">
              <w:rPr>
                <w:rFonts w:cs="Times New Roman"/>
                <w:sz w:val="20"/>
                <w:szCs w:val="20"/>
              </w:rPr>
              <w:t xml:space="preserve"> reputācijas prasības reģistrēto alternatīvo ieguldījumu fondu </w:t>
            </w:r>
            <w:r w:rsidRPr="00053D97">
              <w:rPr>
                <w:rFonts w:cs="Times New Roman"/>
                <w:sz w:val="20"/>
                <w:szCs w:val="20"/>
              </w:rPr>
              <w:t>pārv</w:t>
            </w:r>
            <w:r w:rsidR="002C73EE" w:rsidRPr="00053D97">
              <w:rPr>
                <w:rFonts w:cs="Times New Roman"/>
                <w:sz w:val="20"/>
                <w:szCs w:val="20"/>
              </w:rPr>
              <w:t>aldnieku akcionāriem un vadībai.</w:t>
            </w:r>
          </w:p>
        </w:tc>
        <w:tc>
          <w:tcPr>
            <w:tcW w:w="2694" w:type="dxa"/>
          </w:tcPr>
          <w:p w14:paraId="5CE50624" w14:textId="77777777" w:rsidR="00CF34C2" w:rsidRPr="001B1DB1" w:rsidRDefault="00CF34C2" w:rsidP="00002D3D">
            <w:pPr>
              <w:jc w:val="both"/>
              <w:rPr>
                <w:rFonts w:cs="Times New Roman"/>
                <w:sz w:val="20"/>
                <w:szCs w:val="20"/>
              </w:rPr>
            </w:pPr>
            <w:r w:rsidRPr="001B1DB1">
              <w:rPr>
                <w:rFonts w:cs="Times New Roman"/>
                <w:sz w:val="20"/>
                <w:szCs w:val="20"/>
              </w:rPr>
              <w:t>Izstrādāts likumprojekts un iesniegts izskatīšanai MK</w:t>
            </w:r>
            <w:r w:rsidR="002C73EE" w:rsidRPr="001B1DB1">
              <w:rPr>
                <w:rFonts w:cs="Times New Roman"/>
                <w:sz w:val="20"/>
                <w:szCs w:val="20"/>
              </w:rPr>
              <w:t>.</w:t>
            </w:r>
          </w:p>
        </w:tc>
        <w:tc>
          <w:tcPr>
            <w:tcW w:w="1134" w:type="dxa"/>
            <w:shd w:val="clear" w:color="auto" w:fill="auto"/>
          </w:tcPr>
          <w:p w14:paraId="59298318" w14:textId="77777777" w:rsidR="00CF34C2" w:rsidRPr="001B1DB1" w:rsidRDefault="00CF34C2" w:rsidP="00664B7B">
            <w:pPr>
              <w:jc w:val="center"/>
              <w:rPr>
                <w:sz w:val="20"/>
                <w:szCs w:val="20"/>
              </w:rPr>
            </w:pPr>
            <w:r w:rsidRPr="001B1DB1">
              <w:rPr>
                <w:sz w:val="20"/>
                <w:szCs w:val="20"/>
              </w:rPr>
              <w:t>FM</w:t>
            </w:r>
          </w:p>
        </w:tc>
        <w:tc>
          <w:tcPr>
            <w:tcW w:w="1275" w:type="dxa"/>
            <w:shd w:val="clear" w:color="auto" w:fill="auto"/>
          </w:tcPr>
          <w:p w14:paraId="28971EC4" w14:textId="77777777" w:rsidR="00CF34C2" w:rsidRPr="001B1DB1" w:rsidRDefault="00CF34C2" w:rsidP="00664B7B">
            <w:pPr>
              <w:jc w:val="center"/>
              <w:rPr>
                <w:sz w:val="20"/>
                <w:szCs w:val="20"/>
              </w:rPr>
            </w:pPr>
          </w:p>
        </w:tc>
        <w:tc>
          <w:tcPr>
            <w:tcW w:w="1418" w:type="dxa"/>
            <w:shd w:val="clear" w:color="auto" w:fill="auto"/>
          </w:tcPr>
          <w:p w14:paraId="48840006" w14:textId="6B51ECA8" w:rsidR="00CF34C2" w:rsidRPr="001B1DB1" w:rsidRDefault="009F3E08" w:rsidP="009F3E08">
            <w:pPr>
              <w:jc w:val="center"/>
              <w:rPr>
                <w:rFonts w:cs="Times New Roman"/>
                <w:bCs/>
                <w:sz w:val="20"/>
                <w:szCs w:val="20"/>
              </w:rPr>
            </w:pPr>
            <w:r>
              <w:rPr>
                <w:rFonts w:cs="Times New Roman"/>
                <w:bCs/>
                <w:sz w:val="20"/>
                <w:szCs w:val="20"/>
              </w:rPr>
              <w:t>30</w:t>
            </w:r>
            <w:r w:rsidR="002C73EE" w:rsidRPr="001B1DB1">
              <w:rPr>
                <w:rFonts w:cs="Times New Roman"/>
                <w:bCs/>
                <w:sz w:val="20"/>
                <w:szCs w:val="20"/>
              </w:rPr>
              <w:t>.</w:t>
            </w:r>
            <w:r>
              <w:rPr>
                <w:rFonts w:cs="Times New Roman"/>
                <w:bCs/>
                <w:sz w:val="20"/>
                <w:szCs w:val="20"/>
              </w:rPr>
              <w:t>06</w:t>
            </w:r>
            <w:r w:rsidR="002C73EE" w:rsidRPr="001B1DB1">
              <w:rPr>
                <w:rFonts w:cs="Times New Roman"/>
                <w:bCs/>
                <w:sz w:val="20"/>
                <w:szCs w:val="20"/>
              </w:rPr>
              <w:t>.2020.</w:t>
            </w:r>
          </w:p>
        </w:tc>
      </w:tr>
      <w:tr w:rsidR="00AD56CB" w:rsidRPr="001B1DB1" w14:paraId="1D5CD76F" w14:textId="77777777" w:rsidTr="005B213E">
        <w:trPr>
          <w:trHeight w:val="543"/>
        </w:trPr>
        <w:tc>
          <w:tcPr>
            <w:tcW w:w="15026" w:type="dxa"/>
            <w:gridSpan w:val="8"/>
          </w:tcPr>
          <w:p w14:paraId="20120081" w14:textId="77777777" w:rsidR="00AD56CB" w:rsidRDefault="00A02E44" w:rsidP="00A02E44">
            <w:pPr>
              <w:jc w:val="both"/>
              <w:rPr>
                <w:rFonts w:cs="Times New Roman"/>
                <w:b/>
                <w:bCs/>
                <w:sz w:val="20"/>
                <w:szCs w:val="20"/>
              </w:rPr>
            </w:pPr>
            <w:r w:rsidRPr="001B1DB1">
              <w:rPr>
                <w:rFonts w:cs="Times New Roman"/>
                <w:b/>
                <w:bCs/>
                <w:sz w:val="20"/>
                <w:szCs w:val="20"/>
              </w:rPr>
              <w:t>Izpilde</w:t>
            </w:r>
          </w:p>
          <w:p w14:paraId="4C5CC0CA" w14:textId="4D391197" w:rsidR="007B32E9" w:rsidRDefault="00FC47DC" w:rsidP="00A02E44">
            <w:pPr>
              <w:jc w:val="both"/>
              <w:rPr>
                <w:rFonts w:cs="Times New Roman"/>
                <w:bCs/>
                <w:sz w:val="20"/>
                <w:szCs w:val="20"/>
              </w:rPr>
            </w:pPr>
            <w:r w:rsidRPr="001B1DB1">
              <w:rPr>
                <w:sz w:val="20"/>
                <w:szCs w:val="20"/>
              </w:rPr>
              <w:t xml:space="preserve">Alternatīvo ieguldījumu fondu </w:t>
            </w:r>
            <w:r>
              <w:rPr>
                <w:sz w:val="20"/>
                <w:szCs w:val="20"/>
              </w:rPr>
              <w:t xml:space="preserve">un to </w:t>
            </w:r>
            <w:r w:rsidRPr="001B1DB1">
              <w:rPr>
                <w:sz w:val="20"/>
                <w:szCs w:val="20"/>
              </w:rPr>
              <w:t>pārvaldnieku likumā</w:t>
            </w:r>
            <w:r>
              <w:rPr>
                <w:sz w:val="20"/>
                <w:szCs w:val="20"/>
              </w:rPr>
              <w:t xml:space="preserve"> n</w:t>
            </w:r>
            <w:r w:rsidR="007B32E9" w:rsidRPr="001B1DB1">
              <w:rPr>
                <w:rFonts w:cs="Times New Roman"/>
                <w:sz w:val="20"/>
                <w:szCs w:val="20"/>
              </w:rPr>
              <w:t>oteikt</w:t>
            </w:r>
            <w:r w:rsidR="007B32E9">
              <w:rPr>
                <w:rFonts w:cs="Times New Roman"/>
                <w:sz w:val="20"/>
                <w:szCs w:val="20"/>
              </w:rPr>
              <w:t>as</w:t>
            </w:r>
            <w:r w:rsidR="007B32E9" w:rsidRPr="001B1DB1">
              <w:rPr>
                <w:rFonts w:cs="Times New Roman"/>
                <w:sz w:val="20"/>
                <w:szCs w:val="20"/>
              </w:rPr>
              <w:t xml:space="preserve"> reputācijas prasības reģistrēto alternatīvo ieguldījumu fondu </w:t>
            </w:r>
            <w:r w:rsidR="007B32E9" w:rsidRPr="00053D97">
              <w:rPr>
                <w:rFonts w:cs="Times New Roman"/>
                <w:sz w:val="20"/>
                <w:szCs w:val="20"/>
              </w:rPr>
              <w:t>pārvaldnieku akcionāriem un vadībai.</w:t>
            </w:r>
          </w:p>
        </w:tc>
      </w:tr>
      <w:tr w:rsidR="00CF34C2" w:rsidRPr="001B1DB1" w14:paraId="47593A75" w14:textId="77777777" w:rsidTr="00002D3D">
        <w:trPr>
          <w:trHeight w:val="543"/>
        </w:trPr>
        <w:tc>
          <w:tcPr>
            <w:tcW w:w="709" w:type="dxa"/>
          </w:tcPr>
          <w:p w14:paraId="5AD1CCC6" w14:textId="40F0CA4A"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9</w:t>
            </w:r>
            <w:r w:rsidRPr="001B1DB1">
              <w:rPr>
                <w:rFonts w:cs="Times New Roman"/>
                <w:bCs/>
                <w:sz w:val="20"/>
                <w:szCs w:val="20"/>
              </w:rPr>
              <w:t>.</w:t>
            </w:r>
          </w:p>
        </w:tc>
        <w:tc>
          <w:tcPr>
            <w:tcW w:w="3686" w:type="dxa"/>
            <w:shd w:val="clear" w:color="auto" w:fill="auto"/>
          </w:tcPr>
          <w:p w14:paraId="3DA9BADF" w14:textId="77777777" w:rsidR="00CF34C2" w:rsidRPr="001B1DB1" w:rsidRDefault="00CF34C2" w:rsidP="00002D3D">
            <w:pPr>
              <w:jc w:val="both"/>
              <w:rPr>
                <w:sz w:val="20"/>
                <w:szCs w:val="20"/>
              </w:rPr>
            </w:pPr>
            <w:r w:rsidRPr="001B1DB1">
              <w:rPr>
                <w:sz w:val="20"/>
                <w:szCs w:val="20"/>
              </w:rPr>
              <w:t>Sagatavot priekšlikumus vienotai pieejai reputācijas izvērtēšanai attiecībā uz saistītām personām un to sodāmību</w:t>
            </w:r>
            <w:r w:rsidR="002C73EE" w:rsidRPr="001B1DB1">
              <w:rPr>
                <w:sz w:val="20"/>
                <w:szCs w:val="20"/>
              </w:rPr>
              <w:t>.</w:t>
            </w:r>
          </w:p>
        </w:tc>
        <w:tc>
          <w:tcPr>
            <w:tcW w:w="1559" w:type="dxa"/>
          </w:tcPr>
          <w:p w14:paraId="3372C8EA" w14:textId="67FC19F5" w:rsidR="00CF34C2" w:rsidRPr="001B1DB1" w:rsidRDefault="00CF34C2" w:rsidP="00002D3D">
            <w:pPr>
              <w:jc w:val="both"/>
              <w:rPr>
                <w:rFonts w:cs="Times New Roman"/>
                <w:sz w:val="20"/>
                <w:szCs w:val="20"/>
              </w:rPr>
            </w:pPr>
            <w:r w:rsidRPr="001B1DB1">
              <w:rPr>
                <w:rFonts w:cs="Times New Roman"/>
                <w:sz w:val="20"/>
                <w:szCs w:val="20"/>
              </w:rPr>
              <w:t>FATF 26. un 28.</w:t>
            </w:r>
            <w:r w:rsidR="00B233F2">
              <w:rPr>
                <w:rFonts w:cs="Times New Roman"/>
                <w:sz w:val="20"/>
                <w:szCs w:val="20"/>
              </w:rPr>
              <w:t xml:space="preserve"> </w:t>
            </w:r>
            <w:r w:rsidRPr="001B1DB1">
              <w:rPr>
                <w:rFonts w:cs="Times New Roman"/>
                <w:sz w:val="20"/>
                <w:szCs w:val="20"/>
              </w:rPr>
              <w:t>rekomendācija</w:t>
            </w:r>
            <w:r w:rsidR="002C73EE" w:rsidRPr="001B1DB1">
              <w:rPr>
                <w:rFonts w:cs="Times New Roman"/>
                <w:sz w:val="20"/>
                <w:szCs w:val="20"/>
              </w:rPr>
              <w:t>.</w:t>
            </w:r>
          </w:p>
        </w:tc>
        <w:tc>
          <w:tcPr>
            <w:tcW w:w="2551" w:type="dxa"/>
            <w:shd w:val="clear" w:color="auto" w:fill="auto"/>
          </w:tcPr>
          <w:p w14:paraId="559292EC" w14:textId="708D4A07" w:rsidR="00CF34C2" w:rsidRPr="001B1DB1" w:rsidRDefault="00CF34C2" w:rsidP="00C55667">
            <w:pPr>
              <w:jc w:val="both"/>
              <w:rPr>
                <w:rFonts w:cs="Times New Roman"/>
                <w:sz w:val="20"/>
                <w:szCs w:val="20"/>
              </w:rPr>
            </w:pPr>
            <w:r w:rsidRPr="001B1DB1">
              <w:rPr>
                <w:rFonts w:cs="Times New Roman"/>
                <w:sz w:val="20"/>
                <w:szCs w:val="20"/>
              </w:rPr>
              <w:t>Nodrošināt</w:t>
            </w:r>
            <w:r w:rsidR="00C6518C">
              <w:rPr>
                <w:rFonts w:cs="Times New Roman"/>
                <w:sz w:val="20"/>
                <w:szCs w:val="20"/>
              </w:rPr>
              <w:t>a</w:t>
            </w:r>
            <w:r w:rsidRPr="001B1DB1">
              <w:rPr>
                <w:rFonts w:cs="Times New Roman"/>
                <w:sz w:val="20"/>
                <w:szCs w:val="20"/>
              </w:rPr>
              <w:t xml:space="preserve"> atbilstīb</w:t>
            </w:r>
            <w:r w:rsidR="00C6518C">
              <w:rPr>
                <w:rFonts w:cs="Times New Roman"/>
                <w:sz w:val="20"/>
                <w:szCs w:val="20"/>
              </w:rPr>
              <w:t>a</w:t>
            </w:r>
            <w:r w:rsidRPr="001B1DB1">
              <w:rPr>
                <w:rFonts w:cs="Times New Roman"/>
                <w:sz w:val="20"/>
                <w:szCs w:val="20"/>
              </w:rPr>
              <w:t xml:space="preserve"> FATF rekomendācijām</w:t>
            </w:r>
            <w:r w:rsidR="002C73EE" w:rsidRPr="001B1DB1">
              <w:rPr>
                <w:rFonts w:cs="Times New Roman"/>
                <w:sz w:val="20"/>
                <w:szCs w:val="20"/>
              </w:rPr>
              <w:t>.</w:t>
            </w:r>
          </w:p>
        </w:tc>
        <w:tc>
          <w:tcPr>
            <w:tcW w:w="2694" w:type="dxa"/>
          </w:tcPr>
          <w:p w14:paraId="731B405F" w14:textId="77777777" w:rsidR="00CF34C2" w:rsidRPr="001B1DB1" w:rsidRDefault="00CF34C2" w:rsidP="00002D3D">
            <w:pPr>
              <w:jc w:val="both"/>
              <w:rPr>
                <w:rFonts w:cs="Times New Roman"/>
                <w:sz w:val="20"/>
                <w:szCs w:val="20"/>
              </w:rPr>
            </w:pPr>
            <w:r w:rsidRPr="001B1DB1">
              <w:rPr>
                <w:rFonts w:cs="Times New Roman"/>
                <w:sz w:val="20"/>
                <w:szCs w:val="20"/>
              </w:rPr>
              <w:t>Sagatavoti priekšlikumi izskatīšanai FSAP</w:t>
            </w:r>
            <w:r w:rsidR="002C73EE" w:rsidRPr="001B1DB1">
              <w:rPr>
                <w:rFonts w:cs="Times New Roman"/>
                <w:sz w:val="20"/>
                <w:szCs w:val="20"/>
              </w:rPr>
              <w:t>.</w:t>
            </w:r>
          </w:p>
        </w:tc>
        <w:tc>
          <w:tcPr>
            <w:tcW w:w="1134" w:type="dxa"/>
            <w:shd w:val="clear" w:color="auto" w:fill="auto"/>
          </w:tcPr>
          <w:p w14:paraId="77817824" w14:textId="77777777" w:rsidR="00CF34C2" w:rsidRPr="001B1DB1" w:rsidRDefault="00CF34C2" w:rsidP="00664B7B">
            <w:pPr>
              <w:jc w:val="center"/>
              <w:rPr>
                <w:sz w:val="20"/>
                <w:szCs w:val="20"/>
              </w:rPr>
            </w:pPr>
            <w:r w:rsidRPr="001B1DB1">
              <w:rPr>
                <w:sz w:val="20"/>
                <w:szCs w:val="20"/>
              </w:rPr>
              <w:t>FM</w:t>
            </w:r>
          </w:p>
        </w:tc>
        <w:tc>
          <w:tcPr>
            <w:tcW w:w="1275" w:type="dxa"/>
            <w:shd w:val="clear" w:color="auto" w:fill="auto"/>
          </w:tcPr>
          <w:p w14:paraId="3CEAF231" w14:textId="77777777" w:rsidR="00CF34C2" w:rsidRPr="001B1DB1" w:rsidRDefault="00CF34C2" w:rsidP="00664B7B">
            <w:pPr>
              <w:jc w:val="center"/>
              <w:rPr>
                <w:sz w:val="20"/>
                <w:szCs w:val="20"/>
              </w:rPr>
            </w:pPr>
          </w:p>
        </w:tc>
        <w:tc>
          <w:tcPr>
            <w:tcW w:w="1418" w:type="dxa"/>
            <w:shd w:val="clear" w:color="auto" w:fill="auto"/>
          </w:tcPr>
          <w:p w14:paraId="1C5A180C" w14:textId="07AF944F" w:rsidR="00CF34C2" w:rsidRPr="001B1DB1" w:rsidRDefault="001F71C7">
            <w:pPr>
              <w:jc w:val="center"/>
              <w:rPr>
                <w:rFonts w:cs="Times New Roman"/>
                <w:bCs/>
                <w:sz w:val="20"/>
                <w:szCs w:val="20"/>
              </w:rPr>
            </w:pPr>
            <w:r w:rsidRPr="001F71C7">
              <w:rPr>
                <w:rFonts w:cs="Times New Roman"/>
                <w:bCs/>
                <w:sz w:val="20"/>
                <w:szCs w:val="20"/>
              </w:rPr>
              <w:t>01.09.2020.</w:t>
            </w:r>
          </w:p>
        </w:tc>
      </w:tr>
      <w:tr w:rsidR="00AD56CB" w:rsidRPr="001B1DB1" w14:paraId="6D5ADD56" w14:textId="77777777" w:rsidTr="009639F2">
        <w:trPr>
          <w:trHeight w:val="543"/>
        </w:trPr>
        <w:tc>
          <w:tcPr>
            <w:tcW w:w="15026" w:type="dxa"/>
            <w:gridSpan w:val="8"/>
          </w:tcPr>
          <w:p w14:paraId="5A6B3BF0" w14:textId="77777777" w:rsidR="00AD56CB" w:rsidRDefault="00A02E44" w:rsidP="00A02E44">
            <w:pPr>
              <w:jc w:val="both"/>
              <w:rPr>
                <w:rFonts w:cs="Times New Roman"/>
                <w:b/>
                <w:bCs/>
                <w:sz w:val="20"/>
                <w:szCs w:val="20"/>
              </w:rPr>
            </w:pPr>
            <w:r w:rsidRPr="001B1DB1">
              <w:rPr>
                <w:rFonts w:cs="Times New Roman"/>
                <w:b/>
                <w:bCs/>
                <w:sz w:val="20"/>
                <w:szCs w:val="20"/>
              </w:rPr>
              <w:t>Izpilde</w:t>
            </w:r>
          </w:p>
          <w:p w14:paraId="67EC4596" w14:textId="219D9968" w:rsidR="00925B55" w:rsidRPr="00A85F64" w:rsidRDefault="000C0D9C" w:rsidP="00925B55">
            <w:pPr>
              <w:jc w:val="both"/>
              <w:rPr>
                <w:rFonts w:cs="Times New Roman"/>
                <w:bCs/>
                <w:sz w:val="20"/>
                <w:szCs w:val="20"/>
              </w:rPr>
            </w:pPr>
            <w:r w:rsidRPr="001B1DB1">
              <w:rPr>
                <w:rFonts w:cs="Times New Roman"/>
                <w:sz w:val="20"/>
                <w:szCs w:val="20"/>
              </w:rPr>
              <w:t>Sagatavoti priekšlikumi izskatīšanai FSAP</w:t>
            </w:r>
            <w:r>
              <w:rPr>
                <w:rFonts w:cs="Times New Roman"/>
                <w:sz w:val="20"/>
                <w:szCs w:val="20"/>
              </w:rPr>
              <w:t xml:space="preserve">, </w:t>
            </w:r>
            <w:r w:rsidR="00925B55" w:rsidRPr="00A85F64">
              <w:rPr>
                <w:rFonts w:cs="Times New Roman"/>
                <w:bCs/>
                <w:sz w:val="20"/>
                <w:szCs w:val="20"/>
              </w:rPr>
              <w:t>2021. gada 12. jūlijā stājās spēkā grozījumi NILLTPFNL, kas cita starpā nodrošina normatīvā regulējuma atbilstību FATF 26. un 28. rekomendācijai.</w:t>
            </w:r>
          </w:p>
          <w:p w14:paraId="39DCF975" w14:textId="6DCD1CA3" w:rsidR="00925B55" w:rsidRPr="001F71C7" w:rsidRDefault="00925B55" w:rsidP="00A02E44">
            <w:pPr>
              <w:jc w:val="both"/>
              <w:rPr>
                <w:rFonts w:cs="Times New Roman"/>
                <w:bCs/>
                <w:sz w:val="20"/>
                <w:szCs w:val="20"/>
              </w:rPr>
            </w:pPr>
            <w:r w:rsidRPr="00A85F64">
              <w:rPr>
                <w:rFonts w:cs="Times New Roman"/>
                <w:bCs/>
                <w:sz w:val="20"/>
                <w:szCs w:val="20"/>
              </w:rPr>
              <w:t>Grozījumi paredz</w:t>
            </w:r>
            <w:r>
              <w:rPr>
                <w:rFonts w:cs="Times New Roman"/>
                <w:bCs/>
                <w:sz w:val="20"/>
                <w:szCs w:val="20"/>
              </w:rPr>
              <w:t xml:space="preserve"> </w:t>
            </w:r>
            <w:r w:rsidRPr="00A85F64">
              <w:rPr>
                <w:rFonts w:cs="Times New Roman"/>
                <w:bCs/>
                <w:sz w:val="20"/>
                <w:szCs w:val="20"/>
              </w:rPr>
              <w:t xml:space="preserve">atbilstības prasības Likuma subjektu patiesajiem labuma guvējiem - par Likuma subjekta patieso labuma guvēju vai par likuma subjektu - fizisko personu - nedrīkst būt persona, kura ir sodīta par tīša nozieguma izdarīšanu pret valsti, īpašumu vai pārvaldības kārtību, tīša nozieguma izdarīšanu tautsaimniecībā vai valsts institūciju dienestā vai par tāda nozieguma izdarīšanu, kurš saistīts ar terorismu, ja sodāmība nav noņemta vai dzēsta (NILLTPFNL </w:t>
            </w:r>
            <w:r w:rsidRPr="00EB6FAA">
              <w:rPr>
                <w:rFonts w:cs="Times New Roman"/>
                <w:bCs/>
                <w:sz w:val="20"/>
                <w:szCs w:val="20"/>
              </w:rPr>
              <w:t>10.</w:t>
            </w:r>
            <w:r w:rsidR="00EB6FAA" w:rsidRPr="00EB6FAA">
              <w:rPr>
                <w:rFonts w:cs="Times New Roman"/>
                <w:bCs/>
                <w:sz w:val="20"/>
                <w:szCs w:val="20"/>
                <w:vertAlign w:val="superscript"/>
              </w:rPr>
              <w:t>1</w:t>
            </w:r>
            <w:r w:rsidR="001920CE" w:rsidRPr="00EB6FAA">
              <w:rPr>
                <w:rFonts w:cs="Times New Roman"/>
                <w:bCs/>
                <w:sz w:val="20"/>
                <w:szCs w:val="20"/>
              </w:rPr>
              <w:t xml:space="preserve"> p</w:t>
            </w:r>
            <w:r w:rsidR="001920CE">
              <w:rPr>
                <w:rFonts w:cs="Times New Roman"/>
                <w:bCs/>
                <w:sz w:val="20"/>
                <w:szCs w:val="20"/>
              </w:rPr>
              <w:t>ants</w:t>
            </w:r>
            <w:r w:rsidRPr="00A85F64">
              <w:rPr>
                <w:rFonts w:cs="Times New Roman"/>
                <w:bCs/>
                <w:sz w:val="20"/>
                <w:szCs w:val="20"/>
              </w:rPr>
              <w:t>)</w:t>
            </w:r>
            <w:r>
              <w:rPr>
                <w:rFonts w:cs="Times New Roman"/>
                <w:bCs/>
                <w:sz w:val="20"/>
                <w:szCs w:val="20"/>
              </w:rPr>
              <w:t>.</w:t>
            </w:r>
          </w:p>
        </w:tc>
      </w:tr>
    </w:tbl>
    <w:p w14:paraId="7EF1614A" w14:textId="28ECFA86" w:rsidR="00C51C5B" w:rsidRPr="001B1DB1" w:rsidRDefault="00C51C5B"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16364D" w:rsidRPr="001B1DB1" w14:paraId="5ED92B6A" w14:textId="77777777" w:rsidTr="009744C5">
        <w:tc>
          <w:tcPr>
            <w:tcW w:w="4395" w:type="dxa"/>
            <w:gridSpan w:val="2"/>
          </w:tcPr>
          <w:p w14:paraId="0D2E440E" w14:textId="77777777" w:rsidR="0016364D" w:rsidRPr="001B1DB1" w:rsidRDefault="0016364D" w:rsidP="0016364D">
            <w:pPr>
              <w:rPr>
                <w:rFonts w:cs="Times New Roman"/>
                <w:b/>
                <w:bCs/>
                <w:sz w:val="20"/>
                <w:szCs w:val="20"/>
              </w:rPr>
            </w:pPr>
            <w:r w:rsidRPr="001B1DB1">
              <w:rPr>
                <w:rFonts w:cs="Times New Roman"/>
                <w:b/>
                <w:bCs/>
                <w:sz w:val="20"/>
                <w:szCs w:val="20"/>
              </w:rPr>
              <w:t>Rīcības virziens</w:t>
            </w:r>
          </w:p>
        </w:tc>
        <w:tc>
          <w:tcPr>
            <w:tcW w:w="10631" w:type="dxa"/>
            <w:gridSpan w:val="6"/>
          </w:tcPr>
          <w:p w14:paraId="42F57D6A" w14:textId="77777777" w:rsidR="0016364D" w:rsidRPr="001B1DB1" w:rsidRDefault="0016364D" w:rsidP="0016364D">
            <w:pPr>
              <w:jc w:val="both"/>
              <w:rPr>
                <w:rFonts w:cs="Times New Roman"/>
                <w:b/>
                <w:bCs/>
                <w:sz w:val="20"/>
                <w:szCs w:val="20"/>
              </w:rPr>
            </w:pPr>
            <w:r w:rsidRPr="001B1DB1">
              <w:rPr>
                <w:rFonts w:cs="Times New Roman"/>
                <w:b/>
                <w:bCs/>
                <w:sz w:val="20"/>
                <w:szCs w:val="20"/>
              </w:rPr>
              <w:t xml:space="preserve">PREVENTĪVIE PASĀKUMI </w:t>
            </w:r>
          </w:p>
        </w:tc>
      </w:tr>
      <w:tr w:rsidR="00653158" w:rsidRPr="001B1DB1" w14:paraId="5518DEC3" w14:textId="77777777" w:rsidTr="009744C5">
        <w:tc>
          <w:tcPr>
            <w:tcW w:w="4395" w:type="dxa"/>
            <w:gridSpan w:val="2"/>
          </w:tcPr>
          <w:p w14:paraId="4C636E87" w14:textId="43D74643"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Pr>
          <w:p w14:paraId="1D9415E6" w14:textId="77777777" w:rsidR="00653158" w:rsidRPr="001B1DB1" w:rsidRDefault="00653158" w:rsidP="00653158">
            <w:pPr>
              <w:jc w:val="both"/>
              <w:rPr>
                <w:rFonts w:cs="Times New Roman"/>
                <w:b/>
                <w:bCs/>
                <w:sz w:val="20"/>
                <w:szCs w:val="20"/>
              </w:rPr>
            </w:pPr>
            <w:r w:rsidRPr="001B1DB1">
              <w:rPr>
                <w:rFonts w:cs="Times New Roman"/>
                <w:b/>
                <w:bCs/>
                <w:sz w:val="20"/>
                <w:szCs w:val="20"/>
              </w:rPr>
              <w:t>Finanšu iestādes, NNDP un virtuālo aktīvu pakalpojumu sniedzēji piemēro NILLTPF preventīvos pasākumus, kas ir atbilstoši to riskiem, un ziņo par aizdomīgiem darījumiem.</w:t>
            </w:r>
          </w:p>
        </w:tc>
      </w:tr>
      <w:tr w:rsidR="00C703D7" w:rsidRPr="001B1DB1" w14:paraId="725F7DA7" w14:textId="77777777" w:rsidTr="009744C5">
        <w:trPr>
          <w:trHeight w:val="543"/>
        </w:trPr>
        <w:tc>
          <w:tcPr>
            <w:tcW w:w="709" w:type="dxa"/>
          </w:tcPr>
          <w:p w14:paraId="3626C03F"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07AA0FD3"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222DCA73"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51BC6B7A"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44740F05"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33711BA4"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153E40D7"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104A3EEA"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0B5C6370"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E26970" w:rsidRPr="001B1DB1" w14:paraId="67D8DD84" w14:textId="77777777" w:rsidTr="00B233F2">
        <w:trPr>
          <w:trHeight w:val="645"/>
        </w:trPr>
        <w:tc>
          <w:tcPr>
            <w:tcW w:w="709" w:type="dxa"/>
          </w:tcPr>
          <w:p w14:paraId="546451D3" w14:textId="77777777" w:rsidR="00E26970" w:rsidRPr="001B1DB1" w:rsidRDefault="00E26970" w:rsidP="00E26970">
            <w:pPr>
              <w:jc w:val="center"/>
              <w:rPr>
                <w:rFonts w:cs="Times New Roman"/>
                <w:bCs/>
                <w:sz w:val="20"/>
                <w:szCs w:val="20"/>
              </w:rPr>
            </w:pPr>
            <w:r w:rsidRPr="001B1DB1">
              <w:rPr>
                <w:rFonts w:cs="Times New Roman"/>
                <w:bCs/>
                <w:sz w:val="20"/>
                <w:szCs w:val="20"/>
              </w:rPr>
              <w:t>4.1.</w:t>
            </w:r>
          </w:p>
        </w:tc>
        <w:tc>
          <w:tcPr>
            <w:tcW w:w="3686" w:type="dxa"/>
            <w:shd w:val="clear" w:color="auto" w:fill="auto"/>
          </w:tcPr>
          <w:p w14:paraId="27A3E3B2" w14:textId="18778E7F" w:rsidR="00E26970" w:rsidRPr="001B1DB1" w:rsidRDefault="00B1358B" w:rsidP="00C91388">
            <w:pPr>
              <w:jc w:val="both"/>
              <w:rPr>
                <w:sz w:val="20"/>
                <w:szCs w:val="20"/>
              </w:rPr>
            </w:pPr>
            <w:r w:rsidRPr="00B1358B">
              <w:rPr>
                <w:sz w:val="20"/>
                <w:szCs w:val="20"/>
              </w:rPr>
              <w:t xml:space="preserve">Ieviest FID datu saņemšanas un analīzes, tostarp, </w:t>
            </w:r>
            <w:proofErr w:type="spellStart"/>
            <w:r w:rsidRPr="00B1358B">
              <w:rPr>
                <w:sz w:val="20"/>
                <w:szCs w:val="20"/>
              </w:rPr>
              <w:t>goAML</w:t>
            </w:r>
            <w:proofErr w:type="spellEnd"/>
            <w:r w:rsidRPr="00B1358B">
              <w:rPr>
                <w:sz w:val="20"/>
                <w:szCs w:val="20"/>
              </w:rPr>
              <w:t xml:space="preserve"> sistēm</w:t>
            </w:r>
            <w:r w:rsidR="002356A7">
              <w:rPr>
                <w:sz w:val="20"/>
                <w:szCs w:val="20"/>
              </w:rPr>
              <w:t>u</w:t>
            </w:r>
            <w:r w:rsidRPr="00B1358B">
              <w:rPr>
                <w:sz w:val="20"/>
                <w:szCs w:val="20"/>
              </w:rPr>
              <w:t>, vienlaikus pakāpeniski izbeidzot paralēlo aizdomīgo darījumu ziņošanas sistēmu un nodrošinot, ka informācijas par aizdomīgiem darījumiem paziņošanai FID un VID tiek izmantots viens kanāls</w:t>
            </w:r>
            <w:r w:rsidR="006316CC" w:rsidRPr="006316CC">
              <w:rPr>
                <w:sz w:val="20"/>
                <w:szCs w:val="20"/>
              </w:rPr>
              <w:t>.</w:t>
            </w:r>
          </w:p>
        </w:tc>
        <w:tc>
          <w:tcPr>
            <w:tcW w:w="1559" w:type="dxa"/>
          </w:tcPr>
          <w:p w14:paraId="5562E78C" w14:textId="4B9D4477" w:rsidR="00E26970" w:rsidRPr="001B1DB1" w:rsidRDefault="00E26970" w:rsidP="00E74CDF">
            <w:pPr>
              <w:rPr>
                <w:rFonts w:cs="Times New Roman"/>
                <w:sz w:val="20"/>
                <w:szCs w:val="20"/>
              </w:rPr>
            </w:pPr>
            <w:r w:rsidRPr="001B1DB1">
              <w:rPr>
                <w:sz w:val="20"/>
                <w:szCs w:val="20"/>
              </w:rPr>
              <w:t>MONEYVAL</w:t>
            </w:r>
            <w:r w:rsidRPr="001B1DB1">
              <w:rPr>
                <w:rFonts w:cs="Times New Roman"/>
                <w:sz w:val="20"/>
                <w:szCs w:val="20"/>
              </w:rPr>
              <w:t xml:space="preserve"> 4.15.</w:t>
            </w:r>
            <w:r w:rsidR="00E74CDF">
              <w:rPr>
                <w:rFonts w:cs="Times New Roman"/>
                <w:sz w:val="20"/>
                <w:szCs w:val="20"/>
              </w:rPr>
              <w:t xml:space="preserve"> r</w:t>
            </w:r>
            <w:r w:rsidR="00E74CDF" w:rsidRPr="001B1DB1">
              <w:rPr>
                <w:rFonts w:cs="Times New Roman"/>
                <w:sz w:val="20"/>
                <w:szCs w:val="20"/>
              </w:rPr>
              <w:t>ekomendācija</w:t>
            </w:r>
            <w:r w:rsidR="00E74CDF">
              <w:rPr>
                <w:rFonts w:cs="Times New Roman"/>
                <w:sz w:val="20"/>
                <w:szCs w:val="20"/>
              </w:rPr>
              <w:t>.</w:t>
            </w:r>
          </w:p>
        </w:tc>
        <w:tc>
          <w:tcPr>
            <w:tcW w:w="2551" w:type="dxa"/>
            <w:shd w:val="clear" w:color="auto" w:fill="auto"/>
          </w:tcPr>
          <w:p w14:paraId="4E59D56D" w14:textId="0296C4DC" w:rsidR="00E26970" w:rsidRPr="001B1DB1" w:rsidRDefault="0077022B" w:rsidP="00E26970">
            <w:pPr>
              <w:jc w:val="both"/>
              <w:rPr>
                <w:rFonts w:cs="Times New Roman"/>
                <w:sz w:val="20"/>
                <w:szCs w:val="20"/>
              </w:rPr>
            </w:pPr>
            <w:r w:rsidRPr="0077022B">
              <w:rPr>
                <w:rFonts w:cs="Times New Roman"/>
                <w:sz w:val="20"/>
                <w:szCs w:val="20"/>
              </w:rPr>
              <w:t xml:space="preserve">Ieviesta FID datu saņemšanas un analīzes, tostarp </w:t>
            </w:r>
            <w:proofErr w:type="spellStart"/>
            <w:r w:rsidRPr="0077022B">
              <w:rPr>
                <w:rFonts w:cs="Times New Roman"/>
                <w:sz w:val="20"/>
                <w:szCs w:val="20"/>
              </w:rPr>
              <w:t>goAML</w:t>
            </w:r>
            <w:proofErr w:type="spellEnd"/>
            <w:r w:rsidRPr="0077022B">
              <w:rPr>
                <w:rFonts w:cs="Times New Roman"/>
                <w:sz w:val="20"/>
                <w:szCs w:val="20"/>
              </w:rPr>
              <w:t xml:space="preserve"> sistēma, vienkāršojot ziņošanas par aizdomīgiem darījumiem kārtību. Izbeigta paralēlās aizdomīgu darījumu ziņošanas sistēmas izmantošana.</w:t>
            </w:r>
          </w:p>
        </w:tc>
        <w:tc>
          <w:tcPr>
            <w:tcW w:w="2694" w:type="dxa"/>
          </w:tcPr>
          <w:p w14:paraId="675DA231" w14:textId="3DA24DB7" w:rsidR="00E26970" w:rsidRPr="00053D97" w:rsidRDefault="006316CC" w:rsidP="00C91388">
            <w:pPr>
              <w:jc w:val="both"/>
              <w:rPr>
                <w:rFonts w:cs="Times New Roman"/>
                <w:sz w:val="20"/>
                <w:szCs w:val="20"/>
              </w:rPr>
            </w:pPr>
            <w:r w:rsidRPr="006316CC">
              <w:rPr>
                <w:rFonts w:cs="Times New Roman"/>
                <w:sz w:val="20"/>
                <w:szCs w:val="20"/>
              </w:rPr>
              <w:t xml:space="preserve">1. </w:t>
            </w:r>
            <w:r w:rsidR="0077022B" w:rsidRPr="0077022B">
              <w:rPr>
                <w:rFonts w:cs="Times New Roman"/>
                <w:sz w:val="20"/>
                <w:szCs w:val="20"/>
              </w:rPr>
              <w:t xml:space="preserve">Izstrādāts risinājums jeb koncepcija ziņošanas par aizdomīgiem darījumiem kārtības vienkāršošanai, tai skaitā paredzot paralēlās aizdomīgo darījumu ziņošanas sistēmas izbeigšanu un informācijas par aizdomīgiem darījumiem paziņošanu FID un VID vienā kanālā, un </w:t>
            </w:r>
            <w:r w:rsidR="002356A7" w:rsidRPr="002356A7">
              <w:rPr>
                <w:rFonts w:cs="Times New Roman"/>
                <w:sz w:val="20"/>
                <w:szCs w:val="20"/>
              </w:rPr>
              <w:t xml:space="preserve">jauns </w:t>
            </w:r>
            <w:r w:rsidR="002356A7">
              <w:rPr>
                <w:rFonts w:cs="Times New Roman"/>
                <w:sz w:val="20"/>
                <w:szCs w:val="20"/>
              </w:rPr>
              <w:t>MK</w:t>
            </w:r>
            <w:r w:rsidR="002356A7" w:rsidRPr="002356A7">
              <w:rPr>
                <w:rFonts w:cs="Times New Roman"/>
                <w:sz w:val="20"/>
                <w:szCs w:val="20"/>
              </w:rPr>
              <w:t xml:space="preserve"> noteikumu projekts par ziņojumiem par aizdomīgiem darījumiem un sliekšņa deklarācijām </w:t>
            </w:r>
            <w:r w:rsidR="0077022B" w:rsidRPr="0077022B">
              <w:rPr>
                <w:rFonts w:cs="Times New Roman"/>
                <w:sz w:val="20"/>
                <w:szCs w:val="20"/>
              </w:rPr>
              <w:t>iesniegts FM.</w:t>
            </w:r>
          </w:p>
        </w:tc>
        <w:tc>
          <w:tcPr>
            <w:tcW w:w="1134" w:type="dxa"/>
            <w:shd w:val="clear" w:color="auto" w:fill="auto"/>
          </w:tcPr>
          <w:p w14:paraId="0E242BB6" w14:textId="19EDB774" w:rsidR="00E26970" w:rsidRPr="001B1DB1" w:rsidRDefault="00E26970" w:rsidP="006316CC">
            <w:pPr>
              <w:jc w:val="center"/>
              <w:rPr>
                <w:sz w:val="20"/>
                <w:szCs w:val="20"/>
              </w:rPr>
            </w:pPr>
            <w:r>
              <w:rPr>
                <w:sz w:val="20"/>
                <w:szCs w:val="20"/>
              </w:rPr>
              <w:t>FID</w:t>
            </w:r>
          </w:p>
        </w:tc>
        <w:tc>
          <w:tcPr>
            <w:tcW w:w="1275" w:type="dxa"/>
            <w:shd w:val="clear" w:color="auto" w:fill="auto"/>
          </w:tcPr>
          <w:p w14:paraId="1CADACE7" w14:textId="4BC1A5B6" w:rsidR="00E26970" w:rsidRPr="001B1DB1" w:rsidRDefault="00E26970" w:rsidP="00E26970">
            <w:pPr>
              <w:jc w:val="center"/>
              <w:rPr>
                <w:sz w:val="20"/>
                <w:szCs w:val="20"/>
              </w:rPr>
            </w:pPr>
            <w:r>
              <w:rPr>
                <w:sz w:val="20"/>
                <w:szCs w:val="20"/>
              </w:rPr>
              <w:t xml:space="preserve">IeM, FM, </w:t>
            </w:r>
            <w:r w:rsidR="006316CC">
              <w:rPr>
                <w:sz w:val="20"/>
                <w:szCs w:val="20"/>
              </w:rPr>
              <w:t xml:space="preserve">VID, </w:t>
            </w:r>
            <w:r>
              <w:rPr>
                <w:sz w:val="20"/>
                <w:szCs w:val="20"/>
              </w:rPr>
              <w:t>LFNA</w:t>
            </w:r>
          </w:p>
        </w:tc>
        <w:tc>
          <w:tcPr>
            <w:tcW w:w="1418" w:type="dxa"/>
            <w:shd w:val="clear" w:color="auto" w:fill="auto"/>
          </w:tcPr>
          <w:p w14:paraId="11BBAC97" w14:textId="4FA396D6" w:rsidR="00E26970" w:rsidRPr="001B1DB1" w:rsidRDefault="006316CC" w:rsidP="00E26970">
            <w:pPr>
              <w:jc w:val="center"/>
              <w:rPr>
                <w:rFonts w:cs="Times New Roman"/>
                <w:bCs/>
                <w:sz w:val="20"/>
                <w:szCs w:val="20"/>
              </w:rPr>
            </w:pPr>
            <w:r w:rsidRPr="006316CC">
              <w:rPr>
                <w:rFonts w:cs="Times New Roman"/>
                <w:bCs/>
                <w:sz w:val="20"/>
                <w:szCs w:val="20"/>
              </w:rPr>
              <w:t>01.09.2020.</w:t>
            </w:r>
          </w:p>
        </w:tc>
      </w:tr>
      <w:tr w:rsidR="00AD09B3" w:rsidRPr="001B1DB1" w14:paraId="0CC21C66" w14:textId="77777777" w:rsidTr="00B233F2">
        <w:trPr>
          <w:trHeight w:val="645"/>
        </w:trPr>
        <w:tc>
          <w:tcPr>
            <w:tcW w:w="709" w:type="dxa"/>
          </w:tcPr>
          <w:p w14:paraId="1D542BE8" w14:textId="77777777" w:rsidR="00AD09B3" w:rsidRPr="001B1DB1" w:rsidRDefault="00AD09B3" w:rsidP="00AD09B3">
            <w:pPr>
              <w:jc w:val="center"/>
              <w:rPr>
                <w:rFonts w:cs="Times New Roman"/>
                <w:bCs/>
                <w:sz w:val="20"/>
                <w:szCs w:val="20"/>
              </w:rPr>
            </w:pPr>
          </w:p>
        </w:tc>
        <w:tc>
          <w:tcPr>
            <w:tcW w:w="3686" w:type="dxa"/>
            <w:shd w:val="clear" w:color="auto" w:fill="auto"/>
          </w:tcPr>
          <w:p w14:paraId="412512C9" w14:textId="77777777" w:rsidR="00AD09B3" w:rsidRPr="00B1358B" w:rsidRDefault="00AD09B3" w:rsidP="00AD09B3">
            <w:pPr>
              <w:jc w:val="both"/>
              <w:rPr>
                <w:sz w:val="20"/>
                <w:szCs w:val="20"/>
              </w:rPr>
            </w:pPr>
          </w:p>
        </w:tc>
        <w:tc>
          <w:tcPr>
            <w:tcW w:w="1559" w:type="dxa"/>
          </w:tcPr>
          <w:p w14:paraId="464E8901" w14:textId="77777777" w:rsidR="00AD09B3" w:rsidRPr="001B1DB1" w:rsidRDefault="00AD09B3" w:rsidP="00AD09B3">
            <w:pPr>
              <w:rPr>
                <w:sz w:val="20"/>
                <w:szCs w:val="20"/>
              </w:rPr>
            </w:pPr>
          </w:p>
        </w:tc>
        <w:tc>
          <w:tcPr>
            <w:tcW w:w="2551" w:type="dxa"/>
            <w:shd w:val="clear" w:color="auto" w:fill="auto"/>
          </w:tcPr>
          <w:p w14:paraId="4DEAB8FD" w14:textId="77777777" w:rsidR="00AD09B3" w:rsidRPr="0077022B" w:rsidRDefault="00AD09B3" w:rsidP="00AD09B3">
            <w:pPr>
              <w:jc w:val="both"/>
              <w:rPr>
                <w:rFonts w:cs="Times New Roman"/>
                <w:sz w:val="20"/>
                <w:szCs w:val="20"/>
              </w:rPr>
            </w:pPr>
          </w:p>
        </w:tc>
        <w:tc>
          <w:tcPr>
            <w:tcW w:w="2694" w:type="dxa"/>
          </w:tcPr>
          <w:p w14:paraId="7AF8134D" w14:textId="77777777" w:rsidR="00AD09B3" w:rsidRPr="009F4613" w:rsidRDefault="00AD09B3" w:rsidP="00AD09B3">
            <w:pPr>
              <w:jc w:val="both"/>
              <w:rPr>
                <w:sz w:val="20"/>
                <w:szCs w:val="20"/>
              </w:rPr>
            </w:pPr>
            <w:r w:rsidRPr="009F4613">
              <w:rPr>
                <w:sz w:val="20"/>
                <w:szCs w:val="20"/>
              </w:rPr>
              <w:t xml:space="preserve">3. FID nodrošina, ka tā tīmekļvietnē tiek publicētas aizdomīgu darījumu ziņojumu </w:t>
            </w:r>
            <w:proofErr w:type="spellStart"/>
            <w:r w:rsidRPr="009F4613">
              <w:rPr>
                <w:sz w:val="20"/>
                <w:szCs w:val="20"/>
              </w:rPr>
              <w:t>goAML</w:t>
            </w:r>
            <w:proofErr w:type="spellEnd"/>
            <w:r w:rsidRPr="009F4613">
              <w:rPr>
                <w:sz w:val="20"/>
                <w:szCs w:val="20"/>
              </w:rPr>
              <w:t xml:space="preserve"> sistēmā XML shēmas, atbilstoši 4.1.2. apakšpunktā </w:t>
            </w:r>
            <w:r w:rsidRPr="00C91388">
              <w:rPr>
                <w:sz w:val="20"/>
                <w:szCs w:val="20"/>
              </w:rPr>
              <w:t>minēt</w:t>
            </w:r>
            <w:r>
              <w:rPr>
                <w:sz w:val="20"/>
                <w:szCs w:val="20"/>
              </w:rPr>
              <w:t>o</w:t>
            </w:r>
            <w:r w:rsidRPr="00C91388">
              <w:rPr>
                <w:sz w:val="20"/>
                <w:szCs w:val="20"/>
              </w:rPr>
              <w:t xml:space="preserve"> </w:t>
            </w:r>
            <w:r>
              <w:rPr>
                <w:sz w:val="20"/>
                <w:szCs w:val="20"/>
              </w:rPr>
              <w:t>MK</w:t>
            </w:r>
            <w:r w:rsidRPr="00C91388">
              <w:rPr>
                <w:sz w:val="20"/>
                <w:szCs w:val="20"/>
              </w:rPr>
              <w:t xml:space="preserve"> noteikumu projektam</w:t>
            </w:r>
            <w:r w:rsidRPr="009F4613">
              <w:rPr>
                <w:sz w:val="20"/>
                <w:szCs w:val="20"/>
              </w:rPr>
              <w:t>.</w:t>
            </w:r>
          </w:p>
          <w:p w14:paraId="40C7A2A5" w14:textId="1A097B11" w:rsidR="00AD09B3" w:rsidRPr="006316CC" w:rsidRDefault="00AD09B3" w:rsidP="00AD09B3">
            <w:pPr>
              <w:jc w:val="both"/>
              <w:rPr>
                <w:rFonts w:cs="Times New Roman"/>
                <w:sz w:val="20"/>
                <w:szCs w:val="20"/>
              </w:rPr>
            </w:pPr>
            <w:r w:rsidRPr="009F4613">
              <w:rPr>
                <w:sz w:val="20"/>
                <w:szCs w:val="20"/>
              </w:rPr>
              <w:t xml:space="preserve">Ja XML shēma netiek publicēta noteiktajā termiņā, par nokavēto termiņu tiek pagarināts VID atvēlētais </w:t>
            </w:r>
            <w:proofErr w:type="spellStart"/>
            <w:r w:rsidRPr="009F4613">
              <w:rPr>
                <w:sz w:val="20"/>
                <w:szCs w:val="20"/>
              </w:rPr>
              <w:t>goAML</w:t>
            </w:r>
            <w:proofErr w:type="spellEnd"/>
            <w:r w:rsidRPr="009F4613">
              <w:rPr>
                <w:sz w:val="20"/>
                <w:szCs w:val="20"/>
              </w:rPr>
              <w:t xml:space="preserve"> sistēmas vienota ziņošanas kanāla pielāgošanas termiņš.</w:t>
            </w:r>
          </w:p>
        </w:tc>
        <w:tc>
          <w:tcPr>
            <w:tcW w:w="1134" w:type="dxa"/>
            <w:shd w:val="clear" w:color="auto" w:fill="auto"/>
          </w:tcPr>
          <w:p w14:paraId="45B75A86" w14:textId="78C30C05" w:rsidR="00AD09B3" w:rsidRDefault="00AD09B3" w:rsidP="00AD09B3">
            <w:pPr>
              <w:jc w:val="center"/>
              <w:rPr>
                <w:sz w:val="20"/>
                <w:szCs w:val="20"/>
              </w:rPr>
            </w:pPr>
            <w:r>
              <w:rPr>
                <w:sz w:val="20"/>
                <w:szCs w:val="20"/>
              </w:rPr>
              <w:t>FID</w:t>
            </w:r>
          </w:p>
        </w:tc>
        <w:tc>
          <w:tcPr>
            <w:tcW w:w="1275" w:type="dxa"/>
            <w:shd w:val="clear" w:color="auto" w:fill="auto"/>
          </w:tcPr>
          <w:p w14:paraId="2618A491" w14:textId="77777777" w:rsidR="00AD09B3" w:rsidRDefault="00AD09B3" w:rsidP="00AD09B3">
            <w:pPr>
              <w:jc w:val="center"/>
              <w:rPr>
                <w:sz w:val="20"/>
                <w:szCs w:val="20"/>
              </w:rPr>
            </w:pPr>
          </w:p>
        </w:tc>
        <w:tc>
          <w:tcPr>
            <w:tcW w:w="1418" w:type="dxa"/>
            <w:shd w:val="clear" w:color="auto" w:fill="auto"/>
          </w:tcPr>
          <w:p w14:paraId="1A6E1902" w14:textId="6DB11BA4" w:rsidR="00AD09B3" w:rsidRPr="006316CC" w:rsidRDefault="00AD09B3" w:rsidP="00AD09B3">
            <w:pPr>
              <w:jc w:val="center"/>
              <w:rPr>
                <w:rFonts w:cs="Times New Roman"/>
                <w:bCs/>
                <w:sz w:val="20"/>
                <w:szCs w:val="20"/>
              </w:rPr>
            </w:pPr>
            <w:r>
              <w:rPr>
                <w:rFonts w:cs="Times New Roman"/>
                <w:bCs/>
                <w:sz w:val="20"/>
                <w:szCs w:val="20"/>
              </w:rPr>
              <w:t>31.10.2020.</w:t>
            </w:r>
          </w:p>
        </w:tc>
      </w:tr>
      <w:tr w:rsidR="00DC0FF0" w:rsidRPr="001B1DB1" w14:paraId="02562395" w14:textId="77777777" w:rsidTr="00391355">
        <w:trPr>
          <w:trHeight w:val="543"/>
        </w:trPr>
        <w:tc>
          <w:tcPr>
            <w:tcW w:w="15026" w:type="dxa"/>
            <w:gridSpan w:val="8"/>
          </w:tcPr>
          <w:p w14:paraId="42BDF78E" w14:textId="77777777" w:rsidR="00DC0FF0" w:rsidRDefault="00A02E44" w:rsidP="00A02E44">
            <w:pPr>
              <w:jc w:val="both"/>
              <w:rPr>
                <w:rFonts w:cs="Times New Roman"/>
                <w:b/>
                <w:bCs/>
                <w:sz w:val="20"/>
                <w:szCs w:val="20"/>
              </w:rPr>
            </w:pPr>
            <w:r w:rsidRPr="001B1DB1">
              <w:rPr>
                <w:rFonts w:cs="Times New Roman"/>
                <w:b/>
                <w:bCs/>
                <w:sz w:val="20"/>
                <w:szCs w:val="20"/>
              </w:rPr>
              <w:t>Izpilde</w:t>
            </w:r>
          </w:p>
          <w:p w14:paraId="1DE03C26" w14:textId="1DCCF1C0" w:rsidR="00AE6680" w:rsidRDefault="00AE6680" w:rsidP="00A02E44">
            <w:pPr>
              <w:jc w:val="both"/>
              <w:rPr>
                <w:rFonts w:cs="Times New Roman"/>
                <w:bCs/>
                <w:sz w:val="20"/>
                <w:szCs w:val="20"/>
              </w:rPr>
            </w:pPr>
            <w:r w:rsidRPr="00AE6680">
              <w:rPr>
                <w:rFonts w:cs="Times New Roman"/>
                <w:bCs/>
                <w:sz w:val="20"/>
                <w:szCs w:val="20"/>
              </w:rPr>
              <w:t>Izstrādāts risinājums jeb koncepcija ziņošanas par aizdomīgiem darījumiem kārtības vienkāršošanai, tai skaitā paredzot paralēlās aizdomīgo darījumu ziņošanas sistēmas izbeigšanu un informācijas par aizdomīgiem darījumiem paziņošanu FID un VID vienā kanālā, un jauns MK noteikumu projekts par ziņojumiem par aizdomīgiem darījumiem un sliekšņa deklarācijām iesniegts FM.</w:t>
            </w:r>
            <w:r w:rsidR="00A55953">
              <w:rPr>
                <w:rFonts w:cs="Times New Roman"/>
                <w:bCs/>
                <w:sz w:val="20"/>
                <w:szCs w:val="20"/>
              </w:rPr>
              <w:t xml:space="preserve"> </w:t>
            </w:r>
            <w:r w:rsidR="00A55953" w:rsidRPr="00A55953">
              <w:rPr>
                <w:rFonts w:cs="Times New Roman"/>
                <w:bCs/>
                <w:sz w:val="20"/>
                <w:szCs w:val="20"/>
              </w:rPr>
              <w:t>MK noteikumu projekts „Noteikumi par aizdomīgu darījumu ziņojumu un sliekšņa deklarācijas iesniegšanas kārtību un saturu”</w:t>
            </w:r>
            <w:r w:rsidR="00A55953">
              <w:rPr>
                <w:rFonts w:cs="Times New Roman"/>
                <w:bCs/>
                <w:sz w:val="20"/>
                <w:szCs w:val="20"/>
              </w:rPr>
              <w:t xml:space="preserve"> </w:t>
            </w:r>
            <w:r w:rsidR="00A55953" w:rsidRPr="00A55953">
              <w:rPr>
                <w:rFonts w:cs="Times New Roman"/>
                <w:bCs/>
                <w:sz w:val="20"/>
                <w:szCs w:val="20"/>
              </w:rPr>
              <w:t xml:space="preserve">14.07.2021. iesniegts izskatīšanai </w:t>
            </w:r>
            <w:r w:rsidR="00A55953">
              <w:rPr>
                <w:rFonts w:cs="Times New Roman"/>
                <w:bCs/>
                <w:sz w:val="20"/>
                <w:szCs w:val="20"/>
              </w:rPr>
              <w:t>MK</w:t>
            </w:r>
            <w:r w:rsidR="00A55953" w:rsidRPr="00A55953">
              <w:rPr>
                <w:rFonts w:cs="Times New Roman"/>
                <w:bCs/>
                <w:sz w:val="20"/>
                <w:szCs w:val="20"/>
              </w:rPr>
              <w:t xml:space="preserve"> sēdē.</w:t>
            </w:r>
          </w:p>
          <w:p w14:paraId="745BD70E" w14:textId="430E0566" w:rsidR="00AE6680" w:rsidRPr="005D0CD1" w:rsidRDefault="00AE6680" w:rsidP="00AE6680">
            <w:pPr>
              <w:jc w:val="both"/>
              <w:rPr>
                <w:rFonts w:cs="Times New Roman"/>
                <w:bCs/>
                <w:sz w:val="20"/>
                <w:szCs w:val="20"/>
              </w:rPr>
            </w:pPr>
            <w:r w:rsidRPr="00AE6680">
              <w:rPr>
                <w:rFonts w:cs="Times New Roman"/>
                <w:bCs/>
                <w:sz w:val="20"/>
                <w:szCs w:val="20"/>
              </w:rPr>
              <w:t xml:space="preserve">FID tīmekļvietnē </w:t>
            </w:r>
            <w:r w:rsidR="009A7543" w:rsidRPr="009A7543">
              <w:rPr>
                <w:rFonts w:cs="Times New Roman"/>
                <w:bCs/>
                <w:sz w:val="20"/>
                <w:szCs w:val="20"/>
              </w:rPr>
              <w:t>31.10.2020. tika publicēta sākotnējā sistēmas strukturālās shēmas versija un XML shēmas apraksts</w:t>
            </w:r>
            <w:r w:rsidRPr="00AE6680">
              <w:rPr>
                <w:rFonts w:cs="Times New Roman"/>
                <w:bCs/>
                <w:sz w:val="20"/>
                <w:szCs w:val="20"/>
              </w:rPr>
              <w:t>.</w:t>
            </w:r>
          </w:p>
        </w:tc>
      </w:tr>
      <w:tr w:rsidR="00656656" w:rsidRPr="001B1DB1" w14:paraId="25223C8B" w14:textId="77777777" w:rsidTr="0057384E">
        <w:trPr>
          <w:trHeight w:val="543"/>
        </w:trPr>
        <w:tc>
          <w:tcPr>
            <w:tcW w:w="709" w:type="dxa"/>
          </w:tcPr>
          <w:p w14:paraId="31DFA343" w14:textId="77777777" w:rsidR="00656656" w:rsidRPr="001B1DB1" w:rsidRDefault="00656656" w:rsidP="00656656">
            <w:pPr>
              <w:jc w:val="center"/>
              <w:rPr>
                <w:rFonts w:cs="Times New Roman"/>
                <w:bCs/>
                <w:sz w:val="20"/>
                <w:szCs w:val="20"/>
              </w:rPr>
            </w:pPr>
            <w:r w:rsidRPr="001B1DB1">
              <w:rPr>
                <w:rFonts w:cs="Times New Roman"/>
                <w:bCs/>
                <w:sz w:val="20"/>
                <w:szCs w:val="20"/>
              </w:rPr>
              <w:t>4.12.</w:t>
            </w:r>
          </w:p>
        </w:tc>
        <w:tc>
          <w:tcPr>
            <w:tcW w:w="3686" w:type="dxa"/>
            <w:shd w:val="clear" w:color="auto" w:fill="auto"/>
          </w:tcPr>
          <w:p w14:paraId="6B871302" w14:textId="77777777" w:rsidR="00656656" w:rsidRPr="001B1DB1" w:rsidRDefault="00656656" w:rsidP="00656656">
            <w:pPr>
              <w:jc w:val="both"/>
              <w:rPr>
                <w:sz w:val="20"/>
                <w:szCs w:val="20"/>
              </w:rPr>
            </w:pPr>
            <w:r w:rsidRPr="001B1DB1">
              <w:rPr>
                <w:sz w:val="20"/>
                <w:szCs w:val="20"/>
              </w:rPr>
              <w:t>Pārskatīt gadījumus un kārtību, kādā kredītiestādes sniedz neizpaužamās ziņas tiesībaizsardzības iestādēm (Kredītiestāžu likuma 63.pants), tostarp, paredzot kredītiestādes tiesības pašai izpaust šīs ziņas samērīgā apjomā finanšu stabilitātes nodrošināšanai, atbildot uz publiskā telpā esošiem pārmetumiem, kā arī precizēt kredītiestāžu darbinieku kriminālatbildības tvērumu par informācijas sniegšanu valstij (piemēram, ja informācija sniegta plašāk nekā formāli pieprasīts).</w:t>
            </w:r>
          </w:p>
        </w:tc>
        <w:tc>
          <w:tcPr>
            <w:tcW w:w="1559" w:type="dxa"/>
          </w:tcPr>
          <w:p w14:paraId="37F1337B" w14:textId="77777777" w:rsidR="00656656" w:rsidRPr="001B1DB1" w:rsidRDefault="00656656" w:rsidP="00656656">
            <w:pPr>
              <w:jc w:val="both"/>
              <w:rPr>
                <w:rFonts w:cs="Times New Roman"/>
                <w:sz w:val="20"/>
                <w:szCs w:val="20"/>
              </w:rPr>
            </w:pPr>
          </w:p>
        </w:tc>
        <w:tc>
          <w:tcPr>
            <w:tcW w:w="2551" w:type="dxa"/>
            <w:shd w:val="clear" w:color="auto" w:fill="auto"/>
          </w:tcPr>
          <w:p w14:paraId="3B50C3FC" w14:textId="121C0030" w:rsidR="00656656" w:rsidRPr="001B1DB1" w:rsidRDefault="00656656" w:rsidP="00656656">
            <w:pPr>
              <w:jc w:val="both"/>
              <w:rPr>
                <w:rFonts w:cs="Times New Roman"/>
                <w:sz w:val="20"/>
                <w:szCs w:val="20"/>
              </w:rPr>
            </w:pPr>
            <w:r w:rsidRPr="001B1DB1">
              <w:rPr>
                <w:rFonts w:cs="Times New Roman"/>
                <w:sz w:val="20"/>
                <w:szCs w:val="20"/>
              </w:rPr>
              <w:t>Kredītiestād</w:t>
            </w:r>
            <w:r>
              <w:rPr>
                <w:rFonts w:cs="Times New Roman"/>
                <w:sz w:val="20"/>
                <w:szCs w:val="20"/>
              </w:rPr>
              <w:t>ēm</w:t>
            </w:r>
            <w:r w:rsidRPr="001B1DB1">
              <w:rPr>
                <w:rFonts w:cs="Times New Roman"/>
                <w:sz w:val="20"/>
                <w:szCs w:val="20"/>
              </w:rPr>
              <w:t xml:space="preserve"> paš</w:t>
            </w:r>
            <w:r>
              <w:rPr>
                <w:rFonts w:cs="Times New Roman"/>
                <w:sz w:val="20"/>
                <w:szCs w:val="20"/>
              </w:rPr>
              <w:t>ām</w:t>
            </w:r>
            <w:r w:rsidRPr="001B1DB1">
              <w:rPr>
                <w:rFonts w:cs="Times New Roman"/>
                <w:sz w:val="20"/>
                <w:szCs w:val="20"/>
              </w:rPr>
              <w:t xml:space="preserve"> </w:t>
            </w:r>
            <w:r>
              <w:rPr>
                <w:rFonts w:cs="Times New Roman"/>
                <w:sz w:val="20"/>
                <w:szCs w:val="20"/>
              </w:rPr>
              <w:t xml:space="preserve">dota </w:t>
            </w:r>
            <w:r w:rsidRPr="001B1DB1">
              <w:rPr>
                <w:rFonts w:cs="Times New Roman"/>
                <w:sz w:val="20"/>
                <w:szCs w:val="20"/>
              </w:rPr>
              <w:t>iespēja atbildēt uz nepatiesām ziņām, līdz ar to stiprināt finanšu stabilitāti. Kriminālatbildības tvēruma kredītiestāžu darbiniekiem pārskatīšanas rezultātā valsts iegū</w:t>
            </w:r>
            <w:r>
              <w:rPr>
                <w:rFonts w:cs="Times New Roman"/>
                <w:sz w:val="20"/>
                <w:szCs w:val="20"/>
              </w:rPr>
              <w:t>st</w:t>
            </w:r>
            <w:r w:rsidRPr="001B1DB1">
              <w:rPr>
                <w:rFonts w:cs="Times New Roman"/>
                <w:sz w:val="20"/>
                <w:szCs w:val="20"/>
              </w:rPr>
              <w:t xml:space="preserve"> pilnīgāku informāciju, kā arī informācijas apmaiņa noti</w:t>
            </w:r>
            <w:r>
              <w:rPr>
                <w:rFonts w:cs="Times New Roman"/>
                <w:sz w:val="20"/>
                <w:szCs w:val="20"/>
              </w:rPr>
              <w:t>e</w:t>
            </w:r>
            <w:r w:rsidRPr="001B1DB1">
              <w:rPr>
                <w:rFonts w:cs="Times New Roman"/>
                <w:sz w:val="20"/>
                <w:szCs w:val="20"/>
              </w:rPr>
              <w:t xml:space="preserve">k raitāk. Kopumā uzlabota informācijas apmaiņa gan </w:t>
            </w:r>
            <w:r>
              <w:rPr>
                <w:rFonts w:cs="Times New Roman"/>
                <w:sz w:val="20"/>
                <w:szCs w:val="20"/>
              </w:rPr>
              <w:t xml:space="preserve">starp </w:t>
            </w:r>
            <w:r w:rsidRPr="001B1DB1">
              <w:rPr>
                <w:rFonts w:cs="Times New Roman"/>
                <w:sz w:val="20"/>
                <w:szCs w:val="20"/>
              </w:rPr>
              <w:t>kredītiestād</w:t>
            </w:r>
            <w:r>
              <w:rPr>
                <w:rFonts w:cs="Times New Roman"/>
                <w:sz w:val="20"/>
                <w:szCs w:val="20"/>
              </w:rPr>
              <w:t>ēm un</w:t>
            </w:r>
            <w:r w:rsidRPr="001B1DB1">
              <w:rPr>
                <w:rFonts w:cs="Times New Roman"/>
                <w:sz w:val="20"/>
                <w:szCs w:val="20"/>
              </w:rPr>
              <w:t xml:space="preserve"> valst</w:t>
            </w:r>
            <w:r>
              <w:rPr>
                <w:rFonts w:cs="Times New Roman"/>
                <w:sz w:val="20"/>
                <w:szCs w:val="20"/>
              </w:rPr>
              <w:t>i</w:t>
            </w:r>
            <w:r w:rsidRPr="001B1DB1">
              <w:rPr>
                <w:rFonts w:cs="Times New Roman"/>
                <w:sz w:val="20"/>
                <w:szCs w:val="20"/>
              </w:rPr>
              <w:t xml:space="preserve">, gan </w:t>
            </w:r>
            <w:r>
              <w:rPr>
                <w:rFonts w:cs="Times New Roman"/>
                <w:sz w:val="20"/>
                <w:szCs w:val="20"/>
              </w:rPr>
              <w:t xml:space="preserve">starp </w:t>
            </w:r>
            <w:r w:rsidRPr="001B1DB1">
              <w:rPr>
                <w:rFonts w:cs="Times New Roman"/>
                <w:sz w:val="20"/>
                <w:szCs w:val="20"/>
              </w:rPr>
              <w:t>kredītiestād</w:t>
            </w:r>
            <w:r>
              <w:rPr>
                <w:rFonts w:cs="Times New Roman"/>
                <w:sz w:val="20"/>
                <w:szCs w:val="20"/>
              </w:rPr>
              <w:t>ēm un</w:t>
            </w:r>
            <w:r w:rsidRPr="001B1DB1">
              <w:rPr>
                <w:rFonts w:cs="Times New Roman"/>
                <w:sz w:val="20"/>
                <w:szCs w:val="20"/>
              </w:rPr>
              <w:t xml:space="preserve"> sabiedrīb</w:t>
            </w:r>
            <w:r>
              <w:rPr>
                <w:rFonts w:cs="Times New Roman"/>
                <w:sz w:val="20"/>
                <w:szCs w:val="20"/>
              </w:rPr>
              <w:t>u</w:t>
            </w:r>
            <w:r w:rsidRPr="001B1DB1">
              <w:rPr>
                <w:rFonts w:cs="Times New Roman"/>
                <w:sz w:val="20"/>
                <w:szCs w:val="20"/>
              </w:rPr>
              <w:t>.</w:t>
            </w:r>
          </w:p>
        </w:tc>
        <w:tc>
          <w:tcPr>
            <w:tcW w:w="2694" w:type="dxa"/>
          </w:tcPr>
          <w:p w14:paraId="247B6D45" w14:textId="77777777" w:rsidR="00656656" w:rsidRPr="001B1DB1" w:rsidRDefault="00656656" w:rsidP="00656656">
            <w:pPr>
              <w:jc w:val="both"/>
              <w:rPr>
                <w:rFonts w:cs="Times New Roman"/>
                <w:sz w:val="20"/>
                <w:szCs w:val="20"/>
              </w:rPr>
            </w:pPr>
            <w:r w:rsidRPr="001B1DB1">
              <w:rPr>
                <w:rFonts w:cs="Times New Roman"/>
                <w:sz w:val="20"/>
                <w:szCs w:val="20"/>
              </w:rPr>
              <w:t>Sagatavoti un MK iesniegti normatīvo aktu grozījumi.</w:t>
            </w:r>
          </w:p>
        </w:tc>
        <w:tc>
          <w:tcPr>
            <w:tcW w:w="1134" w:type="dxa"/>
            <w:shd w:val="clear" w:color="auto" w:fill="auto"/>
          </w:tcPr>
          <w:p w14:paraId="25F701EC" w14:textId="77777777" w:rsidR="00656656" w:rsidRDefault="00656656" w:rsidP="00656656">
            <w:pPr>
              <w:jc w:val="center"/>
              <w:rPr>
                <w:sz w:val="20"/>
                <w:szCs w:val="20"/>
              </w:rPr>
            </w:pPr>
            <w:r>
              <w:rPr>
                <w:sz w:val="20"/>
                <w:szCs w:val="20"/>
              </w:rPr>
              <w:t xml:space="preserve">FM </w:t>
            </w:r>
          </w:p>
          <w:p w14:paraId="2E1BB7ED" w14:textId="7726EE2C" w:rsidR="00656656" w:rsidRPr="001B1DB1" w:rsidRDefault="00656656" w:rsidP="00656656">
            <w:pPr>
              <w:jc w:val="center"/>
              <w:rPr>
                <w:sz w:val="20"/>
                <w:szCs w:val="20"/>
              </w:rPr>
            </w:pPr>
          </w:p>
        </w:tc>
        <w:tc>
          <w:tcPr>
            <w:tcW w:w="1275" w:type="dxa"/>
            <w:shd w:val="clear" w:color="auto" w:fill="auto"/>
          </w:tcPr>
          <w:p w14:paraId="786BB9FD" w14:textId="1D717DE2" w:rsidR="00656656" w:rsidRPr="001B1DB1" w:rsidRDefault="00656656" w:rsidP="00656656">
            <w:pPr>
              <w:jc w:val="center"/>
              <w:rPr>
                <w:sz w:val="20"/>
                <w:szCs w:val="20"/>
              </w:rPr>
            </w:pPr>
            <w:r w:rsidRPr="001B1DB1">
              <w:rPr>
                <w:sz w:val="20"/>
                <w:szCs w:val="20"/>
              </w:rPr>
              <w:t xml:space="preserve">FKTK, </w:t>
            </w:r>
            <w:r w:rsidRPr="007325CA">
              <w:rPr>
                <w:sz w:val="20"/>
                <w:szCs w:val="20"/>
              </w:rPr>
              <w:t>LFNA</w:t>
            </w:r>
          </w:p>
        </w:tc>
        <w:tc>
          <w:tcPr>
            <w:tcW w:w="1418" w:type="dxa"/>
            <w:shd w:val="clear" w:color="auto" w:fill="auto"/>
          </w:tcPr>
          <w:p w14:paraId="57CB1645" w14:textId="77777777" w:rsidR="00656656" w:rsidRPr="001B1DB1" w:rsidRDefault="00656656" w:rsidP="00656656">
            <w:pPr>
              <w:jc w:val="center"/>
              <w:rPr>
                <w:rFonts w:cs="Times New Roman"/>
                <w:bCs/>
                <w:sz w:val="20"/>
                <w:szCs w:val="20"/>
              </w:rPr>
            </w:pPr>
            <w:r w:rsidRPr="001B1DB1">
              <w:rPr>
                <w:rFonts w:cs="Times New Roman"/>
                <w:bCs/>
                <w:sz w:val="20"/>
                <w:szCs w:val="20"/>
              </w:rPr>
              <w:t>31.12.2020.</w:t>
            </w:r>
          </w:p>
        </w:tc>
      </w:tr>
      <w:tr w:rsidR="00DC0FF0" w:rsidRPr="001B1DB1" w14:paraId="6EC66804" w14:textId="77777777" w:rsidTr="00067C5B">
        <w:trPr>
          <w:trHeight w:val="543"/>
        </w:trPr>
        <w:tc>
          <w:tcPr>
            <w:tcW w:w="15026" w:type="dxa"/>
            <w:gridSpan w:val="8"/>
          </w:tcPr>
          <w:p w14:paraId="683B0B92" w14:textId="77777777" w:rsidR="00DC0FF0" w:rsidRDefault="00A02E44" w:rsidP="00A02E44">
            <w:pPr>
              <w:jc w:val="both"/>
              <w:rPr>
                <w:rFonts w:cs="Times New Roman"/>
                <w:b/>
                <w:bCs/>
                <w:sz w:val="20"/>
                <w:szCs w:val="20"/>
              </w:rPr>
            </w:pPr>
            <w:r w:rsidRPr="001B1DB1">
              <w:rPr>
                <w:rFonts w:cs="Times New Roman"/>
                <w:b/>
                <w:bCs/>
                <w:sz w:val="20"/>
                <w:szCs w:val="20"/>
              </w:rPr>
              <w:t>Izpilde</w:t>
            </w:r>
          </w:p>
          <w:p w14:paraId="786FA97F" w14:textId="782A1641" w:rsidR="001D0FE1" w:rsidRPr="001B1DB1" w:rsidRDefault="00F34B9E" w:rsidP="00A02E44">
            <w:pPr>
              <w:jc w:val="both"/>
              <w:rPr>
                <w:rFonts w:cs="Times New Roman"/>
                <w:bCs/>
                <w:sz w:val="20"/>
                <w:szCs w:val="20"/>
              </w:rPr>
            </w:pPr>
            <w:r w:rsidRPr="00F34B9E">
              <w:rPr>
                <w:rFonts w:cs="Times New Roman"/>
                <w:bCs/>
                <w:sz w:val="20"/>
                <w:szCs w:val="20"/>
              </w:rPr>
              <w:t>Ar grozījumiem Kredītiestāžu likumā, kas pieņemti Saeimā 2021. gada 29. aprīlī un stājušies spēkā 19. maijā, Kredītiestāžu likuma 62. pants tika papildināts ar 11. un 12. daļu</w:t>
            </w:r>
            <w:r w:rsidR="003203A5">
              <w:rPr>
                <w:rFonts w:cs="Times New Roman"/>
                <w:bCs/>
                <w:sz w:val="20"/>
                <w:szCs w:val="20"/>
              </w:rPr>
              <w:t>,</w:t>
            </w:r>
            <w:r w:rsidRPr="00F34B9E">
              <w:rPr>
                <w:rFonts w:cs="Times New Roman"/>
                <w:bCs/>
                <w:sz w:val="20"/>
                <w:szCs w:val="20"/>
              </w:rPr>
              <w:t xml:space="preserve"> paredzot gadījumus, kad kredītiestādes klients publiski izplatījis ziņas par savu sadarbību ar kredītiestādi, kas neatbilst kredītiestādes rīcībā esošajai informācijai, vai </w:t>
            </w:r>
            <w:proofErr w:type="spellStart"/>
            <w:r w:rsidRPr="00F34B9E">
              <w:rPr>
                <w:rFonts w:cs="Times New Roman"/>
                <w:bCs/>
                <w:sz w:val="20"/>
                <w:szCs w:val="20"/>
              </w:rPr>
              <w:t>žurnālistiskās</w:t>
            </w:r>
            <w:proofErr w:type="spellEnd"/>
            <w:r w:rsidRPr="00F34B9E">
              <w:rPr>
                <w:rFonts w:cs="Times New Roman"/>
                <w:bCs/>
                <w:sz w:val="20"/>
                <w:szCs w:val="20"/>
              </w:rPr>
              <w:t xml:space="preserve"> darbības ietvaros </w:t>
            </w:r>
            <w:r w:rsidRPr="00F34B9E">
              <w:rPr>
                <w:rFonts w:cs="Times New Roman"/>
                <w:bCs/>
                <w:sz w:val="20"/>
                <w:szCs w:val="20"/>
              </w:rPr>
              <w:lastRenderedPageBreak/>
              <w:t>informāciju par kredītiestādes sadarbību ar klientu publiski izplatījis Latvijā vai citā valstī reģistrētā masu informācijas līdzeklī, kredītiestāde ir tiesīga publiski atklāt tās rīcībā esošās neizpaužamās ziņas par attiecīgo personu, sniedzot skaidrojošu atbildi saistībā ar izplatītajām ziņām vai informāciju izvēlētā formā.</w:t>
            </w:r>
          </w:p>
        </w:tc>
      </w:tr>
    </w:tbl>
    <w:p w14:paraId="518EB903"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48446B" w:rsidRPr="001B1DB1" w14:paraId="73E45A8E" w14:textId="77777777" w:rsidTr="009744C5">
        <w:tc>
          <w:tcPr>
            <w:tcW w:w="4395" w:type="dxa"/>
            <w:gridSpan w:val="2"/>
          </w:tcPr>
          <w:p w14:paraId="6B5C8E71" w14:textId="77777777" w:rsidR="0048446B" w:rsidRPr="001B1DB1" w:rsidRDefault="0048446B" w:rsidP="0048446B">
            <w:pPr>
              <w:rPr>
                <w:rFonts w:cs="Times New Roman"/>
                <w:b/>
                <w:bCs/>
                <w:sz w:val="20"/>
                <w:szCs w:val="20"/>
              </w:rPr>
            </w:pPr>
            <w:r w:rsidRPr="001B1DB1">
              <w:rPr>
                <w:rFonts w:cs="Times New Roman"/>
                <w:b/>
                <w:bCs/>
                <w:sz w:val="20"/>
                <w:szCs w:val="20"/>
              </w:rPr>
              <w:t>Rīcības virziens</w:t>
            </w:r>
          </w:p>
        </w:tc>
        <w:tc>
          <w:tcPr>
            <w:tcW w:w="10631" w:type="dxa"/>
            <w:gridSpan w:val="6"/>
          </w:tcPr>
          <w:p w14:paraId="58D16389" w14:textId="77777777" w:rsidR="0048446B" w:rsidRPr="001B1DB1" w:rsidRDefault="0048446B" w:rsidP="0048446B">
            <w:pPr>
              <w:jc w:val="both"/>
              <w:rPr>
                <w:rFonts w:cs="Times New Roman"/>
                <w:b/>
                <w:bCs/>
                <w:sz w:val="20"/>
                <w:szCs w:val="20"/>
              </w:rPr>
            </w:pPr>
            <w:r w:rsidRPr="001B1DB1">
              <w:rPr>
                <w:rFonts w:cs="Times New Roman"/>
                <w:b/>
                <w:sz w:val="20"/>
                <w:szCs w:val="20"/>
              </w:rPr>
              <w:t>JURIDISKĀS PERSONAS UN VEIDOJUMI</w:t>
            </w:r>
          </w:p>
        </w:tc>
      </w:tr>
      <w:tr w:rsidR="00653158" w:rsidRPr="001B1DB1" w14:paraId="2D30FBEC" w14:textId="77777777" w:rsidTr="00172808">
        <w:tc>
          <w:tcPr>
            <w:tcW w:w="4395" w:type="dxa"/>
            <w:gridSpan w:val="2"/>
          </w:tcPr>
          <w:p w14:paraId="1A72E6FC" w14:textId="34AF4BD0"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45140C84" w14:textId="77777777" w:rsidR="00653158" w:rsidRPr="001B1DB1" w:rsidRDefault="00653158" w:rsidP="00653158">
            <w:pPr>
              <w:jc w:val="both"/>
              <w:rPr>
                <w:rFonts w:cs="Times New Roman"/>
                <w:b/>
                <w:bCs/>
                <w:sz w:val="20"/>
                <w:szCs w:val="20"/>
              </w:rPr>
            </w:pPr>
            <w:r w:rsidRPr="001B1DB1">
              <w:rPr>
                <w:b/>
                <w:bCs/>
                <w:sz w:val="20"/>
                <w:szCs w:val="20"/>
              </w:rPr>
              <w:t>Novērsta iespēja juridiskām personām un veidojumiem ļaunprātīgi izmantot NILLTPF, un informācija par to PLG bez šķēršļiem ir pieejama kompetentajām iestādēm.</w:t>
            </w:r>
          </w:p>
        </w:tc>
      </w:tr>
      <w:tr w:rsidR="00C703D7" w:rsidRPr="001B1DB1" w14:paraId="4E6DCCD6" w14:textId="77777777" w:rsidTr="009744C5">
        <w:trPr>
          <w:trHeight w:val="543"/>
        </w:trPr>
        <w:tc>
          <w:tcPr>
            <w:tcW w:w="709" w:type="dxa"/>
          </w:tcPr>
          <w:p w14:paraId="4B3D49A7"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093F58FF"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5E45F37F"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3C9B2634"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27157547"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7D40FD34"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413EC0FB"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1F7E3839"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483FB0C8"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537444" w:rsidRPr="001B1DB1" w14:paraId="09A77131" w14:textId="77777777" w:rsidTr="009744C5">
        <w:trPr>
          <w:trHeight w:val="543"/>
        </w:trPr>
        <w:tc>
          <w:tcPr>
            <w:tcW w:w="709" w:type="dxa"/>
          </w:tcPr>
          <w:p w14:paraId="4CB4E3B0" w14:textId="77777777" w:rsidR="00537444" w:rsidRPr="001B1DB1" w:rsidRDefault="00537444" w:rsidP="00537444">
            <w:pPr>
              <w:jc w:val="center"/>
              <w:rPr>
                <w:rFonts w:cs="Times New Roman"/>
                <w:bCs/>
                <w:sz w:val="20"/>
                <w:szCs w:val="20"/>
              </w:rPr>
            </w:pPr>
            <w:r w:rsidRPr="001B1DB1">
              <w:rPr>
                <w:sz w:val="20"/>
                <w:szCs w:val="20"/>
              </w:rPr>
              <w:t>5.2.</w:t>
            </w:r>
          </w:p>
        </w:tc>
        <w:tc>
          <w:tcPr>
            <w:tcW w:w="3686" w:type="dxa"/>
            <w:shd w:val="clear" w:color="auto" w:fill="auto"/>
          </w:tcPr>
          <w:p w14:paraId="528FA59D" w14:textId="5F122E18" w:rsidR="00537444" w:rsidRPr="001B1DB1" w:rsidRDefault="00537444" w:rsidP="00537444">
            <w:pPr>
              <w:jc w:val="both"/>
              <w:rPr>
                <w:rFonts w:cs="Times New Roman"/>
                <w:b/>
                <w:bCs/>
                <w:sz w:val="20"/>
                <w:szCs w:val="20"/>
              </w:rPr>
            </w:pPr>
            <w:r w:rsidRPr="001B1DB1">
              <w:rPr>
                <w:sz w:val="20"/>
                <w:szCs w:val="20"/>
              </w:rPr>
              <w:t>Nodrošināt vienotu pieeju rīcībai gadījumos, kuros UR vestajos reģistros</w:t>
            </w:r>
            <w:r>
              <w:rPr>
                <w:sz w:val="20"/>
                <w:szCs w:val="20"/>
              </w:rPr>
              <w:t>,</w:t>
            </w:r>
            <w:r w:rsidRPr="001B1DB1">
              <w:rPr>
                <w:sz w:val="20"/>
                <w:szCs w:val="20"/>
              </w:rPr>
              <w:t xml:space="preserve"> iespējams</w:t>
            </w:r>
            <w:r>
              <w:rPr>
                <w:sz w:val="20"/>
                <w:szCs w:val="20"/>
              </w:rPr>
              <w:t>,</w:t>
            </w:r>
            <w:r w:rsidRPr="001B1DB1">
              <w:rPr>
                <w:sz w:val="20"/>
                <w:szCs w:val="20"/>
              </w:rPr>
              <w:t xml:space="preserve"> iesniegta nepatiesa informācija par PLG.</w:t>
            </w:r>
          </w:p>
        </w:tc>
        <w:tc>
          <w:tcPr>
            <w:tcW w:w="1559" w:type="dxa"/>
          </w:tcPr>
          <w:p w14:paraId="6BD1473B" w14:textId="77777777" w:rsidR="00537444" w:rsidRPr="001B1DB1" w:rsidRDefault="00537444" w:rsidP="00537444">
            <w:pPr>
              <w:jc w:val="both"/>
              <w:rPr>
                <w:rFonts w:cs="Times New Roman"/>
                <w:b/>
                <w:sz w:val="20"/>
                <w:szCs w:val="20"/>
              </w:rPr>
            </w:pPr>
          </w:p>
        </w:tc>
        <w:tc>
          <w:tcPr>
            <w:tcW w:w="2551" w:type="dxa"/>
            <w:shd w:val="clear" w:color="auto" w:fill="auto"/>
          </w:tcPr>
          <w:p w14:paraId="56A6A269" w14:textId="43B9CDD4" w:rsidR="00537444" w:rsidRPr="001B1DB1" w:rsidRDefault="00537444" w:rsidP="00537444">
            <w:pPr>
              <w:jc w:val="both"/>
              <w:rPr>
                <w:rFonts w:cs="Times New Roman"/>
                <w:b/>
                <w:sz w:val="20"/>
                <w:szCs w:val="20"/>
              </w:rPr>
            </w:pPr>
            <w:r w:rsidRPr="001B1DB1">
              <w:rPr>
                <w:sz w:val="20"/>
                <w:szCs w:val="20"/>
              </w:rPr>
              <w:t>Izveidota vienota pieeja visos sektoros rīcībai gadījumos, ja konstatēts, ka UR iesniegtā informācija par PLG</w:t>
            </w:r>
            <w:r>
              <w:rPr>
                <w:sz w:val="20"/>
                <w:szCs w:val="20"/>
              </w:rPr>
              <w:t>,</w:t>
            </w:r>
            <w:r w:rsidRPr="001B1DB1">
              <w:rPr>
                <w:sz w:val="20"/>
                <w:szCs w:val="20"/>
              </w:rPr>
              <w:t xml:space="preserve"> iespējams</w:t>
            </w:r>
            <w:r>
              <w:rPr>
                <w:sz w:val="20"/>
                <w:szCs w:val="20"/>
              </w:rPr>
              <w:t>,</w:t>
            </w:r>
            <w:r w:rsidRPr="001B1DB1">
              <w:rPr>
                <w:sz w:val="20"/>
                <w:szCs w:val="20"/>
              </w:rPr>
              <w:t xml:space="preserve"> ir nepatiesa.</w:t>
            </w:r>
          </w:p>
        </w:tc>
        <w:tc>
          <w:tcPr>
            <w:tcW w:w="2694" w:type="dxa"/>
          </w:tcPr>
          <w:p w14:paraId="51B17946" w14:textId="5B6C89BE" w:rsidR="00537444" w:rsidRPr="001B1DB1" w:rsidRDefault="00537444" w:rsidP="00537444">
            <w:pPr>
              <w:jc w:val="both"/>
              <w:rPr>
                <w:rFonts w:cs="Times New Roman"/>
                <w:b/>
                <w:sz w:val="20"/>
                <w:szCs w:val="20"/>
              </w:rPr>
            </w:pPr>
            <w:r w:rsidRPr="001B1DB1">
              <w:rPr>
                <w:sz w:val="20"/>
                <w:szCs w:val="20"/>
              </w:rPr>
              <w:t>Ievērojot izstrādāto metodiku</w:t>
            </w:r>
            <w:r>
              <w:rPr>
                <w:sz w:val="20"/>
                <w:szCs w:val="20"/>
              </w:rPr>
              <w:t xml:space="preserve"> ziņošanai UR par gadījumiem, kad likuma subjekti, UKI konstatējušas, ka noskaidrotā informācija par PLG neatbilst UR vestajos reģistros reģistrētajai informācijai</w:t>
            </w:r>
            <w:r w:rsidRPr="001B1DB1">
              <w:rPr>
                <w:sz w:val="20"/>
                <w:szCs w:val="20"/>
              </w:rPr>
              <w:t>, izstrādāt</w:t>
            </w:r>
            <w:r>
              <w:rPr>
                <w:sz w:val="20"/>
                <w:szCs w:val="20"/>
              </w:rPr>
              <w:t>as</w:t>
            </w:r>
            <w:r w:rsidRPr="001B1DB1">
              <w:rPr>
                <w:sz w:val="20"/>
                <w:szCs w:val="20"/>
              </w:rPr>
              <w:t xml:space="preserve"> vai papildināt</w:t>
            </w:r>
            <w:r>
              <w:rPr>
                <w:sz w:val="20"/>
                <w:szCs w:val="20"/>
              </w:rPr>
              <w:t>as</w:t>
            </w:r>
            <w:r w:rsidRPr="001B1DB1">
              <w:rPr>
                <w:sz w:val="20"/>
                <w:szCs w:val="20"/>
              </w:rPr>
              <w:t xml:space="preserve"> jau esošās vadlīnijas rīcībai gadījumos, kuros konstatēts, ka noskaidrotā informācija par PLG neatbilst UR vestajos reģistros reģistrētajai informācijai.</w:t>
            </w:r>
          </w:p>
        </w:tc>
        <w:tc>
          <w:tcPr>
            <w:tcW w:w="1134" w:type="dxa"/>
            <w:shd w:val="clear" w:color="auto" w:fill="auto"/>
          </w:tcPr>
          <w:p w14:paraId="2086582F" w14:textId="24C546B5" w:rsidR="00537444" w:rsidRPr="001B1DB1" w:rsidRDefault="00537444" w:rsidP="00537444">
            <w:pPr>
              <w:jc w:val="center"/>
              <w:rPr>
                <w:rFonts w:cs="Times New Roman"/>
                <w:b/>
                <w:bCs/>
                <w:sz w:val="20"/>
                <w:szCs w:val="20"/>
              </w:rPr>
            </w:pPr>
            <w:r w:rsidRPr="001B1DB1">
              <w:rPr>
                <w:sz w:val="20"/>
                <w:szCs w:val="20"/>
              </w:rPr>
              <w:t>FKTK, VID, LZNP, LZAP, LZRA, PTAC, LB</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5CF1D02D" w14:textId="0571FBAF" w:rsidR="00537444" w:rsidRPr="001B1DB1" w:rsidRDefault="00537444" w:rsidP="00537444">
            <w:pPr>
              <w:jc w:val="center"/>
              <w:rPr>
                <w:rFonts w:cs="Times New Roman"/>
                <w:b/>
                <w:bCs/>
                <w:sz w:val="20"/>
                <w:szCs w:val="20"/>
              </w:rPr>
            </w:pPr>
            <w:r w:rsidRPr="001B1DB1">
              <w:rPr>
                <w:sz w:val="20"/>
                <w:szCs w:val="20"/>
              </w:rPr>
              <w:t>TM (UR)</w:t>
            </w:r>
          </w:p>
        </w:tc>
        <w:tc>
          <w:tcPr>
            <w:tcW w:w="1418" w:type="dxa"/>
            <w:shd w:val="clear" w:color="auto" w:fill="auto"/>
          </w:tcPr>
          <w:p w14:paraId="43CC24AA" w14:textId="124716C9" w:rsidR="00537444" w:rsidRPr="001B1DB1" w:rsidRDefault="00537444" w:rsidP="001E3EA8">
            <w:pPr>
              <w:jc w:val="center"/>
              <w:rPr>
                <w:rFonts w:cs="Times New Roman"/>
                <w:b/>
                <w:bCs/>
                <w:sz w:val="20"/>
                <w:szCs w:val="20"/>
              </w:rPr>
            </w:pPr>
            <w:r w:rsidRPr="001B1DB1">
              <w:rPr>
                <w:sz w:val="20"/>
                <w:szCs w:val="20"/>
              </w:rPr>
              <w:t>01.</w:t>
            </w:r>
            <w:r w:rsidR="001E3EA8">
              <w:rPr>
                <w:sz w:val="20"/>
                <w:szCs w:val="20"/>
              </w:rPr>
              <w:t>10</w:t>
            </w:r>
            <w:r w:rsidRPr="001B1DB1">
              <w:rPr>
                <w:sz w:val="20"/>
                <w:szCs w:val="20"/>
              </w:rPr>
              <w:t>.2020.</w:t>
            </w:r>
          </w:p>
        </w:tc>
      </w:tr>
      <w:tr w:rsidR="00556B85" w:rsidRPr="001B1DB1" w14:paraId="40E6814B" w14:textId="77777777" w:rsidTr="00EB01A5">
        <w:trPr>
          <w:trHeight w:val="543"/>
        </w:trPr>
        <w:tc>
          <w:tcPr>
            <w:tcW w:w="15026" w:type="dxa"/>
            <w:gridSpan w:val="8"/>
          </w:tcPr>
          <w:p w14:paraId="4E64A0A1" w14:textId="77777777" w:rsidR="00556B85" w:rsidRDefault="00A02E44" w:rsidP="00A02E44">
            <w:pPr>
              <w:jc w:val="both"/>
              <w:rPr>
                <w:rFonts w:cs="Times New Roman"/>
                <w:b/>
                <w:bCs/>
                <w:sz w:val="20"/>
                <w:szCs w:val="20"/>
              </w:rPr>
            </w:pPr>
            <w:r w:rsidRPr="001B1DB1">
              <w:rPr>
                <w:rFonts w:cs="Times New Roman"/>
                <w:b/>
                <w:bCs/>
                <w:sz w:val="20"/>
                <w:szCs w:val="20"/>
              </w:rPr>
              <w:t>Izpilde</w:t>
            </w:r>
          </w:p>
          <w:p w14:paraId="104EFA56" w14:textId="77630F41" w:rsidR="000204AC" w:rsidRPr="001B1DB1" w:rsidRDefault="00DA114D" w:rsidP="00A02E44">
            <w:pPr>
              <w:jc w:val="both"/>
              <w:rPr>
                <w:sz w:val="20"/>
                <w:szCs w:val="20"/>
              </w:rPr>
            </w:pPr>
            <w:r>
              <w:rPr>
                <w:sz w:val="20"/>
                <w:szCs w:val="20"/>
              </w:rPr>
              <w:t>S</w:t>
            </w:r>
            <w:r w:rsidR="000204AC" w:rsidRPr="000204AC">
              <w:rPr>
                <w:sz w:val="20"/>
                <w:szCs w:val="20"/>
              </w:rPr>
              <w:t xml:space="preserve">adarbībā ar </w:t>
            </w:r>
            <w:r w:rsidR="007451B0">
              <w:rPr>
                <w:sz w:val="20"/>
                <w:szCs w:val="20"/>
              </w:rPr>
              <w:t>UKI</w:t>
            </w:r>
            <w:r w:rsidR="000204AC" w:rsidRPr="000204AC">
              <w:rPr>
                <w:sz w:val="20"/>
                <w:szCs w:val="20"/>
              </w:rPr>
              <w:t xml:space="preserve"> izstrādātas vadlīnijas (aktualizēta versija apstiprināta UR 19.11.</w:t>
            </w:r>
            <w:r w:rsidR="007451B0">
              <w:rPr>
                <w:sz w:val="20"/>
                <w:szCs w:val="20"/>
              </w:rPr>
              <w:t>20</w:t>
            </w:r>
            <w:r w:rsidR="000204AC" w:rsidRPr="000204AC">
              <w:rPr>
                <w:sz w:val="20"/>
                <w:szCs w:val="20"/>
              </w:rPr>
              <w:t>20., pieejama</w:t>
            </w:r>
            <w:r w:rsidR="007451B0">
              <w:rPr>
                <w:sz w:val="20"/>
                <w:szCs w:val="20"/>
              </w:rPr>
              <w:t xml:space="preserve"> UR tīmekļa vietnē</w:t>
            </w:r>
            <w:r w:rsidR="000204AC" w:rsidRPr="000204AC">
              <w:rPr>
                <w:sz w:val="20"/>
                <w:szCs w:val="20"/>
              </w:rPr>
              <w:t xml:space="preserve">), kuras nosaka vienotu pieeju visu likuma subjektu, kā arī UKI rīcībai gadījumos, ja konstatēts, ka UR vestajos reģistros reģistrētā informācija par PLG, iespējams, ir nepatiesa. Sākot ar 2020. gada 1. jūliju likuma subjekti, kā arī </w:t>
            </w:r>
            <w:r w:rsidR="007451B0">
              <w:rPr>
                <w:sz w:val="20"/>
                <w:szCs w:val="20"/>
              </w:rPr>
              <w:t>UKI</w:t>
            </w:r>
            <w:r w:rsidR="000204AC" w:rsidRPr="000204AC">
              <w:rPr>
                <w:sz w:val="20"/>
                <w:szCs w:val="20"/>
              </w:rPr>
              <w:t xml:space="preserve"> ziņo UR, ja to konstatētā informācija nesakrīt ar UR reģistros reģistrēto par tā klienta PLG. Pēc minētā ziņojuma saņemšanas tiek reģistrēts brīdinājums par, iespējami, nepatiesi sniegtu informāciju UR par PLG. Brīdinājums pieejams likuma subjektiem, to </w:t>
            </w:r>
            <w:r w:rsidR="007451B0">
              <w:rPr>
                <w:sz w:val="20"/>
                <w:szCs w:val="20"/>
              </w:rPr>
              <w:t>UKI</w:t>
            </w:r>
            <w:r w:rsidR="000204AC" w:rsidRPr="000204AC">
              <w:rPr>
                <w:sz w:val="20"/>
                <w:szCs w:val="20"/>
              </w:rPr>
              <w:t xml:space="preserve">, ka arī </w:t>
            </w:r>
            <w:r w:rsidR="007451B0">
              <w:rPr>
                <w:sz w:val="20"/>
                <w:szCs w:val="20"/>
              </w:rPr>
              <w:t>TAI</w:t>
            </w:r>
            <w:r w:rsidR="000204AC" w:rsidRPr="000204AC">
              <w:rPr>
                <w:sz w:val="20"/>
                <w:szCs w:val="20"/>
              </w:rPr>
              <w:t xml:space="preserve">.  Tāpat šī informācija tiek nodota </w:t>
            </w:r>
            <w:r w:rsidR="007451B0">
              <w:rPr>
                <w:sz w:val="20"/>
                <w:szCs w:val="20"/>
              </w:rPr>
              <w:t>TAI</w:t>
            </w:r>
            <w:r w:rsidR="000204AC" w:rsidRPr="000204AC">
              <w:rPr>
                <w:sz w:val="20"/>
                <w:szCs w:val="20"/>
              </w:rPr>
              <w:t>. Kopumā izveidojusies veiksmīga sadarbība starp UR un likuma subjektiem.</w:t>
            </w:r>
          </w:p>
        </w:tc>
      </w:tr>
      <w:tr w:rsidR="008B395B" w:rsidRPr="001B1DB1" w14:paraId="1E44C7FD" w14:textId="77777777" w:rsidTr="009744C5">
        <w:trPr>
          <w:trHeight w:val="543"/>
        </w:trPr>
        <w:tc>
          <w:tcPr>
            <w:tcW w:w="709" w:type="dxa"/>
            <w:vMerge w:val="restart"/>
          </w:tcPr>
          <w:p w14:paraId="57CC1F8A" w14:textId="068A2AA0" w:rsidR="008B395B" w:rsidRPr="001B1DB1" w:rsidRDefault="008B395B" w:rsidP="00537444">
            <w:pPr>
              <w:jc w:val="center"/>
              <w:rPr>
                <w:rFonts w:cs="Times New Roman"/>
                <w:bCs/>
                <w:sz w:val="20"/>
                <w:szCs w:val="20"/>
              </w:rPr>
            </w:pPr>
            <w:r w:rsidRPr="001B1DB1">
              <w:rPr>
                <w:sz w:val="20"/>
                <w:szCs w:val="20"/>
              </w:rPr>
              <w:t>5.</w:t>
            </w:r>
            <w:r w:rsidR="00537444">
              <w:rPr>
                <w:sz w:val="20"/>
                <w:szCs w:val="20"/>
              </w:rPr>
              <w:t>3</w:t>
            </w:r>
            <w:r w:rsidRPr="001B1DB1">
              <w:rPr>
                <w:sz w:val="20"/>
                <w:szCs w:val="20"/>
              </w:rPr>
              <w:t>.</w:t>
            </w:r>
          </w:p>
        </w:tc>
        <w:tc>
          <w:tcPr>
            <w:tcW w:w="3686" w:type="dxa"/>
            <w:vMerge w:val="restart"/>
            <w:shd w:val="clear" w:color="auto" w:fill="auto"/>
          </w:tcPr>
          <w:p w14:paraId="4CE2DF34" w14:textId="7E48782C" w:rsidR="008B395B" w:rsidRPr="008B395B" w:rsidRDefault="008B395B" w:rsidP="004F249C">
            <w:pPr>
              <w:jc w:val="both"/>
              <w:rPr>
                <w:rFonts w:cs="Times New Roman"/>
                <w:b/>
                <w:bCs/>
                <w:sz w:val="20"/>
                <w:szCs w:val="20"/>
              </w:rPr>
            </w:pPr>
            <w:r w:rsidRPr="008B395B">
              <w:rPr>
                <w:sz w:val="20"/>
                <w:szCs w:val="20"/>
              </w:rPr>
              <w:t xml:space="preserve">Nodrošināt NVO sektora lielāku caurskatāmību, vienlaikus radot iespēju korekti </w:t>
            </w:r>
            <w:proofErr w:type="spellStart"/>
            <w:r w:rsidRPr="008B395B">
              <w:rPr>
                <w:sz w:val="20"/>
                <w:szCs w:val="20"/>
              </w:rPr>
              <w:t>monitorēt</w:t>
            </w:r>
            <w:proofErr w:type="spellEnd"/>
            <w:r w:rsidRPr="008B395B">
              <w:rPr>
                <w:sz w:val="20"/>
                <w:szCs w:val="20"/>
              </w:rPr>
              <w:t xml:space="preserve"> sektora NILLTPF riskus.</w:t>
            </w:r>
          </w:p>
        </w:tc>
        <w:tc>
          <w:tcPr>
            <w:tcW w:w="1559" w:type="dxa"/>
            <w:vMerge w:val="restart"/>
          </w:tcPr>
          <w:p w14:paraId="3ECA6DDB" w14:textId="53C4BD30" w:rsidR="008B395B" w:rsidRPr="001B1DB1" w:rsidRDefault="008B395B" w:rsidP="006111F7">
            <w:pPr>
              <w:pStyle w:val="Body"/>
              <w:jc w:val="both"/>
              <w:rPr>
                <w:sz w:val="20"/>
                <w:szCs w:val="20"/>
              </w:rPr>
            </w:pPr>
            <w:r w:rsidRPr="001B1DB1">
              <w:rPr>
                <w:sz w:val="20"/>
                <w:szCs w:val="20"/>
              </w:rPr>
              <w:t>Juridisko personu un NVO risku novērtējums</w:t>
            </w:r>
            <w:r w:rsidR="009D2941">
              <w:rPr>
                <w:sz w:val="20"/>
                <w:szCs w:val="20"/>
              </w:rPr>
              <w:t>;</w:t>
            </w:r>
          </w:p>
          <w:p w14:paraId="76E55135" w14:textId="3D1BB012" w:rsidR="008B395B" w:rsidRPr="001B1DB1" w:rsidRDefault="008B395B" w:rsidP="009D2941">
            <w:pPr>
              <w:jc w:val="both"/>
              <w:rPr>
                <w:rFonts w:cs="Times New Roman"/>
                <w:b/>
                <w:sz w:val="20"/>
                <w:szCs w:val="20"/>
              </w:rPr>
            </w:pPr>
            <w:r w:rsidRPr="001B1DB1">
              <w:rPr>
                <w:sz w:val="20"/>
                <w:szCs w:val="20"/>
              </w:rPr>
              <w:t>MONEYVAL 8</w:t>
            </w:r>
            <w:r w:rsidR="009D2941">
              <w:rPr>
                <w:sz w:val="20"/>
                <w:szCs w:val="20"/>
              </w:rPr>
              <w:t>.</w:t>
            </w:r>
            <w:r w:rsidRPr="001B1DB1">
              <w:rPr>
                <w:sz w:val="20"/>
                <w:szCs w:val="20"/>
              </w:rPr>
              <w:t xml:space="preserve"> rekomendācija.</w:t>
            </w:r>
          </w:p>
        </w:tc>
        <w:tc>
          <w:tcPr>
            <w:tcW w:w="2551" w:type="dxa"/>
            <w:vMerge w:val="restart"/>
            <w:shd w:val="clear" w:color="auto" w:fill="auto"/>
          </w:tcPr>
          <w:p w14:paraId="5669589C" w14:textId="2202B1CA" w:rsidR="008B395B" w:rsidRPr="001B1DB1" w:rsidRDefault="008B395B" w:rsidP="004F249C">
            <w:pPr>
              <w:jc w:val="both"/>
              <w:rPr>
                <w:rFonts w:cs="Times New Roman"/>
                <w:b/>
                <w:sz w:val="20"/>
                <w:szCs w:val="20"/>
              </w:rPr>
            </w:pPr>
            <w:r w:rsidRPr="001B1DB1">
              <w:rPr>
                <w:sz w:val="20"/>
                <w:szCs w:val="20"/>
              </w:rPr>
              <w:t>Pilnveidots normatīvais regulējums</w:t>
            </w:r>
            <w:r>
              <w:rPr>
                <w:sz w:val="20"/>
                <w:szCs w:val="20"/>
              </w:rPr>
              <w:t xml:space="preserve">, </w:t>
            </w:r>
            <w:r w:rsidRPr="001B1DB1">
              <w:rPr>
                <w:sz w:val="20"/>
                <w:szCs w:val="20"/>
              </w:rPr>
              <w:t xml:space="preserve">mazinot juridisko personu/NVO risku novērtējumā  identificētos NILLTPF </w:t>
            </w:r>
            <w:r w:rsidRPr="00213467">
              <w:rPr>
                <w:sz w:val="20"/>
                <w:szCs w:val="20"/>
              </w:rPr>
              <w:t xml:space="preserve">un sankciju neizpildes </w:t>
            </w:r>
            <w:r w:rsidRPr="001B1DB1">
              <w:rPr>
                <w:sz w:val="20"/>
                <w:szCs w:val="20"/>
              </w:rPr>
              <w:t>riskus</w:t>
            </w:r>
            <w:bookmarkStart w:id="3" w:name="_Hlk26797870"/>
            <w:r>
              <w:rPr>
                <w:sz w:val="20"/>
                <w:szCs w:val="20"/>
              </w:rPr>
              <w:t>, nolūkā n</w:t>
            </w:r>
            <w:r w:rsidRPr="00BD5ABA">
              <w:rPr>
                <w:sz w:val="20"/>
                <w:szCs w:val="20"/>
              </w:rPr>
              <w:t xml:space="preserve">odrošināt NVO sektora efektīvu uzraudzību, </w:t>
            </w:r>
            <w:r w:rsidRPr="00BD5ABA">
              <w:rPr>
                <w:sz w:val="20"/>
                <w:szCs w:val="20"/>
              </w:rPr>
              <w:lastRenderedPageBreak/>
              <w:t xml:space="preserve">sekmējot to lielāku caurskatāmību, vienlaikus radot iespēju korekti </w:t>
            </w:r>
            <w:proofErr w:type="spellStart"/>
            <w:r w:rsidRPr="00BD5ABA">
              <w:rPr>
                <w:sz w:val="20"/>
                <w:szCs w:val="20"/>
              </w:rPr>
              <w:t>monitorēt</w:t>
            </w:r>
            <w:proofErr w:type="spellEnd"/>
            <w:r w:rsidRPr="00BD5ABA">
              <w:rPr>
                <w:sz w:val="20"/>
                <w:szCs w:val="20"/>
              </w:rPr>
              <w:t xml:space="preserve"> sektora NILLTPF riskus</w:t>
            </w:r>
            <w:r>
              <w:rPr>
                <w:sz w:val="20"/>
                <w:szCs w:val="20"/>
              </w:rPr>
              <w:t>. Tai skaitā p</w:t>
            </w:r>
            <w:r w:rsidRPr="001B1DB1">
              <w:rPr>
                <w:sz w:val="20"/>
                <w:szCs w:val="20"/>
              </w:rPr>
              <w:t xml:space="preserve">apildināts gada pārskatu saturs, </w:t>
            </w:r>
            <w:r w:rsidRPr="00213467">
              <w:rPr>
                <w:sz w:val="20"/>
                <w:szCs w:val="20"/>
              </w:rPr>
              <w:t>nodrošinot ziedojumu un dāvinājumu skaidras un bezskaidras naudas nodalīšanu</w:t>
            </w:r>
            <w:bookmarkEnd w:id="3"/>
            <w:r>
              <w:rPr>
                <w:sz w:val="20"/>
                <w:szCs w:val="20"/>
              </w:rPr>
              <w:t xml:space="preserve"> un uzlabotas NVO</w:t>
            </w:r>
            <w:r w:rsidRPr="00213467">
              <w:rPr>
                <w:sz w:val="20"/>
                <w:szCs w:val="20"/>
              </w:rPr>
              <w:t xml:space="preserve"> darbības jom</w:t>
            </w:r>
            <w:r>
              <w:rPr>
                <w:sz w:val="20"/>
                <w:szCs w:val="20"/>
              </w:rPr>
              <w:t>u atklāšanas prasības</w:t>
            </w:r>
            <w:r w:rsidRPr="001B1DB1">
              <w:rPr>
                <w:sz w:val="20"/>
                <w:szCs w:val="20"/>
              </w:rPr>
              <w:t>.</w:t>
            </w:r>
          </w:p>
        </w:tc>
        <w:tc>
          <w:tcPr>
            <w:tcW w:w="2694" w:type="dxa"/>
          </w:tcPr>
          <w:p w14:paraId="22794A57" w14:textId="05FA13A6" w:rsidR="008B395B" w:rsidRPr="001B1DB1" w:rsidRDefault="008B395B" w:rsidP="00ED7379">
            <w:pPr>
              <w:jc w:val="both"/>
              <w:rPr>
                <w:rFonts w:cs="Times New Roman"/>
                <w:b/>
                <w:sz w:val="20"/>
                <w:szCs w:val="20"/>
              </w:rPr>
            </w:pPr>
            <w:r w:rsidRPr="001B1DB1">
              <w:rPr>
                <w:sz w:val="20"/>
                <w:szCs w:val="20"/>
              </w:rPr>
              <w:lastRenderedPageBreak/>
              <w:t xml:space="preserve">1. Sagatavots un noteiktajā kārtībā </w:t>
            </w:r>
            <w:r>
              <w:rPr>
                <w:sz w:val="20"/>
                <w:szCs w:val="20"/>
              </w:rPr>
              <w:t>FSAP</w:t>
            </w:r>
            <w:r w:rsidRPr="001B1DB1">
              <w:rPr>
                <w:sz w:val="20"/>
                <w:szCs w:val="20"/>
              </w:rPr>
              <w:t xml:space="preserve"> iesniegts ziņojums, ietverot </w:t>
            </w:r>
            <w:r>
              <w:rPr>
                <w:sz w:val="20"/>
                <w:szCs w:val="20"/>
              </w:rPr>
              <w:t>priekšlikumus pasākumiem</w:t>
            </w:r>
            <w:r w:rsidRPr="001B1DB1">
              <w:rPr>
                <w:sz w:val="20"/>
                <w:szCs w:val="20"/>
              </w:rPr>
              <w:t xml:space="preserve"> attiecībā uz </w:t>
            </w:r>
            <w:r w:rsidRPr="00037D57">
              <w:rPr>
                <w:sz w:val="20"/>
                <w:szCs w:val="20"/>
              </w:rPr>
              <w:t xml:space="preserve">juridisko personu/NVO risku novērtējumā  identificēto NILLTPF un sankciju </w:t>
            </w:r>
            <w:r w:rsidRPr="00037D57">
              <w:rPr>
                <w:sz w:val="20"/>
                <w:szCs w:val="20"/>
              </w:rPr>
              <w:lastRenderedPageBreak/>
              <w:t>neizpildes risku</w:t>
            </w:r>
            <w:r>
              <w:rPr>
                <w:sz w:val="20"/>
                <w:szCs w:val="20"/>
              </w:rPr>
              <w:t xml:space="preserve"> mazināšanu NVO sektorā</w:t>
            </w:r>
            <w:r w:rsidRPr="001B1DB1">
              <w:rPr>
                <w:sz w:val="20"/>
                <w:szCs w:val="20"/>
              </w:rPr>
              <w:t>.</w:t>
            </w:r>
          </w:p>
        </w:tc>
        <w:tc>
          <w:tcPr>
            <w:tcW w:w="1134" w:type="dxa"/>
            <w:shd w:val="clear" w:color="auto" w:fill="auto"/>
          </w:tcPr>
          <w:p w14:paraId="4E125CC4" w14:textId="65D071DD" w:rsidR="008B395B" w:rsidRDefault="008B395B" w:rsidP="00D11C53">
            <w:pPr>
              <w:jc w:val="center"/>
              <w:rPr>
                <w:sz w:val="20"/>
                <w:szCs w:val="20"/>
              </w:rPr>
            </w:pPr>
            <w:r>
              <w:rPr>
                <w:sz w:val="20"/>
                <w:szCs w:val="20"/>
              </w:rPr>
              <w:lastRenderedPageBreak/>
              <w:t>TM</w:t>
            </w:r>
          </w:p>
          <w:p w14:paraId="2225B423" w14:textId="77777777" w:rsidR="008B395B" w:rsidRPr="001B1DB1" w:rsidRDefault="008B395B" w:rsidP="00D11C53">
            <w:pPr>
              <w:jc w:val="center"/>
              <w:rPr>
                <w:rFonts w:cs="Times New Roman"/>
                <w:b/>
                <w:bCs/>
                <w:sz w:val="20"/>
                <w:szCs w:val="20"/>
              </w:rPr>
            </w:pPr>
          </w:p>
        </w:tc>
        <w:tc>
          <w:tcPr>
            <w:tcW w:w="1275" w:type="dxa"/>
            <w:shd w:val="clear" w:color="auto" w:fill="auto"/>
          </w:tcPr>
          <w:p w14:paraId="1B7C75F6" w14:textId="08AD0BB9" w:rsidR="008B395B" w:rsidRPr="001B1DB1" w:rsidRDefault="008B395B" w:rsidP="00D11C53">
            <w:pPr>
              <w:jc w:val="center"/>
              <w:rPr>
                <w:rFonts w:cs="Times New Roman"/>
                <w:b/>
                <w:bCs/>
                <w:sz w:val="20"/>
                <w:szCs w:val="20"/>
              </w:rPr>
            </w:pPr>
            <w:r>
              <w:rPr>
                <w:sz w:val="20"/>
                <w:szCs w:val="20"/>
              </w:rPr>
              <w:t>FM, KM, VID, FID</w:t>
            </w:r>
          </w:p>
        </w:tc>
        <w:tc>
          <w:tcPr>
            <w:tcW w:w="1418" w:type="dxa"/>
            <w:shd w:val="clear" w:color="auto" w:fill="auto"/>
          </w:tcPr>
          <w:p w14:paraId="10C630A4" w14:textId="12531C0C" w:rsidR="008B395B" w:rsidRPr="001B1DB1" w:rsidRDefault="008B395B" w:rsidP="001E3EA8">
            <w:pPr>
              <w:jc w:val="center"/>
              <w:rPr>
                <w:rFonts w:cs="Times New Roman"/>
                <w:b/>
                <w:bCs/>
                <w:sz w:val="20"/>
                <w:szCs w:val="20"/>
              </w:rPr>
            </w:pPr>
            <w:r w:rsidRPr="001B1DB1">
              <w:rPr>
                <w:sz w:val="20"/>
                <w:szCs w:val="20"/>
              </w:rPr>
              <w:t>01.</w:t>
            </w:r>
            <w:r w:rsidR="001E3EA8">
              <w:rPr>
                <w:sz w:val="20"/>
                <w:szCs w:val="20"/>
              </w:rPr>
              <w:t>11</w:t>
            </w:r>
            <w:r w:rsidRPr="001B1DB1">
              <w:rPr>
                <w:sz w:val="20"/>
                <w:szCs w:val="20"/>
              </w:rPr>
              <w:t>.2020.</w:t>
            </w:r>
          </w:p>
        </w:tc>
      </w:tr>
      <w:tr w:rsidR="008B395B" w:rsidRPr="001B1DB1" w14:paraId="308089F5" w14:textId="77777777" w:rsidTr="009744C5">
        <w:trPr>
          <w:trHeight w:val="543"/>
        </w:trPr>
        <w:tc>
          <w:tcPr>
            <w:tcW w:w="709" w:type="dxa"/>
            <w:vMerge/>
          </w:tcPr>
          <w:p w14:paraId="4FB90888" w14:textId="77777777" w:rsidR="008B395B" w:rsidRPr="001B1DB1" w:rsidRDefault="008B395B" w:rsidP="00CA4C02">
            <w:pPr>
              <w:jc w:val="center"/>
              <w:rPr>
                <w:rFonts w:cs="Times New Roman"/>
                <w:bCs/>
                <w:sz w:val="20"/>
                <w:szCs w:val="20"/>
              </w:rPr>
            </w:pPr>
          </w:p>
        </w:tc>
        <w:tc>
          <w:tcPr>
            <w:tcW w:w="3686" w:type="dxa"/>
            <w:vMerge/>
            <w:shd w:val="clear" w:color="auto" w:fill="auto"/>
          </w:tcPr>
          <w:p w14:paraId="08891829" w14:textId="77777777" w:rsidR="008B395B" w:rsidRPr="001B1DB1" w:rsidRDefault="008B395B" w:rsidP="00172808">
            <w:pPr>
              <w:jc w:val="both"/>
              <w:rPr>
                <w:rFonts w:cs="Times New Roman"/>
                <w:b/>
                <w:bCs/>
                <w:sz w:val="20"/>
                <w:szCs w:val="20"/>
              </w:rPr>
            </w:pPr>
          </w:p>
        </w:tc>
        <w:tc>
          <w:tcPr>
            <w:tcW w:w="1559" w:type="dxa"/>
            <w:vMerge/>
          </w:tcPr>
          <w:p w14:paraId="0E708CB4" w14:textId="77777777" w:rsidR="008B395B" w:rsidRPr="001B1DB1" w:rsidRDefault="008B395B" w:rsidP="00172808">
            <w:pPr>
              <w:jc w:val="both"/>
              <w:rPr>
                <w:rFonts w:cs="Times New Roman"/>
                <w:b/>
                <w:sz w:val="20"/>
                <w:szCs w:val="20"/>
              </w:rPr>
            </w:pPr>
          </w:p>
        </w:tc>
        <w:tc>
          <w:tcPr>
            <w:tcW w:w="2551" w:type="dxa"/>
            <w:vMerge/>
            <w:shd w:val="clear" w:color="auto" w:fill="auto"/>
          </w:tcPr>
          <w:p w14:paraId="0ED28486" w14:textId="77777777" w:rsidR="008B395B" w:rsidRPr="001B1DB1" w:rsidRDefault="008B395B" w:rsidP="00172808">
            <w:pPr>
              <w:jc w:val="both"/>
              <w:rPr>
                <w:rFonts w:cs="Times New Roman"/>
                <w:b/>
                <w:sz w:val="20"/>
                <w:szCs w:val="20"/>
              </w:rPr>
            </w:pPr>
          </w:p>
        </w:tc>
        <w:tc>
          <w:tcPr>
            <w:tcW w:w="2694" w:type="dxa"/>
          </w:tcPr>
          <w:p w14:paraId="3D32C5D2" w14:textId="2FA33EAA" w:rsidR="008B395B" w:rsidRPr="001B1DB1" w:rsidRDefault="008B395B" w:rsidP="00172808">
            <w:pPr>
              <w:jc w:val="both"/>
              <w:rPr>
                <w:rFonts w:cs="Times New Roman"/>
                <w:b/>
                <w:sz w:val="20"/>
                <w:szCs w:val="20"/>
              </w:rPr>
            </w:pPr>
            <w:r w:rsidRPr="001B1DB1">
              <w:rPr>
                <w:sz w:val="20"/>
                <w:szCs w:val="20"/>
              </w:rPr>
              <w:t xml:space="preserve">2. Ievērojot 1. rezultatīvā rādītāja ietvaros </w:t>
            </w:r>
            <w:r w:rsidRPr="001F0C22">
              <w:rPr>
                <w:sz w:val="20"/>
                <w:szCs w:val="20"/>
              </w:rPr>
              <w:t>izstrādātajā ziņojumā secināto</w:t>
            </w:r>
            <w:r>
              <w:rPr>
                <w:sz w:val="20"/>
                <w:szCs w:val="20"/>
              </w:rPr>
              <w:t>, s</w:t>
            </w:r>
            <w:r w:rsidRPr="001B1DB1">
              <w:rPr>
                <w:sz w:val="20"/>
                <w:szCs w:val="20"/>
              </w:rPr>
              <w:t xml:space="preserve">agatavots un noteiktajā kārtībā </w:t>
            </w:r>
            <w:r>
              <w:rPr>
                <w:sz w:val="20"/>
                <w:szCs w:val="20"/>
              </w:rPr>
              <w:t>FSAP</w:t>
            </w:r>
            <w:r w:rsidRPr="001B1DB1">
              <w:rPr>
                <w:sz w:val="20"/>
                <w:szCs w:val="20"/>
              </w:rPr>
              <w:t xml:space="preserve"> iesniegts ziņojums</w:t>
            </w:r>
            <w:r>
              <w:rPr>
                <w:sz w:val="20"/>
                <w:szCs w:val="20"/>
              </w:rPr>
              <w:t xml:space="preserve">, </w:t>
            </w:r>
            <w:r w:rsidRPr="001B1DB1">
              <w:rPr>
                <w:sz w:val="20"/>
                <w:szCs w:val="20"/>
              </w:rPr>
              <w:t xml:space="preserve">ietverot </w:t>
            </w:r>
            <w:r>
              <w:rPr>
                <w:sz w:val="20"/>
                <w:szCs w:val="20"/>
              </w:rPr>
              <w:t>priekšlikumus pasākumiem</w:t>
            </w:r>
            <w:r w:rsidRPr="001B1DB1">
              <w:rPr>
                <w:sz w:val="20"/>
                <w:szCs w:val="20"/>
              </w:rPr>
              <w:t xml:space="preserve"> attiecībā uz </w:t>
            </w:r>
            <w:r w:rsidRPr="00037D57">
              <w:rPr>
                <w:sz w:val="20"/>
                <w:szCs w:val="20"/>
              </w:rPr>
              <w:t>NILLTPF un sankciju neizpildes risku</w:t>
            </w:r>
            <w:r>
              <w:rPr>
                <w:sz w:val="20"/>
                <w:szCs w:val="20"/>
              </w:rPr>
              <w:t xml:space="preserve"> mazināšanu sabiedrisko labuma organizāciju sektorā</w:t>
            </w:r>
            <w:r w:rsidRPr="001B1DB1">
              <w:rPr>
                <w:sz w:val="20"/>
                <w:szCs w:val="20"/>
              </w:rPr>
              <w:t>.</w:t>
            </w:r>
          </w:p>
        </w:tc>
        <w:tc>
          <w:tcPr>
            <w:tcW w:w="1134" w:type="dxa"/>
            <w:shd w:val="clear" w:color="auto" w:fill="auto"/>
          </w:tcPr>
          <w:p w14:paraId="5FDBEB85" w14:textId="77777777" w:rsidR="008B395B" w:rsidRPr="001B1DB1" w:rsidRDefault="008B395B" w:rsidP="00D11C53">
            <w:pPr>
              <w:jc w:val="center"/>
              <w:rPr>
                <w:rFonts w:cs="Times New Roman"/>
                <w:b/>
                <w:bCs/>
                <w:sz w:val="20"/>
                <w:szCs w:val="20"/>
              </w:rPr>
            </w:pPr>
            <w:r w:rsidRPr="001B1DB1">
              <w:rPr>
                <w:sz w:val="20"/>
                <w:szCs w:val="20"/>
              </w:rPr>
              <w:t>FM</w:t>
            </w:r>
          </w:p>
        </w:tc>
        <w:tc>
          <w:tcPr>
            <w:tcW w:w="1275" w:type="dxa"/>
            <w:shd w:val="clear" w:color="auto" w:fill="auto"/>
          </w:tcPr>
          <w:p w14:paraId="12E72C2E" w14:textId="020194A1" w:rsidR="008B395B" w:rsidRPr="001B1DB1" w:rsidRDefault="008B395B" w:rsidP="00D11C53">
            <w:pPr>
              <w:jc w:val="center"/>
              <w:rPr>
                <w:rFonts w:cs="Times New Roman"/>
                <w:b/>
                <w:bCs/>
                <w:sz w:val="20"/>
                <w:szCs w:val="20"/>
              </w:rPr>
            </w:pPr>
            <w:r w:rsidRPr="001B1DB1">
              <w:rPr>
                <w:sz w:val="20"/>
                <w:szCs w:val="20"/>
              </w:rPr>
              <w:t>TM</w:t>
            </w:r>
            <w:r>
              <w:rPr>
                <w:sz w:val="20"/>
                <w:szCs w:val="20"/>
              </w:rPr>
              <w:t>, VID, FID</w:t>
            </w:r>
          </w:p>
        </w:tc>
        <w:tc>
          <w:tcPr>
            <w:tcW w:w="1418" w:type="dxa"/>
            <w:shd w:val="clear" w:color="auto" w:fill="auto"/>
          </w:tcPr>
          <w:p w14:paraId="4996928A" w14:textId="39FE597E" w:rsidR="008B395B" w:rsidRPr="001B1DB1" w:rsidRDefault="008B395B" w:rsidP="001E3EA8">
            <w:pPr>
              <w:jc w:val="center"/>
              <w:rPr>
                <w:rFonts w:cs="Times New Roman"/>
                <w:b/>
                <w:bCs/>
                <w:sz w:val="20"/>
                <w:szCs w:val="20"/>
              </w:rPr>
            </w:pPr>
            <w:r>
              <w:rPr>
                <w:sz w:val="20"/>
                <w:szCs w:val="20"/>
              </w:rPr>
              <w:t>01</w:t>
            </w:r>
            <w:r w:rsidRPr="001B1DB1">
              <w:rPr>
                <w:sz w:val="20"/>
                <w:szCs w:val="20"/>
              </w:rPr>
              <w:t>.</w:t>
            </w:r>
            <w:r w:rsidR="001E3EA8">
              <w:rPr>
                <w:sz w:val="20"/>
                <w:szCs w:val="20"/>
              </w:rPr>
              <w:t>0</w:t>
            </w:r>
            <w:r w:rsidRPr="001B1DB1">
              <w:rPr>
                <w:sz w:val="20"/>
                <w:szCs w:val="20"/>
              </w:rPr>
              <w:t>1.202</w:t>
            </w:r>
            <w:r w:rsidR="001E3EA8">
              <w:rPr>
                <w:sz w:val="20"/>
                <w:szCs w:val="20"/>
              </w:rPr>
              <w:t>1</w:t>
            </w:r>
            <w:r w:rsidRPr="001B1DB1">
              <w:rPr>
                <w:sz w:val="20"/>
                <w:szCs w:val="20"/>
              </w:rPr>
              <w:t>.</w:t>
            </w:r>
          </w:p>
        </w:tc>
      </w:tr>
      <w:tr w:rsidR="00556B85" w:rsidRPr="001B1DB1" w14:paraId="11A26495" w14:textId="77777777" w:rsidTr="00F55D81">
        <w:trPr>
          <w:trHeight w:val="543"/>
        </w:trPr>
        <w:tc>
          <w:tcPr>
            <w:tcW w:w="15026" w:type="dxa"/>
            <w:gridSpan w:val="8"/>
          </w:tcPr>
          <w:p w14:paraId="7DABAF0D" w14:textId="77777777" w:rsidR="00556B85" w:rsidRDefault="00A02E44" w:rsidP="00A02E44">
            <w:pPr>
              <w:jc w:val="both"/>
              <w:rPr>
                <w:rFonts w:cs="Times New Roman"/>
                <w:b/>
                <w:bCs/>
                <w:sz w:val="20"/>
                <w:szCs w:val="20"/>
              </w:rPr>
            </w:pPr>
            <w:r w:rsidRPr="001B1DB1">
              <w:rPr>
                <w:rFonts w:cs="Times New Roman"/>
                <w:b/>
                <w:bCs/>
                <w:sz w:val="20"/>
                <w:szCs w:val="20"/>
              </w:rPr>
              <w:t>Izpilde</w:t>
            </w:r>
          </w:p>
          <w:p w14:paraId="540CFF13" w14:textId="4B8253ED" w:rsidR="008A470B" w:rsidRPr="005A40B2" w:rsidRDefault="00F077C7" w:rsidP="005A40B2">
            <w:pPr>
              <w:jc w:val="both"/>
              <w:rPr>
                <w:rFonts w:cs="Times New Roman"/>
                <w:b/>
                <w:bCs/>
                <w:color w:val="FF0000"/>
                <w:sz w:val="20"/>
                <w:szCs w:val="20"/>
              </w:rPr>
            </w:pPr>
            <w:r>
              <w:rPr>
                <w:sz w:val="20"/>
                <w:szCs w:val="20"/>
              </w:rPr>
              <w:t>T</w:t>
            </w:r>
            <w:r w:rsidRPr="00D95D4F">
              <w:rPr>
                <w:sz w:val="20"/>
                <w:szCs w:val="20"/>
              </w:rPr>
              <w:t xml:space="preserve">M </w:t>
            </w:r>
            <w:r>
              <w:rPr>
                <w:sz w:val="20"/>
                <w:szCs w:val="20"/>
              </w:rPr>
              <w:t>iesniegusi FSAP ziņojumu ar p</w:t>
            </w:r>
            <w:r w:rsidRPr="00F077C7">
              <w:rPr>
                <w:sz w:val="20"/>
                <w:szCs w:val="20"/>
              </w:rPr>
              <w:t>riekšlikumi</w:t>
            </w:r>
            <w:r>
              <w:rPr>
                <w:sz w:val="20"/>
                <w:szCs w:val="20"/>
              </w:rPr>
              <w:t>em</w:t>
            </w:r>
            <w:r w:rsidRPr="00F077C7">
              <w:rPr>
                <w:sz w:val="20"/>
                <w:szCs w:val="20"/>
              </w:rPr>
              <w:t xml:space="preserve"> pasākumiem attiecībā uz </w:t>
            </w:r>
            <w:r>
              <w:rPr>
                <w:sz w:val="20"/>
                <w:szCs w:val="20"/>
              </w:rPr>
              <w:t>NVO</w:t>
            </w:r>
            <w:r w:rsidRPr="00F077C7">
              <w:rPr>
                <w:sz w:val="20"/>
                <w:szCs w:val="20"/>
              </w:rPr>
              <w:t xml:space="preserve"> terorisma finansēšanas un </w:t>
            </w:r>
            <w:r w:rsidR="005A40B2">
              <w:rPr>
                <w:sz w:val="20"/>
                <w:szCs w:val="20"/>
              </w:rPr>
              <w:t>NILL</w:t>
            </w:r>
            <w:r w:rsidRPr="00F077C7">
              <w:rPr>
                <w:sz w:val="20"/>
                <w:szCs w:val="20"/>
              </w:rPr>
              <w:t xml:space="preserve"> novēršanu un mazināšanu </w:t>
            </w:r>
            <w:r>
              <w:rPr>
                <w:sz w:val="20"/>
                <w:szCs w:val="20"/>
              </w:rPr>
              <w:t>NVO</w:t>
            </w:r>
            <w:r w:rsidRPr="00F077C7">
              <w:rPr>
                <w:sz w:val="20"/>
                <w:szCs w:val="20"/>
              </w:rPr>
              <w:t xml:space="preserve"> sektorā</w:t>
            </w:r>
            <w:r>
              <w:rPr>
                <w:sz w:val="20"/>
                <w:szCs w:val="20"/>
              </w:rPr>
              <w:t xml:space="preserve">. Ziņojumā ir integrēti arī </w:t>
            </w:r>
            <w:r w:rsidR="005A40B2">
              <w:rPr>
                <w:sz w:val="20"/>
                <w:szCs w:val="20"/>
              </w:rPr>
              <w:t xml:space="preserve">FM vadībā izstrādātie </w:t>
            </w:r>
            <w:r>
              <w:rPr>
                <w:sz w:val="20"/>
                <w:szCs w:val="20"/>
              </w:rPr>
              <w:t xml:space="preserve">priekšlikumi </w:t>
            </w:r>
            <w:r w:rsidRPr="00F077C7">
              <w:rPr>
                <w:sz w:val="20"/>
                <w:szCs w:val="20"/>
              </w:rPr>
              <w:t>pasākumiem attiecībā uz NILLTPF un sankciju neizpildes risku mazināšanu sabiedrisko labuma organizāciju sektorā</w:t>
            </w:r>
            <w:r>
              <w:rPr>
                <w:sz w:val="20"/>
                <w:szCs w:val="20"/>
              </w:rPr>
              <w:t>. 2021. gadā FSAP ir apstiprinājusi minēto ziņojumu un uzdevusi TM un FM</w:t>
            </w:r>
            <w:r w:rsidRPr="00F077C7">
              <w:rPr>
                <w:sz w:val="20"/>
                <w:szCs w:val="20"/>
              </w:rPr>
              <w:t xml:space="preserve"> uzsākt ziņojum</w:t>
            </w:r>
            <w:r w:rsidR="005A40B2">
              <w:rPr>
                <w:sz w:val="20"/>
                <w:szCs w:val="20"/>
              </w:rPr>
              <w:t>ā</w:t>
            </w:r>
            <w:r w:rsidRPr="00F077C7">
              <w:rPr>
                <w:sz w:val="20"/>
                <w:szCs w:val="20"/>
              </w:rPr>
              <w:t xml:space="preserve"> noteikto uzdevumu izpildi noteiktajos termiņos</w:t>
            </w:r>
            <w:r w:rsidR="005A40B2">
              <w:rPr>
                <w:sz w:val="20"/>
                <w:szCs w:val="20"/>
              </w:rPr>
              <w:t>.</w:t>
            </w:r>
          </w:p>
        </w:tc>
      </w:tr>
      <w:tr w:rsidR="00377745" w:rsidRPr="001B1DB1" w14:paraId="0FFD9257" w14:textId="77777777" w:rsidTr="009744C5">
        <w:trPr>
          <w:trHeight w:val="543"/>
        </w:trPr>
        <w:tc>
          <w:tcPr>
            <w:tcW w:w="709" w:type="dxa"/>
          </w:tcPr>
          <w:p w14:paraId="573CF0C3" w14:textId="2F9D5879" w:rsidR="00377745" w:rsidRPr="001B1DB1" w:rsidRDefault="00377745" w:rsidP="00537444">
            <w:pPr>
              <w:jc w:val="center"/>
              <w:rPr>
                <w:rFonts w:cs="Times New Roman"/>
                <w:bCs/>
                <w:sz w:val="20"/>
                <w:szCs w:val="20"/>
              </w:rPr>
            </w:pPr>
            <w:r w:rsidRPr="001B1DB1">
              <w:rPr>
                <w:sz w:val="20"/>
                <w:szCs w:val="20"/>
              </w:rPr>
              <w:t>5.</w:t>
            </w:r>
            <w:r w:rsidR="00537444">
              <w:rPr>
                <w:sz w:val="20"/>
                <w:szCs w:val="20"/>
              </w:rPr>
              <w:t>8</w:t>
            </w:r>
            <w:r w:rsidRPr="001B1DB1">
              <w:rPr>
                <w:sz w:val="20"/>
                <w:szCs w:val="20"/>
              </w:rPr>
              <w:t>.</w:t>
            </w:r>
          </w:p>
        </w:tc>
        <w:tc>
          <w:tcPr>
            <w:tcW w:w="3686" w:type="dxa"/>
            <w:shd w:val="clear" w:color="auto" w:fill="auto"/>
          </w:tcPr>
          <w:p w14:paraId="57ED4D9E" w14:textId="4257D693" w:rsidR="00377745" w:rsidRPr="001B1DB1" w:rsidRDefault="00377745" w:rsidP="00377745">
            <w:pPr>
              <w:jc w:val="both"/>
              <w:rPr>
                <w:rFonts w:cs="Times New Roman"/>
                <w:b/>
                <w:bCs/>
                <w:sz w:val="20"/>
                <w:szCs w:val="20"/>
              </w:rPr>
            </w:pPr>
            <w:r w:rsidRPr="001B1DB1">
              <w:rPr>
                <w:sz w:val="20"/>
                <w:szCs w:val="20"/>
              </w:rPr>
              <w:t>Ieviest sadarbības mehānismu starp UR un UKI, lai nodrošinātu atbilstošu un efektīvu pašu NILLTPFN likuma subjektu PLG noskaidrošanu un atklāšanu UR vestajos reģistros.</w:t>
            </w:r>
          </w:p>
        </w:tc>
        <w:tc>
          <w:tcPr>
            <w:tcW w:w="1559" w:type="dxa"/>
          </w:tcPr>
          <w:p w14:paraId="45C78C00" w14:textId="25C66025" w:rsidR="00377745" w:rsidRPr="001B1DB1" w:rsidRDefault="00377745" w:rsidP="00377745">
            <w:pPr>
              <w:pStyle w:val="Body"/>
              <w:jc w:val="both"/>
            </w:pPr>
            <w:r w:rsidRPr="001B1DB1">
              <w:rPr>
                <w:sz w:val="20"/>
                <w:szCs w:val="20"/>
              </w:rPr>
              <w:t>Juridisko personu un NVO risku novērtējums</w:t>
            </w:r>
            <w:r w:rsidR="009D2941">
              <w:rPr>
                <w:sz w:val="20"/>
                <w:szCs w:val="20"/>
              </w:rPr>
              <w:t>;</w:t>
            </w:r>
          </w:p>
          <w:p w14:paraId="1352C188" w14:textId="77777777" w:rsidR="00377745" w:rsidRPr="001B1DB1" w:rsidRDefault="00377745" w:rsidP="00377745">
            <w:pPr>
              <w:jc w:val="both"/>
              <w:rPr>
                <w:rFonts w:cs="Times New Roman"/>
                <w:b/>
                <w:sz w:val="20"/>
                <w:szCs w:val="20"/>
              </w:rPr>
            </w:pPr>
            <w:r w:rsidRPr="001B1DB1">
              <w:rPr>
                <w:sz w:val="20"/>
                <w:szCs w:val="20"/>
              </w:rPr>
              <w:t>FATF labās prakses vadlīnijas juridisko personu PLG atklāšanā.</w:t>
            </w:r>
          </w:p>
        </w:tc>
        <w:tc>
          <w:tcPr>
            <w:tcW w:w="2551" w:type="dxa"/>
            <w:shd w:val="clear" w:color="auto" w:fill="auto"/>
          </w:tcPr>
          <w:p w14:paraId="68D7369A" w14:textId="77777777" w:rsidR="00377745" w:rsidRPr="001B1DB1" w:rsidRDefault="00377745" w:rsidP="00377745">
            <w:pPr>
              <w:jc w:val="both"/>
              <w:rPr>
                <w:rFonts w:cs="Times New Roman"/>
                <w:b/>
                <w:sz w:val="20"/>
                <w:szCs w:val="20"/>
              </w:rPr>
            </w:pPr>
            <w:r w:rsidRPr="001B1DB1">
              <w:rPr>
                <w:sz w:val="20"/>
                <w:szCs w:val="20"/>
              </w:rPr>
              <w:t>Nodrošināta atbilstoša un efektīva  NILLTPFN likuma subjektu PLG noskaidrošana un atklāšana.</w:t>
            </w:r>
          </w:p>
        </w:tc>
        <w:tc>
          <w:tcPr>
            <w:tcW w:w="2694" w:type="dxa"/>
          </w:tcPr>
          <w:p w14:paraId="235694A1" w14:textId="1833B3E5" w:rsidR="00377745" w:rsidRPr="001B1DB1" w:rsidRDefault="00377745" w:rsidP="00375AB6">
            <w:pPr>
              <w:jc w:val="both"/>
              <w:rPr>
                <w:rFonts w:cs="Times New Roman"/>
                <w:b/>
                <w:sz w:val="20"/>
                <w:szCs w:val="20"/>
              </w:rPr>
            </w:pPr>
            <w:r w:rsidRPr="001B1DB1">
              <w:rPr>
                <w:sz w:val="20"/>
                <w:szCs w:val="20"/>
              </w:rPr>
              <w:t>Izstrādāta kārtība kādā UR un UKI rīkojas, lai</w:t>
            </w:r>
            <w:r w:rsidR="007F5DC7">
              <w:rPr>
                <w:sz w:val="20"/>
                <w:szCs w:val="20"/>
              </w:rPr>
              <w:t>,</w:t>
            </w:r>
            <w:r w:rsidRPr="001B1DB1">
              <w:rPr>
                <w:sz w:val="20"/>
                <w:szCs w:val="20"/>
              </w:rPr>
              <w:t xml:space="preserve"> savstarpēji apmainoties ar informāciju, nodrošinātu, ka UR tiek atbilstoši reģistrēta informācija par NILLTPFN likuma subjektu PLG. Gadījumi, kuros informācijas apmaiņa nepieciešama, nosakāmi ievērojot </w:t>
            </w:r>
            <w:r w:rsidR="007F1A2C">
              <w:rPr>
                <w:rFonts w:cs="Times New Roman"/>
                <w:sz w:val="20"/>
                <w:szCs w:val="20"/>
              </w:rPr>
              <w:t>uz</w:t>
            </w:r>
            <w:r w:rsidR="007F1A2C" w:rsidRPr="001B1DB1">
              <w:rPr>
                <w:rFonts w:cs="Times New Roman"/>
                <w:sz w:val="20"/>
                <w:szCs w:val="20"/>
              </w:rPr>
              <w:t xml:space="preserve"> </w:t>
            </w:r>
            <w:r w:rsidRPr="001B1DB1">
              <w:rPr>
                <w:rFonts w:cs="Times New Roman"/>
                <w:sz w:val="20"/>
                <w:szCs w:val="20"/>
              </w:rPr>
              <w:t xml:space="preserve">risku </w:t>
            </w:r>
            <w:r w:rsidR="007F1A2C">
              <w:rPr>
                <w:rFonts w:cs="Times New Roman"/>
                <w:sz w:val="20"/>
                <w:szCs w:val="20"/>
              </w:rPr>
              <w:t>novērtējumu balstītu</w:t>
            </w:r>
            <w:r w:rsidR="007F1A2C" w:rsidRPr="001B1DB1">
              <w:rPr>
                <w:sz w:val="20"/>
                <w:szCs w:val="20"/>
              </w:rPr>
              <w:t xml:space="preserve"> </w:t>
            </w:r>
            <w:r w:rsidRPr="001B1DB1">
              <w:rPr>
                <w:sz w:val="20"/>
                <w:szCs w:val="20"/>
              </w:rPr>
              <w:t>pieeju, un mehānisms ieviešams UR informācijas sistēmā vienlaikus ar 5.</w:t>
            </w:r>
            <w:r w:rsidR="00893834">
              <w:rPr>
                <w:sz w:val="20"/>
                <w:szCs w:val="20"/>
              </w:rPr>
              <w:t>5</w:t>
            </w:r>
            <w:r w:rsidRPr="001B1DB1">
              <w:rPr>
                <w:sz w:val="20"/>
                <w:szCs w:val="20"/>
              </w:rPr>
              <w:t xml:space="preserve">. pasākuma izpildi. Ja nepieciešams, sagatavojami priekšlikumi grozījumiem normatīvajos aktos. </w:t>
            </w:r>
          </w:p>
        </w:tc>
        <w:tc>
          <w:tcPr>
            <w:tcW w:w="1134" w:type="dxa"/>
            <w:shd w:val="clear" w:color="auto" w:fill="auto"/>
          </w:tcPr>
          <w:p w14:paraId="4B90A06E" w14:textId="77777777" w:rsidR="00377745" w:rsidRPr="001B1DB1" w:rsidRDefault="00377745" w:rsidP="00377745">
            <w:pPr>
              <w:jc w:val="center"/>
              <w:rPr>
                <w:rFonts w:cs="Times New Roman"/>
                <w:b/>
                <w:bCs/>
                <w:sz w:val="20"/>
                <w:szCs w:val="20"/>
              </w:rPr>
            </w:pPr>
            <w:r w:rsidRPr="001B1DB1">
              <w:rPr>
                <w:sz w:val="20"/>
                <w:szCs w:val="20"/>
              </w:rPr>
              <w:t>TM (UR)</w:t>
            </w:r>
          </w:p>
        </w:tc>
        <w:tc>
          <w:tcPr>
            <w:tcW w:w="1275" w:type="dxa"/>
            <w:shd w:val="clear" w:color="auto" w:fill="auto"/>
          </w:tcPr>
          <w:p w14:paraId="066781CB" w14:textId="285E39F4" w:rsidR="00377745" w:rsidRPr="001B1DB1" w:rsidRDefault="00377745" w:rsidP="00377745">
            <w:pPr>
              <w:jc w:val="center"/>
              <w:rPr>
                <w:rFonts w:cs="Times New Roman"/>
                <w:b/>
                <w:bCs/>
                <w:sz w:val="20"/>
                <w:szCs w:val="20"/>
              </w:rPr>
            </w:pPr>
            <w:r w:rsidRPr="001B1DB1">
              <w:rPr>
                <w:sz w:val="20"/>
                <w:szCs w:val="20"/>
              </w:rPr>
              <w:t>FKTK, VID, LZNP, LZAP, LZRA, PTAC, LB</w:t>
            </w:r>
            <w:r>
              <w:rPr>
                <w:sz w:val="20"/>
                <w:szCs w:val="20"/>
              </w:rPr>
              <w:t>, LSMPAA</w:t>
            </w:r>
            <w:r w:rsidR="00171A05">
              <w:rPr>
                <w:sz w:val="20"/>
                <w:szCs w:val="20"/>
              </w:rPr>
              <w:t xml:space="preserve">, </w:t>
            </w:r>
            <w:r w:rsidR="00171A05">
              <w:rPr>
                <w:rFonts w:cs="Times New Roman"/>
                <w:sz w:val="20"/>
                <w:szCs w:val="20"/>
              </w:rPr>
              <w:t>MKD</w:t>
            </w:r>
          </w:p>
        </w:tc>
        <w:tc>
          <w:tcPr>
            <w:tcW w:w="1418" w:type="dxa"/>
            <w:shd w:val="clear" w:color="auto" w:fill="auto"/>
          </w:tcPr>
          <w:p w14:paraId="4BEAF674" w14:textId="128919FB" w:rsidR="00377745" w:rsidRPr="001B1DB1" w:rsidRDefault="00377745" w:rsidP="00377745">
            <w:pPr>
              <w:jc w:val="center"/>
              <w:rPr>
                <w:rFonts w:cs="Times New Roman"/>
                <w:b/>
                <w:bCs/>
                <w:sz w:val="20"/>
                <w:szCs w:val="20"/>
              </w:rPr>
            </w:pPr>
            <w:r w:rsidRPr="001B1DB1">
              <w:rPr>
                <w:sz w:val="20"/>
                <w:szCs w:val="20"/>
              </w:rPr>
              <w:t>31.12.2020. un UR 5.</w:t>
            </w:r>
            <w:r w:rsidR="00CE2F9B">
              <w:rPr>
                <w:sz w:val="20"/>
                <w:szCs w:val="20"/>
              </w:rPr>
              <w:t>5</w:t>
            </w:r>
            <w:r w:rsidRPr="001B1DB1">
              <w:rPr>
                <w:sz w:val="20"/>
                <w:szCs w:val="20"/>
              </w:rPr>
              <w:t>. pasākuma ietvaros</w:t>
            </w:r>
          </w:p>
        </w:tc>
      </w:tr>
      <w:tr w:rsidR="000C2987" w:rsidRPr="001B1DB1" w14:paraId="62C685B9" w14:textId="77777777" w:rsidTr="00F762BF">
        <w:trPr>
          <w:trHeight w:val="543"/>
        </w:trPr>
        <w:tc>
          <w:tcPr>
            <w:tcW w:w="15026" w:type="dxa"/>
            <w:gridSpan w:val="8"/>
          </w:tcPr>
          <w:p w14:paraId="1752E61B" w14:textId="77777777" w:rsidR="000C2987" w:rsidRDefault="00A02E44" w:rsidP="00A02E44">
            <w:pPr>
              <w:jc w:val="both"/>
              <w:rPr>
                <w:rFonts w:cs="Times New Roman"/>
                <w:b/>
                <w:bCs/>
                <w:sz w:val="20"/>
                <w:szCs w:val="20"/>
              </w:rPr>
            </w:pPr>
            <w:r w:rsidRPr="001B1DB1">
              <w:rPr>
                <w:rFonts w:cs="Times New Roman"/>
                <w:b/>
                <w:bCs/>
                <w:sz w:val="20"/>
                <w:szCs w:val="20"/>
              </w:rPr>
              <w:t>Izpilde</w:t>
            </w:r>
          </w:p>
          <w:p w14:paraId="35FA6A23" w14:textId="189AC539" w:rsidR="00D4248B" w:rsidRPr="001B1DB1" w:rsidRDefault="00D4248B" w:rsidP="00845317">
            <w:pPr>
              <w:jc w:val="both"/>
              <w:rPr>
                <w:sz w:val="20"/>
                <w:szCs w:val="20"/>
              </w:rPr>
            </w:pPr>
            <w:r w:rsidRPr="00D4248B">
              <w:rPr>
                <w:sz w:val="20"/>
                <w:szCs w:val="20"/>
              </w:rPr>
              <w:t xml:space="preserve">VID noslēgts </w:t>
            </w:r>
            <w:r w:rsidR="00845317">
              <w:rPr>
                <w:sz w:val="20"/>
                <w:szCs w:val="20"/>
              </w:rPr>
              <w:t>l</w:t>
            </w:r>
            <w:r w:rsidRPr="00D4248B">
              <w:rPr>
                <w:sz w:val="20"/>
                <w:szCs w:val="20"/>
              </w:rPr>
              <w:t xml:space="preserve">īgums par informācijas apmaiņu ar UR. No 2020. gada 1. jūlija UKI, likuma subjektiem un to deleģētām personām pieejama </w:t>
            </w:r>
            <w:r w:rsidR="00845317">
              <w:rPr>
                <w:sz w:val="20"/>
                <w:szCs w:val="20"/>
              </w:rPr>
              <w:t xml:space="preserve">UR </w:t>
            </w:r>
            <w:r w:rsidRPr="00D4248B">
              <w:rPr>
                <w:sz w:val="20"/>
                <w:szCs w:val="20"/>
              </w:rPr>
              <w:t>ziņošanas tīmekļ</w:t>
            </w:r>
            <w:r w:rsidR="00BD065B">
              <w:rPr>
                <w:sz w:val="20"/>
                <w:szCs w:val="20"/>
              </w:rPr>
              <w:t xml:space="preserve">a </w:t>
            </w:r>
            <w:r w:rsidRPr="00D4248B">
              <w:rPr>
                <w:sz w:val="20"/>
                <w:szCs w:val="20"/>
              </w:rPr>
              <w:t>vietne</w:t>
            </w:r>
            <w:r w:rsidR="00845317">
              <w:rPr>
                <w:sz w:val="20"/>
                <w:szCs w:val="20"/>
              </w:rPr>
              <w:t>.</w:t>
            </w:r>
          </w:p>
        </w:tc>
      </w:tr>
      <w:tr w:rsidR="00377745" w:rsidRPr="001B1DB1" w14:paraId="76EE507B" w14:textId="77777777" w:rsidTr="009744C5">
        <w:trPr>
          <w:trHeight w:val="543"/>
        </w:trPr>
        <w:tc>
          <w:tcPr>
            <w:tcW w:w="709" w:type="dxa"/>
          </w:tcPr>
          <w:p w14:paraId="0DE3D10D" w14:textId="3319DEF6" w:rsidR="00377745" w:rsidRPr="001B1DB1" w:rsidRDefault="00377745" w:rsidP="00537444">
            <w:pPr>
              <w:jc w:val="center"/>
              <w:rPr>
                <w:rFonts w:cs="Times New Roman"/>
                <w:bCs/>
                <w:sz w:val="20"/>
                <w:szCs w:val="20"/>
              </w:rPr>
            </w:pPr>
            <w:r w:rsidRPr="001B1DB1">
              <w:rPr>
                <w:sz w:val="20"/>
                <w:szCs w:val="20"/>
              </w:rPr>
              <w:t>5.</w:t>
            </w:r>
            <w:r w:rsidR="00537444">
              <w:rPr>
                <w:sz w:val="20"/>
                <w:szCs w:val="20"/>
              </w:rPr>
              <w:t>9</w:t>
            </w:r>
            <w:r w:rsidRPr="001B1DB1">
              <w:rPr>
                <w:sz w:val="20"/>
                <w:szCs w:val="20"/>
              </w:rPr>
              <w:t>.</w:t>
            </w:r>
          </w:p>
        </w:tc>
        <w:tc>
          <w:tcPr>
            <w:tcW w:w="3686" w:type="dxa"/>
            <w:shd w:val="clear" w:color="auto" w:fill="auto"/>
          </w:tcPr>
          <w:p w14:paraId="77D79119" w14:textId="77777777" w:rsidR="00377745" w:rsidRPr="001B1DB1" w:rsidRDefault="00377745" w:rsidP="00377745">
            <w:pPr>
              <w:jc w:val="both"/>
              <w:rPr>
                <w:rFonts w:cs="Times New Roman"/>
                <w:b/>
                <w:bCs/>
                <w:sz w:val="20"/>
                <w:szCs w:val="20"/>
              </w:rPr>
            </w:pPr>
            <w:r w:rsidRPr="001B1DB1">
              <w:rPr>
                <w:sz w:val="20"/>
                <w:szCs w:val="20"/>
              </w:rPr>
              <w:t xml:space="preserve">Izveidot procesu un noteikt procedūras metodoloģijā, lai izmeklēšanas iestādes </w:t>
            </w:r>
            <w:r w:rsidRPr="001B1DB1">
              <w:rPr>
                <w:sz w:val="20"/>
                <w:szCs w:val="20"/>
              </w:rPr>
              <w:lastRenderedPageBreak/>
              <w:t>efektīvi un atbilstoši normatīvajos aktos noteiktajām iespējām iegūtu informāciju par juridiskajām personām un to patiesajiem labuma guvējiem.</w:t>
            </w:r>
          </w:p>
        </w:tc>
        <w:tc>
          <w:tcPr>
            <w:tcW w:w="1559" w:type="dxa"/>
          </w:tcPr>
          <w:p w14:paraId="581D3220" w14:textId="0E73DD0C" w:rsidR="00377745" w:rsidRPr="001B1DB1" w:rsidRDefault="00377745" w:rsidP="00377745">
            <w:pPr>
              <w:pStyle w:val="Body"/>
              <w:jc w:val="both"/>
              <w:rPr>
                <w:sz w:val="20"/>
                <w:szCs w:val="20"/>
              </w:rPr>
            </w:pPr>
            <w:r w:rsidRPr="001B1DB1">
              <w:rPr>
                <w:sz w:val="20"/>
                <w:szCs w:val="20"/>
              </w:rPr>
              <w:lastRenderedPageBreak/>
              <w:t xml:space="preserve">Juridisko personu un NVO </w:t>
            </w:r>
            <w:r w:rsidRPr="001B1DB1">
              <w:rPr>
                <w:sz w:val="20"/>
                <w:szCs w:val="20"/>
              </w:rPr>
              <w:lastRenderedPageBreak/>
              <w:t>risku novērtējums</w:t>
            </w:r>
            <w:r w:rsidR="009D2941">
              <w:rPr>
                <w:sz w:val="20"/>
                <w:szCs w:val="20"/>
              </w:rPr>
              <w:t>;</w:t>
            </w:r>
          </w:p>
          <w:p w14:paraId="7318EDA8" w14:textId="251B278B" w:rsidR="00377745" w:rsidRPr="001B1DB1" w:rsidRDefault="00377745" w:rsidP="00377745">
            <w:pPr>
              <w:jc w:val="both"/>
              <w:rPr>
                <w:rFonts w:cs="Times New Roman"/>
                <w:b/>
                <w:sz w:val="20"/>
                <w:szCs w:val="20"/>
              </w:rPr>
            </w:pPr>
            <w:r w:rsidRPr="001B1DB1">
              <w:rPr>
                <w:sz w:val="20"/>
                <w:szCs w:val="20"/>
              </w:rPr>
              <w:t>FATF labās prakses vadlīnijas juridisko personu patieso labuma guvēju atklāšanā</w:t>
            </w:r>
            <w:r w:rsidR="007673C2">
              <w:rPr>
                <w:sz w:val="20"/>
                <w:szCs w:val="20"/>
              </w:rPr>
              <w:t>.</w:t>
            </w:r>
          </w:p>
        </w:tc>
        <w:tc>
          <w:tcPr>
            <w:tcW w:w="2551" w:type="dxa"/>
            <w:shd w:val="clear" w:color="auto" w:fill="auto"/>
          </w:tcPr>
          <w:p w14:paraId="1E6245C9" w14:textId="77777777" w:rsidR="00377745" w:rsidRPr="001B1DB1" w:rsidRDefault="00377745" w:rsidP="00377745">
            <w:pPr>
              <w:jc w:val="both"/>
              <w:rPr>
                <w:rFonts w:cs="Times New Roman"/>
                <w:b/>
                <w:sz w:val="20"/>
                <w:szCs w:val="20"/>
              </w:rPr>
            </w:pPr>
            <w:r w:rsidRPr="001B1DB1">
              <w:rPr>
                <w:sz w:val="20"/>
                <w:szCs w:val="20"/>
              </w:rPr>
              <w:lastRenderedPageBreak/>
              <w:t xml:space="preserve">Nodrošināts, ka izmeklēšanas iestādes ir </w:t>
            </w:r>
            <w:r w:rsidRPr="001B1DB1">
              <w:rPr>
                <w:sz w:val="20"/>
                <w:szCs w:val="20"/>
              </w:rPr>
              <w:lastRenderedPageBreak/>
              <w:t>pietiekami informētas un efektīvi iegūst juridisko personu pamatinformāciju un informāciju par to PLG.</w:t>
            </w:r>
          </w:p>
        </w:tc>
        <w:tc>
          <w:tcPr>
            <w:tcW w:w="2694" w:type="dxa"/>
          </w:tcPr>
          <w:p w14:paraId="3B1BFE52" w14:textId="1960235B" w:rsidR="00377745" w:rsidRPr="001B1DB1" w:rsidRDefault="00377745" w:rsidP="00377745">
            <w:pPr>
              <w:jc w:val="both"/>
              <w:rPr>
                <w:rFonts w:cs="Times New Roman"/>
                <w:b/>
                <w:sz w:val="20"/>
                <w:szCs w:val="20"/>
              </w:rPr>
            </w:pPr>
            <w:r w:rsidRPr="001B1DB1">
              <w:rPr>
                <w:sz w:val="20"/>
                <w:szCs w:val="20"/>
              </w:rPr>
              <w:lastRenderedPageBreak/>
              <w:t xml:space="preserve">1. Izstrādāta metodoloģija, kurā izskaidrots process un </w:t>
            </w:r>
            <w:r w:rsidRPr="001B1DB1">
              <w:rPr>
                <w:sz w:val="20"/>
                <w:szCs w:val="20"/>
              </w:rPr>
              <w:lastRenderedPageBreak/>
              <w:t>procedūras</w:t>
            </w:r>
            <w:r w:rsidR="007F5DC7">
              <w:rPr>
                <w:sz w:val="20"/>
                <w:szCs w:val="20"/>
              </w:rPr>
              <w:t>,</w:t>
            </w:r>
            <w:r w:rsidRPr="001B1DB1">
              <w:rPr>
                <w:sz w:val="20"/>
                <w:szCs w:val="20"/>
              </w:rPr>
              <w:t xml:space="preserve"> kā izmeklēšanas iestādēm efektīvi un atbilstoši normatīvajos aktos noteiktajām iespējām iegūt informāciju par juridiskajām personām un to PLG.</w:t>
            </w:r>
          </w:p>
        </w:tc>
        <w:tc>
          <w:tcPr>
            <w:tcW w:w="1134" w:type="dxa"/>
            <w:shd w:val="clear" w:color="auto" w:fill="auto"/>
          </w:tcPr>
          <w:p w14:paraId="3BF86283" w14:textId="77777777" w:rsidR="00377745" w:rsidRPr="001B1DB1" w:rsidRDefault="00377745" w:rsidP="00377745">
            <w:pPr>
              <w:jc w:val="center"/>
              <w:rPr>
                <w:rFonts w:cs="Times New Roman"/>
                <w:b/>
                <w:bCs/>
                <w:sz w:val="20"/>
                <w:szCs w:val="20"/>
              </w:rPr>
            </w:pPr>
            <w:r w:rsidRPr="001B1DB1">
              <w:rPr>
                <w:sz w:val="20"/>
                <w:szCs w:val="20"/>
              </w:rPr>
              <w:lastRenderedPageBreak/>
              <w:t>IeM</w:t>
            </w:r>
          </w:p>
        </w:tc>
        <w:tc>
          <w:tcPr>
            <w:tcW w:w="1275" w:type="dxa"/>
            <w:shd w:val="clear" w:color="auto" w:fill="auto"/>
          </w:tcPr>
          <w:p w14:paraId="42E80372" w14:textId="77777777" w:rsidR="00377745" w:rsidRPr="001B1DB1" w:rsidRDefault="00377745" w:rsidP="00377745">
            <w:pPr>
              <w:jc w:val="center"/>
              <w:rPr>
                <w:rFonts w:cs="Times New Roman"/>
                <w:b/>
                <w:bCs/>
                <w:sz w:val="20"/>
                <w:szCs w:val="20"/>
              </w:rPr>
            </w:pPr>
            <w:r w:rsidRPr="001B1DB1">
              <w:rPr>
                <w:sz w:val="20"/>
                <w:szCs w:val="20"/>
              </w:rPr>
              <w:t>TM</w:t>
            </w:r>
          </w:p>
        </w:tc>
        <w:tc>
          <w:tcPr>
            <w:tcW w:w="1418" w:type="dxa"/>
            <w:shd w:val="clear" w:color="auto" w:fill="auto"/>
          </w:tcPr>
          <w:p w14:paraId="59D90DAB" w14:textId="77777777" w:rsidR="00377745" w:rsidRPr="001B1DB1" w:rsidRDefault="00377745" w:rsidP="00377745">
            <w:pPr>
              <w:jc w:val="center"/>
              <w:rPr>
                <w:rFonts w:cs="Times New Roman"/>
                <w:b/>
                <w:bCs/>
                <w:sz w:val="20"/>
                <w:szCs w:val="20"/>
              </w:rPr>
            </w:pPr>
            <w:r w:rsidRPr="001B1DB1">
              <w:rPr>
                <w:sz w:val="20"/>
                <w:szCs w:val="20"/>
              </w:rPr>
              <w:t>31.12.2020.</w:t>
            </w:r>
          </w:p>
        </w:tc>
      </w:tr>
      <w:tr w:rsidR="000C2987" w:rsidRPr="001B1DB1" w14:paraId="6B7F08FB" w14:textId="77777777" w:rsidTr="002044FB">
        <w:trPr>
          <w:trHeight w:val="620"/>
        </w:trPr>
        <w:tc>
          <w:tcPr>
            <w:tcW w:w="15026" w:type="dxa"/>
            <w:gridSpan w:val="8"/>
          </w:tcPr>
          <w:p w14:paraId="4623CC3B" w14:textId="77777777" w:rsidR="000C2987" w:rsidRDefault="00A02E44" w:rsidP="00A02E44">
            <w:pPr>
              <w:jc w:val="both"/>
              <w:rPr>
                <w:rFonts w:cs="Times New Roman"/>
                <w:b/>
                <w:bCs/>
                <w:sz w:val="20"/>
                <w:szCs w:val="20"/>
              </w:rPr>
            </w:pPr>
            <w:r w:rsidRPr="00271516">
              <w:rPr>
                <w:rFonts w:cs="Times New Roman"/>
                <w:b/>
                <w:bCs/>
                <w:sz w:val="20"/>
                <w:szCs w:val="20"/>
              </w:rPr>
              <w:t>Izpilde</w:t>
            </w:r>
          </w:p>
          <w:p w14:paraId="5D48968A" w14:textId="0A0D8744" w:rsidR="00F46BC2" w:rsidRPr="00F46BC2" w:rsidRDefault="00B51110" w:rsidP="00F46BC2">
            <w:pPr>
              <w:jc w:val="both"/>
              <w:rPr>
                <w:sz w:val="20"/>
                <w:szCs w:val="20"/>
              </w:rPr>
            </w:pPr>
            <w:r w:rsidRPr="00B51110">
              <w:rPr>
                <w:sz w:val="20"/>
                <w:szCs w:val="20"/>
              </w:rPr>
              <w:t xml:space="preserve">Eiropas Sociālā fonda </w:t>
            </w:r>
            <w:r w:rsidR="00F46BC2" w:rsidRPr="00F46BC2">
              <w:rPr>
                <w:sz w:val="20"/>
                <w:szCs w:val="20"/>
              </w:rPr>
              <w:t xml:space="preserve">projekta “Valsts pārvaldes cilvēkresursu profesionālā pilnveide korupcijas novēršanas un ēnu ekonomikas mazināšanas jomā” ietvaros </w:t>
            </w:r>
            <w:r w:rsidR="000C5A60">
              <w:rPr>
                <w:sz w:val="20"/>
                <w:szCs w:val="20"/>
              </w:rPr>
              <w:t>VAS</w:t>
            </w:r>
            <w:r w:rsidR="000C5A60" w:rsidRPr="00F46BC2">
              <w:rPr>
                <w:sz w:val="20"/>
                <w:szCs w:val="20"/>
              </w:rPr>
              <w:t xml:space="preserve"> </w:t>
            </w:r>
            <w:r w:rsidR="00F46BC2" w:rsidRPr="00F46BC2">
              <w:rPr>
                <w:sz w:val="20"/>
                <w:szCs w:val="20"/>
              </w:rPr>
              <w:t xml:space="preserve">sadarbībā ar VP </w:t>
            </w:r>
            <w:r w:rsidR="000C5A60" w:rsidRPr="00F46BC2">
              <w:rPr>
                <w:sz w:val="20"/>
                <w:szCs w:val="20"/>
              </w:rPr>
              <w:t xml:space="preserve">21.10.2020. </w:t>
            </w:r>
            <w:r w:rsidR="00F46BC2" w:rsidRPr="00F46BC2">
              <w:rPr>
                <w:sz w:val="20"/>
                <w:szCs w:val="20"/>
              </w:rPr>
              <w:t>organizēja specializēto mācību semināru “Krimināllikuma 195.</w:t>
            </w:r>
            <w:r>
              <w:rPr>
                <w:sz w:val="20"/>
                <w:szCs w:val="20"/>
                <w:vertAlign w:val="superscript"/>
              </w:rPr>
              <w:t>1</w:t>
            </w:r>
            <w:r w:rsidR="00F46BC2" w:rsidRPr="00F46BC2">
              <w:rPr>
                <w:sz w:val="20"/>
                <w:szCs w:val="20"/>
              </w:rPr>
              <w:t xml:space="preserve"> pantā paredzētā noziedzīgā nodarījuma novēršana un apkarošana”. Seminārā uzstājās vairāku institūciju, t.sk. </w:t>
            </w:r>
            <w:r>
              <w:rPr>
                <w:sz w:val="20"/>
                <w:szCs w:val="20"/>
              </w:rPr>
              <w:t>LFNA</w:t>
            </w:r>
            <w:r w:rsidR="00F46BC2" w:rsidRPr="00F46BC2">
              <w:rPr>
                <w:sz w:val="20"/>
                <w:szCs w:val="20"/>
              </w:rPr>
              <w:t xml:space="preserve">, </w:t>
            </w:r>
            <w:r>
              <w:rPr>
                <w:sz w:val="20"/>
                <w:szCs w:val="20"/>
              </w:rPr>
              <w:t>FID</w:t>
            </w:r>
            <w:r w:rsidR="00F46BC2" w:rsidRPr="00F46BC2">
              <w:rPr>
                <w:sz w:val="20"/>
                <w:szCs w:val="20"/>
              </w:rPr>
              <w:t xml:space="preserve">, </w:t>
            </w:r>
            <w:r>
              <w:rPr>
                <w:sz w:val="20"/>
                <w:szCs w:val="20"/>
              </w:rPr>
              <w:t>UR</w:t>
            </w:r>
            <w:r w:rsidR="00F46BC2" w:rsidRPr="00F46BC2">
              <w:rPr>
                <w:sz w:val="20"/>
                <w:szCs w:val="20"/>
              </w:rPr>
              <w:t xml:space="preserve">, VP, </w:t>
            </w:r>
            <w:r>
              <w:rPr>
                <w:sz w:val="20"/>
                <w:szCs w:val="20"/>
              </w:rPr>
              <w:t>VID</w:t>
            </w:r>
            <w:r w:rsidR="00F46BC2" w:rsidRPr="00F46BC2">
              <w:rPr>
                <w:sz w:val="20"/>
                <w:szCs w:val="20"/>
              </w:rPr>
              <w:t xml:space="preserve"> un prokuratūras pārstāvji. Diskusijās tika pausti </w:t>
            </w:r>
            <w:r>
              <w:rPr>
                <w:sz w:val="20"/>
                <w:szCs w:val="20"/>
              </w:rPr>
              <w:t>TAI</w:t>
            </w:r>
            <w:r w:rsidR="00F46BC2" w:rsidRPr="00F46BC2">
              <w:rPr>
                <w:sz w:val="20"/>
                <w:szCs w:val="20"/>
              </w:rPr>
              <w:t xml:space="preserve"> izmeklētāju viedokļi un sniegti ieteikumi. </w:t>
            </w:r>
          </w:p>
          <w:p w14:paraId="24765A9D" w14:textId="7F54F9C9" w:rsidR="00F46BC2" w:rsidRPr="00F46BC2" w:rsidRDefault="00F46BC2" w:rsidP="00F46BC2">
            <w:pPr>
              <w:jc w:val="both"/>
              <w:rPr>
                <w:sz w:val="20"/>
                <w:szCs w:val="20"/>
              </w:rPr>
            </w:pPr>
            <w:r w:rsidRPr="00F46BC2">
              <w:rPr>
                <w:sz w:val="20"/>
                <w:szCs w:val="20"/>
              </w:rPr>
              <w:t>Ņemot vērā kriminālprocesu skaita pieaugumu un apstākli, ka izmeklētājiem trūkst pieredzes šāda rakstura kriminālprocesu izmeklēšanā, VP izstrādā</w:t>
            </w:r>
            <w:r w:rsidR="00F1384A">
              <w:rPr>
                <w:sz w:val="20"/>
                <w:szCs w:val="20"/>
              </w:rPr>
              <w:t>jusi</w:t>
            </w:r>
            <w:r w:rsidRPr="00F46BC2">
              <w:rPr>
                <w:sz w:val="20"/>
                <w:szCs w:val="20"/>
              </w:rPr>
              <w:t xml:space="preserve"> skaidrojošo materiālu par </w:t>
            </w:r>
            <w:r w:rsidR="00F1384A" w:rsidRPr="00F46BC2">
              <w:rPr>
                <w:sz w:val="20"/>
                <w:szCs w:val="20"/>
              </w:rPr>
              <w:t>Krimināllikuma 195.</w:t>
            </w:r>
            <w:r w:rsidR="00F1384A">
              <w:rPr>
                <w:sz w:val="20"/>
                <w:szCs w:val="20"/>
                <w:vertAlign w:val="superscript"/>
              </w:rPr>
              <w:t>1</w:t>
            </w:r>
            <w:r w:rsidR="00F1384A" w:rsidRPr="00F46BC2">
              <w:rPr>
                <w:sz w:val="20"/>
                <w:szCs w:val="20"/>
              </w:rPr>
              <w:t xml:space="preserve"> pantā paredzētā noziedzīgā nodarījuma</w:t>
            </w:r>
            <w:r w:rsidR="00F1384A">
              <w:rPr>
                <w:sz w:val="20"/>
                <w:szCs w:val="20"/>
              </w:rPr>
              <w:t xml:space="preserve"> </w:t>
            </w:r>
            <w:r w:rsidRPr="00F46BC2">
              <w:rPr>
                <w:sz w:val="20"/>
                <w:szCs w:val="20"/>
              </w:rPr>
              <w:t>izmeklēšanu</w:t>
            </w:r>
            <w:r w:rsidR="00F1384A">
              <w:rPr>
                <w:sz w:val="20"/>
                <w:szCs w:val="20"/>
              </w:rPr>
              <w:t>, kas</w:t>
            </w:r>
            <w:r w:rsidRPr="00F46BC2">
              <w:rPr>
                <w:sz w:val="20"/>
                <w:szCs w:val="20"/>
              </w:rPr>
              <w:t xml:space="preserve"> tika izplatīts izmantošanai VP kriminālpolicijas  struktūrvienībām. Minētais skaidrojošais materiāls satur informāciju arī par iespējām iegūt ziņas par juridiskajām personām un to PLG. </w:t>
            </w:r>
            <w:r w:rsidR="00F1384A">
              <w:rPr>
                <w:sz w:val="20"/>
                <w:szCs w:val="20"/>
              </w:rPr>
              <w:t>Šo</w:t>
            </w:r>
            <w:r w:rsidRPr="00F46BC2">
              <w:rPr>
                <w:sz w:val="20"/>
                <w:szCs w:val="20"/>
              </w:rPr>
              <w:t xml:space="preserve"> materiāl</w:t>
            </w:r>
            <w:r w:rsidR="00F1384A">
              <w:rPr>
                <w:sz w:val="20"/>
                <w:szCs w:val="20"/>
              </w:rPr>
              <w:t>u</w:t>
            </w:r>
            <w:r w:rsidRPr="00F46BC2">
              <w:rPr>
                <w:sz w:val="20"/>
                <w:szCs w:val="20"/>
              </w:rPr>
              <w:t xml:space="preserve"> VP sadarbībā ar prokuratūru pastāvīgi aktualizē</w:t>
            </w:r>
            <w:r w:rsidR="00F1384A">
              <w:rPr>
                <w:sz w:val="20"/>
                <w:szCs w:val="20"/>
              </w:rPr>
              <w:t xml:space="preserve"> </w:t>
            </w:r>
            <w:r w:rsidRPr="00F46BC2">
              <w:rPr>
                <w:sz w:val="20"/>
                <w:szCs w:val="20"/>
              </w:rPr>
              <w:t>un pilnveido.</w:t>
            </w:r>
          </w:p>
        </w:tc>
      </w:tr>
    </w:tbl>
    <w:p w14:paraId="2A773EE7" w14:textId="7A39228E" w:rsidR="00C703D7" w:rsidRPr="001B1DB1" w:rsidRDefault="00C703D7" w:rsidP="002044FB">
      <w:pPr>
        <w:pStyle w:val="Heading2"/>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B842DA" w:rsidRPr="001B1DB1" w14:paraId="628AA84C" w14:textId="77777777" w:rsidTr="009744C5">
        <w:tc>
          <w:tcPr>
            <w:tcW w:w="4395" w:type="dxa"/>
            <w:gridSpan w:val="2"/>
          </w:tcPr>
          <w:p w14:paraId="3BB4F418" w14:textId="77777777" w:rsidR="00B842DA" w:rsidRPr="001B1DB1" w:rsidRDefault="00B842DA" w:rsidP="00B842DA">
            <w:pPr>
              <w:rPr>
                <w:rFonts w:cs="Times New Roman"/>
                <w:b/>
                <w:bCs/>
                <w:sz w:val="20"/>
                <w:szCs w:val="20"/>
              </w:rPr>
            </w:pPr>
            <w:r w:rsidRPr="001B1DB1">
              <w:rPr>
                <w:rFonts w:cs="Times New Roman"/>
                <w:b/>
                <w:bCs/>
                <w:sz w:val="20"/>
                <w:szCs w:val="20"/>
              </w:rPr>
              <w:t>Rīcības virziens</w:t>
            </w:r>
          </w:p>
        </w:tc>
        <w:tc>
          <w:tcPr>
            <w:tcW w:w="10631" w:type="dxa"/>
            <w:gridSpan w:val="6"/>
          </w:tcPr>
          <w:p w14:paraId="2804FDD5" w14:textId="77777777" w:rsidR="00B842DA" w:rsidRPr="001B1DB1" w:rsidRDefault="00B842DA" w:rsidP="00B842DA">
            <w:pPr>
              <w:jc w:val="both"/>
              <w:rPr>
                <w:rFonts w:cs="Times New Roman"/>
                <w:b/>
                <w:bCs/>
                <w:sz w:val="20"/>
                <w:szCs w:val="20"/>
              </w:rPr>
            </w:pPr>
            <w:r w:rsidRPr="001B1DB1">
              <w:rPr>
                <w:rFonts w:cs="Times New Roman"/>
                <w:b/>
                <w:bCs/>
                <w:sz w:val="20"/>
                <w:szCs w:val="20"/>
              </w:rPr>
              <w:t>NOZIEDZĪGI IEGŪTU LIDZEKĻU LEGALIZĀCIJAS IZMEKLĒŠANA UN KRIMINĀLVAJĀŠANA</w:t>
            </w:r>
          </w:p>
        </w:tc>
      </w:tr>
      <w:tr w:rsidR="007D49B9" w:rsidRPr="001B1DB1" w14:paraId="4E99A2D3" w14:textId="77777777" w:rsidTr="00172808">
        <w:tc>
          <w:tcPr>
            <w:tcW w:w="4395" w:type="dxa"/>
            <w:gridSpan w:val="2"/>
          </w:tcPr>
          <w:p w14:paraId="7C67563B" w14:textId="3C18E049" w:rsidR="007D49B9" w:rsidRPr="001B1DB1" w:rsidRDefault="007D49B9" w:rsidP="007D49B9">
            <w:pPr>
              <w:rPr>
                <w:rFonts w:cs="Times New Roman"/>
                <w:b/>
                <w:bCs/>
                <w:sz w:val="20"/>
                <w:szCs w:val="20"/>
              </w:rPr>
            </w:pPr>
            <w:r w:rsidRPr="001B1DB1">
              <w:rPr>
                <w:rFonts w:cs="Times New Roman"/>
                <w:b/>
                <w:bCs/>
                <w:sz w:val="20"/>
                <w:szCs w:val="20"/>
              </w:rPr>
              <w:t>Sasniedzamais mērķis</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2364017B" w14:textId="77777777" w:rsidR="007D49B9" w:rsidRPr="001B1DB1" w:rsidRDefault="007D49B9" w:rsidP="007D49B9">
            <w:pPr>
              <w:jc w:val="both"/>
              <w:rPr>
                <w:rFonts w:cs="Times New Roman"/>
                <w:b/>
                <w:bCs/>
                <w:sz w:val="20"/>
                <w:szCs w:val="20"/>
              </w:rPr>
            </w:pPr>
            <w:r w:rsidRPr="001B1DB1">
              <w:rPr>
                <w:b/>
                <w:bCs/>
                <w:sz w:val="20"/>
                <w:szCs w:val="20"/>
              </w:rPr>
              <w:t>NILL noziedzīgie nodarījumi un darbības tiek izmeklēti, vainīgie tiek saukti pie atbildības, un tiem piemēro efektīvas, samērīgas un atturošas sankcijas.</w:t>
            </w:r>
          </w:p>
        </w:tc>
      </w:tr>
      <w:tr w:rsidR="00C703D7" w:rsidRPr="001B1DB1" w14:paraId="4B2D8980" w14:textId="77777777" w:rsidTr="009744C5">
        <w:trPr>
          <w:trHeight w:val="543"/>
        </w:trPr>
        <w:tc>
          <w:tcPr>
            <w:tcW w:w="709" w:type="dxa"/>
          </w:tcPr>
          <w:p w14:paraId="77085C01" w14:textId="77777777" w:rsidR="00C703D7" w:rsidRPr="001B1DB1" w:rsidRDefault="00C703D7" w:rsidP="006F528F">
            <w:pPr>
              <w:jc w:val="center"/>
              <w:rPr>
                <w:rFonts w:cs="Times New Roman"/>
                <w:b/>
                <w:bCs/>
                <w:sz w:val="20"/>
                <w:szCs w:val="20"/>
              </w:rPr>
            </w:pPr>
            <w:r w:rsidRPr="001B1DB1">
              <w:rPr>
                <w:rFonts w:cs="Times New Roman"/>
                <w:b/>
                <w:bCs/>
                <w:sz w:val="20"/>
                <w:szCs w:val="20"/>
              </w:rPr>
              <w:t>Nr. P.k.</w:t>
            </w:r>
          </w:p>
        </w:tc>
        <w:tc>
          <w:tcPr>
            <w:tcW w:w="3686" w:type="dxa"/>
            <w:shd w:val="clear" w:color="auto" w:fill="auto"/>
          </w:tcPr>
          <w:p w14:paraId="16BE8D06" w14:textId="77777777" w:rsidR="00C703D7" w:rsidRPr="001B1DB1" w:rsidRDefault="00C703D7" w:rsidP="006111F7">
            <w:pPr>
              <w:jc w:val="center"/>
              <w:rPr>
                <w:rFonts w:cs="Times New Roman"/>
                <w:b/>
                <w:bCs/>
                <w:i/>
                <w:sz w:val="20"/>
                <w:szCs w:val="20"/>
              </w:rPr>
            </w:pPr>
            <w:r w:rsidRPr="001B1DB1">
              <w:rPr>
                <w:rFonts w:cs="Times New Roman"/>
                <w:b/>
                <w:bCs/>
                <w:sz w:val="20"/>
                <w:szCs w:val="20"/>
              </w:rPr>
              <w:t>Pasākums</w:t>
            </w:r>
          </w:p>
        </w:tc>
        <w:tc>
          <w:tcPr>
            <w:tcW w:w="1559" w:type="dxa"/>
          </w:tcPr>
          <w:p w14:paraId="2734DFFF" w14:textId="77777777" w:rsidR="00C703D7" w:rsidRPr="001B1DB1" w:rsidRDefault="00C703D7" w:rsidP="00CC405B">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3281F1AF" w14:textId="77777777" w:rsidR="00C703D7" w:rsidRPr="001B1DB1" w:rsidRDefault="00C703D7" w:rsidP="00172808">
            <w:pPr>
              <w:jc w:val="center"/>
              <w:rPr>
                <w:rFonts w:cs="Times New Roman"/>
                <w:b/>
                <w:bCs/>
                <w:i/>
                <w:sz w:val="20"/>
                <w:szCs w:val="20"/>
              </w:rPr>
            </w:pPr>
            <w:r w:rsidRPr="001B1DB1">
              <w:rPr>
                <w:rFonts w:cs="Times New Roman"/>
                <w:b/>
                <w:sz w:val="20"/>
                <w:szCs w:val="20"/>
              </w:rPr>
              <w:t>Darbības rezultāts</w:t>
            </w:r>
          </w:p>
        </w:tc>
        <w:tc>
          <w:tcPr>
            <w:tcW w:w="2694" w:type="dxa"/>
          </w:tcPr>
          <w:p w14:paraId="3E219B52" w14:textId="77777777" w:rsidR="00C703D7" w:rsidRPr="001B1DB1" w:rsidRDefault="00C703D7" w:rsidP="00172808">
            <w:pPr>
              <w:jc w:val="center"/>
              <w:rPr>
                <w:rFonts w:cs="Times New Roman"/>
                <w:b/>
                <w:bCs/>
                <w:i/>
                <w:sz w:val="20"/>
                <w:szCs w:val="20"/>
              </w:rPr>
            </w:pPr>
            <w:r w:rsidRPr="001B1DB1">
              <w:rPr>
                <w:rFonts w:cs="Times New Roman"/>
                <w:b/>
                <w:sz w:val="20"/>
                <w:szCs w:val="20"/>
              </w:rPr>
              <w:t>Rezultatīvais rādītājs</w:t>
            </w:r>
          </w:p>
        </w:tc>
        <w:tc>
          <w:tcPr>
            <w:tcW w:w="1134" w:type="dxa"/>
            <w:shd w:val="clear" w:color="auto" w:fill="auto"/>
          </w:tcPr>
          <w:p w14:paraId="2A505CFA"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680BA188"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2140DFE2"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50D9B625"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59124E" w:rsidRPr="001B1DB1" w14:paraId="17C4363D" w14:textId="77777777" w:rsidTr="0097549F">
        <w:trPr>
          <w:trHeight w:val="543"/>
        </w:trPr>
        <w:tc>
          <w:tcPr>
            <w:tcW w:w="709" w:type="dxa"/>
            <w:tcBorders>
              <w:top w:val="single" w:sz="4" w:space="0" w:color="auto"/>
              <w:left w:val="single" w:sz="4" w:space="0" w:color="auto"/>
              <w:right w:val="single" w:sz="4" w:space="0" w:color="auto"/>
            </w:tcBorders>
          </w:tcPr>
          <w:p w14:paraId="59849CF5" w14:textId="237EA801" w:rsidR="0059124E" w:rsidRPr="001B1DB1" w:rsidRDefault="0059124E" w:rsidP="0059124E">
            <w:pPr>
              <w:jc w:val="center"/>
              <w:rPr>
                <w:rFonts w:cs="Times New Roman"/>
                <w:b/>
                <w:bCs/>
                <w:sz w:val="20"/>
                <w:szCs w:val="20"/>
              </w:rPr>
            </w:pPr>
            <w:r w:rsidRPr="001B1DB1">
              <w:rPr>
                <w:rFonts w:cs="Times New Roman"/>
                <w:bCs/>
                <w:sz w:val="20"/>
                <w:szCs w:val="20"/>
              </w:rPr>
              <w:t>7.1.</w:t>
            </w:r>
          </w:p>
        </w:tc>
        <w:tc>
          <w:tcPr>
            <w:tcW w:w="3686" w:type="dxa"/>
            <w:tcBorders>
              <w:top w:val="single" w:sz="4" w:space="0" w:color="auto"/>
              <w:left w:val="single" w:sz="4" w:space="0" w:color="auto"/>
              <w:right w:val="single" w:sz="4" w:space="0" w:color="auto"/>
            </w:tcBorders>
          </w:tcPr>
          <w:p w14:paraId="4F8655B8" w14:textId="4D000069" w:rsidR="0059124E" w:rsidRPr="001B1DB1" w:rsidRDefault="0059124E" w:rsidP="00B03AB4">
            <w:pPr>
              <w:jc w:val="both"/>
              <w:rPr>
                <w:rFonts w:cs="Times New Roman"/>
                <w:b/>
                <w:bCs/>
                <w:sz w:val="20"/>
                <w:szCs w:val="20"/>
              </w:rPr>
            </w:pPr>
            <w:r w:rsidRPr="001B1DB1">
              <w:rPr>
                <w:rFonts w:cs="Times New Roman"/>
                <w:bCs/>
                <w:sz w:val="20"/>
                <w:szCs w:val="20"/>
              </w:rPr>
              <w:t>Ieviest vienot</w:t>
            </w:r>
            <w:r>
              <w:rPr>
                <w:rFonts w:cs="Times New Roman"/>
                <w:bCs/>
                <w:sz w:val="20"/>
                <w:szCs w:val="20"/>
              </w:rPr>
              <w:t>u</w:t>
            </w:r>
            <w:r w:rsidRPr="001B1DB1">
              <w:rPr>
                <w:rFonts w:cs="Times New Roman"/>
                <w:bCs/>
                <w:sz w:val="20"/>
                <w:szCs w:val="20"/>
              </w:rPr>
              <w:t xml:space="preserve"> pieej</w:t>
            </w:r>
            <w:r>
              <w:rPr>
                <w:rFonts w:cs="Times New Roman"/>
                <w:bCs/>
                <w:sz w:val="20"/>
                <w:szCs w:val="20"/>
              </w:rPr>
              <w:t>u</w:t>
            </w:r>
            <w:r w:rsidRPr="001B1DB1">
              <w:rPr>
                <w:rFonts w:cs="Times New Roman"/>
                <w:bCs/>
                <w:sz w:val="20"/>
                <w:szCs w:val="20"/>
              </w:rPr>
              <w:t xml:space="preserve"> paralēlajām finanšu izmeklēšanām, veicot predikatīvā noziedzīgā nodarījuma izmeklēšanu.</w:t>
            </w:r>
          </w:p>
        </w:tc>
        <w:tc>
          <w:tcPr>
            <w:tcW w:w="1559" w:type="dxa"/>
            <w:tcBorders>
              <w:top w:val="single" w:sz="4" w:space="0" w:color="auto"/>
              <w:left w:val="single" w:sz="4" w:space="0" w:color="auto"/>
              <w:right w:val="single" w:sz="4" w:space="0" w:color="auto"/>
            </w:tcBorders>
          </w:tcPr>
          <w:p w14:paraId="6F935134" w14:textId="141C9204" w:rsidR="0059124E" w:rsidRPr="001B1DB1" w:rsidRDefault="0059124E" w:rsidP="00B03AB4">
            <w:pPr>
              <w:jc w:val="both"/>
              <w:rPr>
                <w:rFonts w:cs="Times New Roman"/>
                <w:b/>
                <w:sz w:val="20"/>
                <w:szCs w:val="20"/>
              </w:rPr>
            </w:pPr>
            <w:r w:rsidRPr="001B1DB1">
              <w:rPr>
                <w:rFonts w:cs="Times New Roman"/>
                <w:sz w:val="20"/>
                <w:szCs w:val="20"/>
              </w:rPr>
              <w:t>MONEYVAL 7.1.</w:t>
            </w:r>
            <w:r w:rsidRPr="001B1DB1">
              <w:rPr>
                <w:sz w:val="20"/>
                <w:szCs w:val="20"/>
              </w:rPr>
              <w:t xml:space="preserve"> rekomendācija</w:t>
            </w:r>
            <w:r>
              <w:rPr>
                <w:sz w:val="20"/>
                <w:szCs w:val="20"/>
              </w:rPr>
              <w:t>.</w:t>
            </w:r>
          </w:p>
        </w:tc>
        <w:tc>
          <w:tcPr>
            <w:tcW w:w="2551" w:type="dxa"/>
            <w:tcBorders>
              <w:top w:val="single" w:sz="4" w:space="0" w:color="auto"/>
              <w:left w:val="single" w:sz="4" w:space="0" w:color="auto"/>
              <w:right w:val="single" w:sz="4" w:space="0" w:color="auto"/>
            </w:tcBorders>
          </w:tcPr>
          <w:p w14:paraId="019F1E2C" w14:textId="271A5D13" w:rsidR="0059124E" w:rsidRPr="001B1DB1" w:rsidRDefault="0059124E" w:rsidP="00B03AB4">
            <w:pPr>
              <w:jc w:val="both"/>
              <w:rPr>
                <w:rFonts w:cs="Times New Roman"/>
                <w:b/>
                <w:sz w:val="20"/>
                <w:szCs w:val="20"/>
              </w:rPr>
            </w:pPr>
            <w:r>
              <w:rPr>
                <w:rFonts w:cs="Times New Roman"/>
                <w:sz w:val="20"/>
                <w:szCs w:val="20"/>
              </w:rPr>
              <w:t>Veiktas s</w:t>
            </w:r>
            <w:r w:rsidRPr="001B1DB1">
              <w:rPr>
                <w:rFonts w:cs="Times New Roman"/>
                <w:sz w:val="20"/>
                <w:szCs w:val="20"/>
              </w:rPr>
              <w:t>istemātiskas paralēlās finanšu izmeklēšanas.</w:t>
            </w:r>
          </w:p>
        </w:tc>
        <w:tc>
          <w:tcPr>
            <w:tcW w:w="2694" w:type="dxa"/>
            <w:tcBorders>
              <w:top w:val="single" w:sz="4" w:space="0" w:color="auto"/>
              <w:left w:val="single" w:sz="4" w:space="0" w:color="auto"/>
              <w:bottom w:val="single" w:sz="4" w:space="0" w:color="auto"/>
              <w:right w:val="single" w:sz="4" w:space="0" w:color="auto"/>
            </w:tcBorders>
          </w:tcPr>
          <w:p w14:paraId="50552F36" w14:textId="39716F87" w:rsidR="0059124E" w:rsidRPr="001B1DB1" w:rsidRDefault="0059124E" w:rsidP="00B03AB4">
            <w:pPr>
              <w:jc w:val="both"/>
              <w:rPr>
                <w:rFonts w:cs="Times New Roman"/>
                <w:b/>
                <w:sz w:val="20"/>
                <w:szCs w:val="20"/>
              </w:rPr>
            </w:pPr>
            <w:r w:rsidRPr="001B1DB1">
              <w:rPr>
                <w:rFonts w:cs="Times New Roman"/>
                <w:sz w:val="20"/>
                <w:szCs w:val="20"/>
              </w:rPr>
              <w:t>1. Visās izmeklēšanas iestādēs ieviesta paralēlās finanšu izmeklēšanas veikšanas sistēma.</w:t>
            </w:r>
          </w:p>
        </w:tc>
        <w:tc>
          <w:tcPr>
            <w:tcW w:w="1134" w:type="dxa"/>
            <w:tcBorders>
              <w:top w:val="single" w:sz="4" w:space="0" w:color="auto"/>
              <w:left w:val="single" w:sz="4" w:space="0" w:color="auto"/>
              <w:bottom w:val="single" w:sz="4" w:space="0" w:color="auto"/>
              <w:right w:val="single" w:sz="4" w:space="0" w:color="auto"/>
            </w:tcBorders>
          </w:tcPr>
          <w:p w14:paraId="6F01116B" w14:textId="4FD06EC6" w:rsidR="0059124E" w:rsidRPr="001B1DB1" w:rsidRDefault="0059124E" w:rsidP="0059124E">
            <w:pPr>
              <w:jc w:val="center"/>
              <w:rPr>
                <w:rFonts w:cs="Times New Roman"/>
                <w:b/>
                <w:bCs/>
                <w:sz w:val="20"/>
                <w:szCs w:val="20"/>
              </w:rPr>
            </w:pPr>
            <w:r w:rsidRPr="001B1DB1">
              <w:rPr>
                <w:rFonts w:cs="Times New Roman"/>
                <w:bCs/>
                <w:sz w:val="20"/>
                <w:szCs w:val="20"/>
              </w:rPr>
              <w:t xml:space="preserve">VP, IDB, VID, KNAB, VRS, </w:t>
            </w:r>
            <w:r w:rsidRPr="00833304">
              <w:rPr>
                <w:rFonts w:cs="Times New Roman"/>
                <w:bCs/>
                <w:sz w:val="20"/>
                <w:szCs w:val="20"/>
              </w:rPr>
              <w:t>MP</w:t>
            </w:r>
            <w:r w:rsidRPr="001B1DB1">
              <w:rPr>
                <w:rFonts w:cs="Times New Roman"/>
                <w:bCs/>
                <w:sz w:val="20"/>
                <w:szCs w:val="20"/>
              </w:rPr>
              <w:t xml:space="preserve">, VDD, </w:t>
            </w:r>
            <w:proofErr w:type="spellStart"/>
            <w:r w:rsidRPr="001B1DB1">
              <w:rPr>
                <w:rFonts w:cs="Times New Roman"/>
                <w:bCs/>
                <w:sz w:val="20"/>
                <w:szCs w:val="20"/>
              </w:rPr>
              <w:t>IeVP</w:t>
            </w:r>
            <w:proofErr w:type="spellEnd"/>
            <w:r w:rsidRPr="001B1DB1" w:rsidDel="0086527B">
              <w:rPr>
                <w:rFonts w:cs="Times New Roman"/>
                <w:b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17062345" w14:textId="77777777" w:rsidR="0059124E" w:rsidRPr="001B1DB1" w:rsidRDefault="0059124E" w:rsidP="0059124E">
            <w:pPr>
              <w:jc w:val="center"/>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83C909" w14:textId="0A368EE1" w:rsidR="0059124E" w:rsidRPr="001B1DB1" w:rsidRDefault="0059124E" w:rsidP="0059124E">
            <w:pPr>
              <w:jc w:val="center"/>
              <w:rPr>
                <w:rFonts w:cs="Times New Roman"/>
                <w:b/>
                <w:bCs/>
                <w:sz w:val="20"/>
                <w:szCs w:val="20"/>
              </w:rPr>
            </w:pPr>
            <w:r w:rsidRPr="001B1DB1">
              <w:rPr>
                <w:rFonts w:cs="Times New Roman"/>
                <w:bCs/>
                <w:sz w:val="20"/>
                <w:szCs w:val="20"/>
              </w:rPr>
              <w:t>01.0</w:t>
            </w:r>
            <w:r>
              <w:rPr>
                <w:rFonts w:cs="Times New Roman"/>
                <w:bCs/>
                <w:sz w:val="20"/>
                <w:szCs w:val="20"/>
              </w:rPr>
              <w:t>8</w:t>
            </w:r>
            <w:r w:rsidRPr="001B1DB1">
              <w:rPr>
                <w:rFonts w:cs="Times New Roman"/>
                <w:bCs/>
                <w:sz w:val="20"/>
                <w:szCs w:val="20"/>
              </w:rPr>
              <w:t>.2020.</w:t>
            </w:r>
          </w:p>
        </w:tc>
      </w:tr>
      <w:tr w:rsidR="0059124E" w:rsidRPr="001B1DB1" w14:paraId="29EAC552" w14:textId="77777777" w:rsidTr="0097549F">
        <w:trPr>
          <w:trHeight w:val="543"/>
        </w:trPr>
        <w:tc>
          <w:tcPr>
            <w:tcW w:w="709" w:type="dxa"/>
            <w:tcBorders>
              <w:left w:val="single" w:sz="4" w:space="0" w:color="auto"/>
              <w:right w:val="single" w:sz="4" w:space="0" w:color="auto"/>
            </w:tcBorders>
          </w:tcPr>
          <w:p w14:paraId="437DA723" w14:textId="77777777" w:rsidR="0059124E" w:rsidRPr="001B1DB1" w:rsidRDefault="0059124E" w:rsidP="0059124E">
            <w:pPr>
              <w:jc w:val="center"/>
              <w:rPr>
                <w:rFonts w:cs="Times New Roman"/>
                <w:b/>
                <w:bCs/>
                <w:sz w:val="20"/>
                <w:szCs w:val="20"/>
              </w:rPr>
            </w:pPr>
          </w:p>
        </w:tc>
        <w:tc>
          <w:tcPr>
            <w:tcW w:w="3686" w:type="dxa"/>
            <w:tcBorders>
              <w:left w:val="single" w:sz="4" w:space="0" w:color="auto"/>
              <w:right w:val="single" w:sz="4" w:space="0" w:color="auto"/>
            </w:tcBorders>
          </w:tcPr>
          <w:p w14:paraId="4681BFF5" w14:textId="77777777" w:rsidR="0059124E" w:rsidRPr="001B1DB1" w:rsidRDefault="0059124E" w:rsidP="0059124E">
            <w:pPr>
              <w:jc w:val="center"/>
              <w:rPr>
                <w:rFonts w:cs="Times New Roman"/>
                <w:b/>
                <w:bCs/>
                <w:sz w:val="20"/>
                <w:szCs w:val="20"/>
              </w:rPr>
            </w:pPr>
          </w:p>
        </w:tc>
        <w:tc>
          <w:tcPr>
            <w:tcW w:w="1559" w:type="dxa"/>
            <w:tcBorders>
              <w:left w:val="single" w:sz="4" w:space="0" w:color="auto"/>
              <w:right w:val="single" w:sz="4" w:space="0" w:color="auto"/>
            </w:tcBorders>
          </w:tcPr>
          <w:p w14:paraId="7AADF676" w14:textId="77777777" w:rsidR="0059124E" w:rsidRPr="001B1DB1" w:rsidRDefault="0059124E" w:rsidP="0059124E">
            <w:pPr>
              <w:jc w:val="center"/>
              <w:rPr>
                <w:rFonts w:cs="Times New Roman"/>
                <w:b/>
                <w:sz w:val="20"/>
                <w:szCs w:val="20"/>
              </w:rPr>
            </w:pPr>
          </w:p>
        </w:tc>
        <w:tc>
          <w:tcPr>
            <w:tcW w:w="2551" w:type="dxa"/>
            <w:tcBorders>
              <w:left w:val="single" w:sz="4" w:space="0" w:color="auto"/>
              <w:right w:val="single" w:sz="4" w:space="0" w:color="auto"/>
            </w:tcBorders>
          </w:tcPr>
          <w:p w14:paraId="7ED5129C" w14:textId="77777777" w:rsidR="0059124E" w:rsidRPr="001B1DB1" w:rsidRDefault="0059124E" w:rsidP="0059124E">
            <w:pPr>
              <w:jc w:val="center"/>
              <w:rPr>
                <w:rFonts w:cs="Times New Roman"/>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4F37F3B7" w14:textId="6A140542" w:rsidR="0059124E" w:rsidRPr="001B1DB1" w:rsidRDefault="0059124E" w:rsidP="00B03AB4">
            <w:pPr>
              <w:jc w:val="both"/>
              <w:rPr>
                <w:rFonts w:cs="Times New Roman"/>
                <w:b/>
                <w:sz w:val="20"/>
                <w:szCs w:val="20"/>
              </w:rPr>
            </w:pPr>
            <w:r>
              <w:rPr>
                <w:rFonts w:cs="Times New Roman"/>
                <w:sz w:val="20"/>
                <w:szCs w:val="20"/>
              </w:rPr>
              <w:t>2. I</w:t>
            </w:r>
            <w:r w:rsidRPr="001B1DB1">
              <w:rPr>
                <w:rFonts w:cs="Times New Roman"/>
                <w:sz w:val="20"/>
                <w:szCs w:val="20"/>
              </w:rPr>
              <w:t>zstrādāts metodiskais materiāls</w:t>
            </w:r>
            <w:r>
              <w:rPr>
                <w:rFonts w:cs="Times New Roman"/>
                <w:sz w:val="20"/>
                <w:szCs w:val="20"/>
              </w:rPr>
              <w:t xml:space="preserve"> par paralēlo finanšu izmeklēšanu veikšanu izmeklēšanas iestādē</w:t>
            </w:r>
            <w:r w:rsidRPr="001B1DB1">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08D95DD" w14:textId="1D1AA5AC" w:rsidR="0059124E" w:rsidRPr="001B1DB1" w:rsidRDefault="0059124E" w:rsidP="0059124E">
            <w:pPr>
              <w:jc w:val="center"/>
              <w:rPr>
                <w:rFonts w:cs="Times New Roman"/>
                <w:b/>
                <w:bCs/>
                <w:sz w:val="20"/>
                <w:szCs w:val="20"/>
              </w:rPr>
            </w:pPr>
            <w:r w:rsidRPr="001B1DB1">
              <w:rPr>
                <w:rFonts w:cs="Times New Roman"/>
                <w:bCs/>
                <w:sz w:val="20"/>
                <w:szCs w:val="20"/>
              </w:rPr>
              <w:t>ĢP</w:t>
            </w:r>
          </w:p>
        </w:tc>
        <w:tc>
          <w:tcPr>
            <w:tcW w:w="1275" w:type="dxa"/>
            <w:tcBorders>
              <w:top w:val="single" w:sz="4" w:space="0" w:color="auto"/>
              <w:left w:val="single" w:sz="4" w:space="0" w:color="auto"/>
              <w:bottom w:val="single" w:sz="4" w:space="0" w:color="auto"/>
              <w:right w:val="single" w:sz="4" w:space="0" w:color="auto"/>
            </w:tcBorders>
          </w:tcPr>
          <w:p w14:paraId="42BB05B8" w14:textId="22527228" w:rsidR="0059124E" w:rsidRPr="001B1DB1" w:rsidRDefault="0059124E" w:rsidP="0059124E">
            <w:pPr>
              <w:jc w:val="center"/>
              <w:rPr>
                <w:rFonts w:cs="Times New Roman"/>
                <w:b/>
                <w:bCs/>
                <w:sz w:val="20"/>
                <w:szCs w:val="20"/>
              </w:rPr>
            </w:pPr>
            <w:r w:rsidRPr="001B1DB1">
              <w:rPr>
                <w:rFonts w:cs="Times New Roman"/>
                <w:bCs/>
                <w:sz w:val="20"/>
                <w:szCs w:val="20"/>
              </w:rPr>
              <w:t xml:space="preserve">VP, IDB, VID, KNAB, VRS, </w:t>
            </w:r>
            <w:r w:rsidRPr="00833304">
              <w:rPr>
                <w:rFonts w:cs="Times New Roman"/>
                <w:bCs/>
                <w:sz w:val="20"/>
                <w:szCs w:val="20"/>
              </w:rPr>
              <w:t>MP</w:t>
            </w:r>
            <w:r w:rsidRPr="001B1DB1">
              <w:rPr>
                <w:rFonts w:cs="Times New Roman"/>
                <w:bCs/>
                <w:sz w:val="20"/>
                <w:szCs w:val="20"/>
              </w:rPr>
              <w:t xml:space="preserve">, VDD, </w:t>
            </w:r>
            <w:proofErr w:type="spellStart"/>
            <w:r w:rsidRPr="001B1DB1">
              <w:rPr>
                <w:rFonts w:cs="Times New Roman"/>
                <w:bCs/>
                <w:sz w:val="20"/>
                <w:szCs w:val="20"/>
              </w:rPr>
              <w:t>IeVP</w:t>
            </w:r>
            <w:proofErr w:type="spellEnd"/>
          </w:p>
        </w:tc>
        <w:tc>
          <w:tcPr>
            <w:tcW w:w="1418" w:type="dxa"/>
            <w:tcBorders>
              <w:top w:val="single" w:sz="4" w:space="0" w:color="auto"/>
              <w:left w:val="single" w:sz="4" w:space="0" w:color="auto"/>
              <w:bottom w:val="single" w:sz="4" w:space="0" w:color="auto"/>
              <w:right w:val="single" w:sz="4" w:space="0" w:color="auto"/>
            </w:tcBorders>
          </w:tcPr>
          <w:p w14:paraId="1BD733CB" w14:textId="4FF224A0" w:rsidR="0059124E" w:rsidRPr="001B1DB1" w:rsidRDefault="0059124E" w:rsidP="0059124E">
            <w:pPr>
              <w:jc w:val="center"/>
              <w:rPr>
                <w:rFonts w:cs="Times New Roman"/>
                <w:b/>
                <w:bCs/>
                <w:sz w:val="20"/>
                <w:szCs w:val="20"/>
              </w:rPr>
            </w:pPr>
            <w:r w:rsidRPr="001B1DB1">
              <w:rPr>
                <w:rFonts w:cs="Times New Roman"/>
                <w:bCs/>
                <w:sz w:val="20"/>
                <w:szCs w:val="20"/>
              </w:rPr>
              <w:t>31.</w:t>
            </w:r>
            <w:r>
              <w:rPr>
                <w:rFonts w:cs="Times New Roman"/>
                <w:bCs/>
                <w:sz w:val="20"/>
                <w:szCs w:val="20"/>
              </w:rPr>
              <w:t>03</w:t>
            </w:r>
            <w:r w:rsidRPr="001B1DB1">
              <w:rPr>
                <w:rFonts w:cs="Times New Roman"/>
                <w:bCs/>
                <w:sz w:val="20"/>
                <w:szCs w:val="20"/>
              </w:rPr>
              <w:t>.202</w:t>
            </w:r>
            <w:r>
              <w:rPr>
                <w:rFonts w:cs="Times New Roman"/>
                <w:bCs/>
                <w:sz w:val="20"/>
                <w:szCs w:val="20"/>
              </w:rPr>
              <w:t>1.</w:t>
            </w:r>
          </w:p>
        </w:tc>
      </w:tr>
      <w:tr w:rsidR="0059124E" w:rsidRPr="001B1DB1" w14:paraId="18E681E3" w14:textId="77777777" w:rsidTr="00B679C1">
        <w:trPr>
          <w:trHeight w:val="543"/>
        </w:trPr>
        <w:tc>
          <w:tcPr>
            <w:tcW w:w="15026" w:type="dxa"/>
            <w:gridSpan w:val="8"/>
          </w:tcPr>
          <w:p w14:paraId="1595AF9D" w14:textId="77777777" w:rsidR="0059124E" w:rsidRPr="005B1CAE" w:rsidRDefault="0059124E" w:rsidP="0059124E">
            <w:pPr>
              <w:jc w:val="both"/>
              <w:rPr>
                <w:rFonts w:cs="Times New Roman"/>
                <w:sz w:val="20"/>
                <w:szCs w:val="20"/>
              </w:rPr>
            </w:pPr>
            <w:r w:rsidRPr="001B1DB1">
              <w:rPr>
                <w:rFonts w:cs="Times New Roman"/>
                <w:b/>
                <w:bCs/>
                <w:sz w:val="20"/>
                <w:szCs w:val="20"/>
              </w:rPr>
              <w:t>Izpilde</w:t>
            </w:r>
          </w:p>
          <w:p w14:paraId="680AB048" w14:textId="77777777" w:rsidR="00226D82" w:rsidRDefault="0059124E" w:rsidP="0059124E">
            <w:pPr>
              <w:jc w:val="both"/>
              <w:rPr>
                <w:rFonts w:cs="Times New Roman"/>
                <w:sz w:val="20"/>
                <w:szCs w:val="20"/>
              </w:rPr>
            </w:pPr>
            <w:r>
              <w:rPr>
                <w:rFonts w:cs="Times New Roman"/>
                <w:sz w:val="20"/>
                <w:szCs w:val="20"/>
              </w:rPr>
              <w:t>K</w:t>
            </w:r>
            <w:r w:rsidRPr="005B1CAE">
              <w:rPr>
                <w:rFonts w:cs="Times New Roman"/>
                <w:sz w:val="20"/>
                <w:szCs w:val="20"/>
              </w:rPr>
              <w:t>atrā izmeklēšanas iestādē ir ieviesta paralēlo finanšu izmeklēšanu veikšanas sistēma.</w:t>
            </w:r>
          </w:p>
          <w:p w14:paraId="785EB9C8" w14:textId="09FAA16F" w:rsidR="00226D82" w:rsidRDefault="00271516" w:rsidP="0059124E">
            <w:pPr>
              <w:jc w:val="both"/>
              <w:rPr>
                <w:rFonts w:cs="Times New Roman"/>
                <w:sz w:val="20"/>
                <w:szCs w:val="20"/>
              </w:rPr>
            </w:pPr>
            <w:r>
              <w:rPr>
                <w:rFonts w:cs="Times New Roman"/>
                <w:sz w:val="20"/>
                <w:szCs w:val="20"/>
              </w:rPr>
              <w:t>VP</w:t>
            </w:r>
            <w:r w:rsidR="0059124E" w:rsidRPr="005B1CAE">
              <w:rPr>
                <w:rFonts w:cs="Times New Roman"/>
                <w:sz w:val="20"/>
                <w:szCs w:val="20"/>
              </w:rPr>
              <w:t xml:space="preserve"> </w:t>
            </w:r>
            <w:r w:rsidR="00DA114D" w:rsidRPr="001B1DB1">
              <w:rPr>
                <w:rFonts w:cs="Times New Roman"/>
                <w:sz w:val="20"/>
                <w:szCs w:val="20"/>
              </w:rPr>
              <w:t xml:space="preserve">paralēlās finanšu izmeklēšanas veikšanas </w:t>
            </w:r>
            <w:r w:rsidR="0059124E" w:rsidRPr="005B1CAE">
              <w:rPr>
                <w:rFonts w:cs="Times New Roman"/>
                <w:sz w:val="20"/>
                <w:szCs w:val="20"/>
              </w:rPr>
              <w:t xml:space="preserve">sistēma ir ieviesta </w:t>
            </w:r>
            <w:r w:rsidR="00DA114D">
              <w:rPr>
                <w:rFonts w:cs="Times New Roman"/>
                <w:sz w:val="20"/>
                <w:szCs w:val="20"/>
              </w:rPr>
              <w:t xml:space="preserve">2019. gada februārī </w:t>
            </w:r>
            <w:r w:rsidR="0059124E" w:rsidRPr="005B1CAE">
              <w:rPr>
                <w:rFonts w:cs="Times New Roman"/>
                <w:sz w:val="20"/>
                <w:szCs w:val="20"/>
              </w:rPr>
              <w:t xml:space="preserve">ar VP vadības uzdevumu </w:t>
            </w:r>
            <w:r w:rsidR="00D56F66">
              <w:rPr>
                <w:rFonts w:cs="Times New Roman"/>
                <w:sz w:val="20"/>
                <w:szCs w:val="20"/>
              </w:rPr>
              <w:t>p</w:t>
            </w:r>
            <w:r w:rsidR="0059124E" w:rsidRPr="005B1CAE">
              <w:rPr>
                <w:rFonts w:cs="Times New Roman"/>
                <w:sz w:val="20"/>
                <w:szCs w:val="20"/>
              </w:rPr>
              <w:t>ar izmeklēšanas prioritāti un noziedzīgi iegūtu līdzekļu atguvi.</w:t>
            </w:r>
          </w:p>
          <w:p w14:paraId="7AFC8E6D" w14:textId="3B61AA49" w:rsidR="00226D82" w:rsidRDefault="0059124E" w:rsidP="0059124E">
            <w:pPr>
              <w:jc w:val="both"/>
              <w:rPr>
                <w:rFonts w:cs="Times New Roman"/>
                <w:sz w:val="20"/>
                <w:szCs w:val="20"/>
              </w:rPr>
            </w:pPr>
            <w:r w:rsidRPr="005B1CAE">
              <w:rPr>
                <w:rFonts w:cs="Times New Roman"/>
                <w:sz w:val="20"/>
                <w:szCs w:val="20"/>
              </w:rPr>
              <w:lastRenderedPageBreak/>
              <w:t xml:space="preserve">KNAB ir ieviesta paralēlās finanšu izmeklēšanas veikšanas sistēma un paralēlā finanšu izmeklēšana tiek veikta katrā </w:t>
            </w:r>
            <w:proofErr w:type="spellStart"/>
            <w:r w:rsidRPr="005B1CAE">
              <w:rPr>
                <w:rFonts w:cs="Times New Roman"/>
                <w:sz w:val="20"/>
                <w:szCs w:val="20"/>
              </w:rPr>
              <w:t>pirmstiesas</w:t>
            </w:r>
            <w:proofErr w:type="spellEnd"/>
            <w:r w:rsidRPr="005B1CAE">
              <w:rPr>
                <w:rFonts w:cs="Times New Roman"/>
                <w:sz w:val="20"/>
                <w:szCs w:val="20"/>
              </w:rPr>
              <w:t xml:space="preserve"> izmeklēšanas procesā. Tāpat KNAB 2020. </w:t>
            </w:r>
            <w:r w:rsidR="00444251">
              <w:rPr>
                <w:rFonts w:cs="Times New Roman"/>
                <w:sz w:val="20"/>
                <w:szCs w:val="20"/>
              </w:rPr>
              <w:t xml:space="preserve">gada </w:t>
            </w:r>
            <w:proofErr w:type="spellStart"/>
            <w:r w:rsidR="00444251">
              <w:rPr>
                <w:rFonts w:cs="Times New Roman"/>
                <w:sz w:val="20"/>
                <w:szCs w:val="20"/>
              </w:rPr>
              <w:t>jūnijāizdevis</w:t>
            </w:r>
            <w:proofErr w:type="spellEnd"/>
            <w:r w:rsidRPr="005B1CAE">
              <w:rPr>
                <w:rFonts w:cs="Times New Roman"/>
                <w:sz w:val="20"/>
                <w:szCs w:val="20"/>
              </w:rPr>
              <w:t xml:space="preserve"> rīkojumu </w:t>
            </w:r>
            <w:r w:rsidR="00444251">
              <w:rPr>
                <w:rFonts w:cs="Times New Roman"/>
                <w:sz w:val="20"/>
                <w:szCs w:val="20"/>
              </w:rPr>
              <w:t>p</w:t>
            </w:r>
            <w:r w:rsidRPr="005B1CAE">
              <w:rPr>
                <w:rFonts w:cs="Times New Roman"/>
                <w:sz w:val="20"/>
                <w:szCs w:val="20"/>
              </w:rPr>
              <w:t xml:space="preserve">ar ārvalstu amatpersonu kukuļošanas izmeklēšanas un noziedzīgi iegūtu līdzekļu legalizācijas izmeklēšanas </w:t>
            </w:r>
            <w:proofErr w:type="spellStart"/>
            <w:r w:rsidRPr="005B1CAE">
              <w:rPr>
                <w:rFonts w:cs="Times New Roman"/>
                <w:sz w:val="20"/>
                <w:szCs w:val="20"/>
              </w:rPr>
              <w:t>prioritizēšanu</w:t>
            </w:r>
            <w:proofErr w:type="spellEnd"/>
            <w:r w:rsidR="00DA114D">
              <w:rPr>
                <w:rFonts w:cs="Times New Roman"/>
                <w:sz w:val="20"/>
                <w:szCs w:val="20"/>
              </w:rPr>
              <w:t>, ar kuru</w:t>
            </w:r>
            <w:r w:rsidRPr="005B1CAE">
              <w:rPr>
                <w:rFonts w:cs="Times New Roman"/>
                <w:sz w:val="20"/>
                <w:szCs w:val="20"/>
              </w:rPr>
              <w:t xml:space="preserve"> attiecīgajām amatpersonām, apkopojot informāciju par ar ārvalstu amatpersonu kukuļošanu saistīto kriminālprocesu virzību un kriminālvajāšanā nodotajiem kriminālprocesiem, uzdots pienākums iekļaut, tostarp, informāciju par paralēlās finanšu izmeklēšanas gaitu.</w:t>
            </w:r>
          </w:p>
          <w:p w14:paraId="5C90B86B" w14:textId="7063357E" w:rsidR="0059124E" w:rsidRPr="005B1CAE" w:rsidRDefault="0059124E" w:rsidP="0059124E">
            <w:pPr>
              <w:jc w:val="both"/>
              <w:rPr>
                <w:rFonts w:cs="Times New Roman"/>
                <w:sz w:val="20"/>
                <w:szCs w:val="20"/>
              </w:rPr>
            </w:pPr>
            <w:r w:rsidRPr="005B1CAE">
              <w:rPr>
                <w:rFonts w:cs="Times New Roman"/>
                <w:sz w:val="20"/>
                <w:szCs w:val="20"/>
              </w:rPr>
              <w:t xml:space="preserve">IDB </w:t>
            </w:r>
            <w:r w:rsidR="00444251">
              <w:rPr>
                <w:rFonts w:cs="Times New Roman"/>
                <w:sz w:val="20"/>
                <w:szCs w:val="20"/>
              </w:rPr>
              <w:t>2020. gada jūlijā</w:t>
            </w:r>
            <w:r w:rsidRPr="005B1CAE">
              <w:rPr>
                <w:rFonts w:cs="Times New Roman"/>
                <w:sz w:val="20"/>
                <w:szCs w:val="20"/>
              </w:rPr>
              <w:t xml:space="preserve"> apstiprinā</w:t>
            </w:r>
            <w:r w:rsidR="00444251">
              <w:rPr>
                <w:rFonts w:cs="Times New Roman"/>
                <w:sz w:val="20"/>
                <w:szCs w:val="20"/>
              </w:rPr>
              <w:t>jis</w:t>
            </w:r>
            <w:r w:rsidRPr="005B1CAE">
              <w:rPr>
                <w:rFonts w:cs="Times New Roman"/>
                <w:sz w:val="20"/>
                <w:szCs w:val="20"/>
              </w:rPr>
              <w:t xml:space="preserve"> Iekšējās drošības biroja vadlīnijas, veicot paralēlo finanšu izmeklēšanu, kas nosaka paralēlās finanšu izmeklēšanas veikšanas kārtību IDB, izmeklējot predikatīvo noziedzīgo nodarījumu.</w:t>
            </w:r>
          </w:p>
          <w:p w14:paraId="36FFBE02" w14:textId="615F5034" w:rsidR="0059124E" w:rsidRPr="005B1CAE" w:rsidRDefault="00444251" w:rsidP="0059124E">
            <w:pPr>
              <w:jc w:val="both"/>
              <w:rPr>
                <w:rFonts w:cs="Times New Roman"/>
                <w:sz w:val="20"/>
                <w:szCs w:val="20"/>
              </w:rPr>
            </w:pPr>
            <w:r>
              <w:rPr>
                <w:rFonts w:cs="Times New Roman"/>
                <w:sz w:val="20"/>
                <w:szCs w:val="20"/>
              </w:rPr>
              <w:t>VRS 2019. gada oktobrī izdevusi</w:t>
            </w:r>
            <w:r w:rsidR="0059124E" w:rsidRPr="005B1CAE">
              <w:rPr>
                <w:rFonts w:cs="Times New Roman"/>
                <w:sz w:val="20"/>
                <w:szCs w:val="20"/>
              </w:rPr>
              <w:t xml:space="preserve"> rīkojum</w:t>
            </w:r>
            <w:r>
              <w:rPr>
                <w:rFonts w:cs="Times New Roman"/>
                <w:sz w:val="20"/>
                <w:szCs w:val="20"/>
              </w:rPr>
              <w:t>u</w:t>
            </w:r>
            <w:r w:rsidR="0059124E" w:rsidRPr="005B1CAE">
              <w:rPr>
                <w:rFonts w:cs="Times New Roman"/>
                <w:sz w:val="20"/>
                <w:szCs w:val="20"/>
              </w:rPr>
              <w:t xml:space="preserve">, kurā tika noteikts, ka izmeklēšanā </w:t>
            </w:r>
            <w:proofErr w:type="spellStart"/>
            <w:r w:rsidR="0059124E" w:rsidRPr="005B1CAE">
              <w:rPr>
                <w:rFonts w:cs="Times New Roman"/>
                <w:sz w:val="20"/>
                <w:szCs w:val="20"/>
              </w:rPr>
              <w:t>pirmstiesas</w:t>
            </w:r>
            <w:proofErr w:type="spellEnd"/>
            <w:r w:rsidR="0059124E" w:rsidRPr="005B1CAE">
              <w:rPr>
                <w:rFonts w:cs="Times New Roman"/>
                <w:sz w:val="20"/>
                <w:szCs w:val="20"/>
              </w:rPr>
              <w:t xml:space="preserve"> procesā un operatīvās darbības procesā par </w:t>
            </w:r>
            <w:r w:rsidR="00271516">
              <w:rPr>
                <w:rFonts w:cs="Times New Roman"/>
                <w:sz w:val="20"/>
                <w:szCs w:val="20"/>
              </w:rPr>
              <w:t>VRS</w:t>
            </w:r>
            <w:r w:rsidR="0059124E" w:rsidRPr="005B1CAE">
              <w:rPr>
                <w:rFonts w:cs="Times New Roman"/>
                <w:sz w:val="20"/>
                <w:szCs w:val="20"/>
              </w:rPr>
              <w:t xml:space="preserve"> apkarošanai piekritīgajiem noziedzīgajiem nodarījumiem </w:t>
            </w:r>
            <w:r w:rsidR="00271516">
              <w:rPr>
                <w:rFonts w:cs="Times New Roman"/>
                <w:sz w:val="20"/>
                <w:szCs w:val="20"/>
              </w:rPr>
              <w:t>NILL</w:t>
            </w:r>
            <w:r w:rsidR="0059124E" w:rsidRPr="005B1CAE">
              <w:rPr>
                <w:rFonts w:cs="Times New Roman"/>
                <w:sz w:val="20"/>
                <w:szCs w:val="20"/>
              </w:rPr>
              <w:t xml:space="preserve"> apkarošana un noziedzīgi iegūtu līdzekļu atguve ir </w:t>
            </w:r>
            <w:r w:rsidR="00271516">
              <w:rPr>
                <w:rFonts w:cs="Times New Roman"/>
                <w:sz w:val="20"/>
                <w:szCs w:val="20"/>
              </w:rPr>
              <w:t>VRS</w:t>
            </w:r>
            <w:r w:rsidR="0059124E" w:rsidRPr="005B1CAE">
              <w:rPr>
                <w:rFonts w:cs="Times New Roman"/>
                <w:sz w:val="20"/>
                <w:szCs w:val="20"/>
              </w:rPr>
              <w:t xml:space="preserve"> prioritārs darbības virziens. </w:t>
            </w:r>
            <w:r>
              <w:rPr>
                <w:rFonts w:cs="Times New Roman"/>
                <w:sz w:val="20"/>
                <w:szCs w:val="20"/>
              </w:rPr>
              <w:t>R</w:t>
            </w:r>
            <w:r w:rsidR="0059124E" w:rsidRPr="005B1CAE">
              <w:rPr>
                <w:rFonts w:cs="Times New Roman"/>
                <w:sz w:val="20"/>
                <w:szCs w:val="20"/>
              </w:rPr>
              <w:t>īkojum</w:t>
            </w:r>
            <w:r>
              <w:rPr>
                <w:rFonts w:cs="Times New Roman"/>
                <w:sz w:val="20"/>
                <w:szCs w:val="20"/>
              </w:rPr>
              <w:t>ā</w:t>
            </w:r>
            <w:r w:rsidR="0059124E" w:rsidRPr="005B1CAE">
              <w:rPr>
                <w:rFonts w:cs="Times New Roman"/>
                <w:sz w:val="20"/>
                <w:szCs w:val="20"/>
              </w:rPr>
              <w:t xml:space="preserve"> noteikts, ka noziedzīga nodarījuma, kas vērsts uz materiāla labuma tiešu vai netiešu gūšanu atklāšanā, novēršanā un izmeklēšanā operatīvās darbības procesā un kriminālprocesā ir jāveic paralēlā finanšu izmeklēšana noziedzīgi iegūtas mantas vai citas mantas, kura var kļūt par konfiskācijas priekšmetu, identificēšanai un konfiscēšanai, kā arī noziedzīgo darbību pierādīšanai nepieciešamo ziņu iegūšanu. Tā</w:t>
            </w:r>
            <w:r>
              <w:rPr>
                <w:rFonts w:cs="Times New Roman"/>
                <w:sz w:val="20"/>
                <w:szCs w:val="20"/>
              </w:rPr>
              <w:t>dējādi</w:t>
            </w:r>
            <w:r w:rsidR="0059124E" w:rsidRPr="005B1CAE">
              <w:rPr>
                <w:rFonts w:cs="Times New Roman"/>
                <w:sz w:val="20"/>
                <w:szCs w:val="20"/>
              </w:rPr>
              <w:t xml:space="preserve"> </w:t>
            </w:r>
            <w:r w:rsidR="00271516">
              <w:rPr>
                <w:rFonts w:cs="Times New Roman"/>
                <w:sz w:val="20"/>
                <w:szCs w:val="20"/>
              </w:rPr>
              <w:t>VRS</w:t>
            </w:r>
            <w:r w:rsidR="0059124E" w:rsidRPr="005B1CAE">
              <w:rPr>
                <w:rFonts w:cs="Times New Roman"/>
                <w:sz w:val="20"/>
                <w:szCs w:val="20"/>
              </w:rPr>
              <w:t xml:space="preserve"> tika ieviesta vienota paralēlās finanšu izmeklēšanas veikšanas kārtība.</w:t>
            </w:r>
          </w:p>
          <w:p w14:paraId="0C29241A" w14:textId="31FFCAC8" w:rsidR="0059124E" w:rsidRPr="005B1CAE" w:rsidRDefault="0059124E" w:rsidP="0059124E">
            <w:pPr>
              <w:jc w:val="both"/>
              <w:rPr>
                <w:rFonts w:cs="Times New Roman"/>
                <w:sz w:val="20"/>
                <w:szCs w:val="20"/>
              </w:rPr>
            </w:pPr>
            <w:r w:rsidRPr="005B1CAE">
              <w:rPr>
                <w:rFonts w:cs="Times New Roman"/>
                <w:sz w:val="20"/>
                <w:szCs w:val="20"/>
              </w:rPr>
              <w:t xml:space="preserve">VDD izmeklētāji gadījumos, kad ir konstatētas pazīmes, kas liecina par iespējamu </w:t>
            </w:r>
            <w:r w:rsidR="00271516">
              <w:rPr>
                <w:rFonts w:cs="Times New Roman"/>
                <w:sz w:val="20"/>
                <w:szCs w:val="20"/>
              </w:rPr>
              <w:t>NILL</w:t>
            </w:r>
            <w:r w:rsidRPr="005B1CAE">
              <w:rPr>
                <w:rFonts w:cs="Times New Roman"/>
                <w:sz w:val="20"/>
                <w:szCs w:val="20"/>
              </w:rPr>
              <w:t>, un kriminālprocesos, kas saistīti ar finanšu līdzekļu apgrozību, veic visas nepieciešamās izmeklēšanas darbības, lai šīs ziņas pārbaudītu, pierādītu un nostiprinātu Kriminālprocesa likuma noteiktajā kārtībā. Paralēlās izmeklēšanas veikšanas lietderība tiek izvērtēta katrā lietā, kas nonāk VDD lietvedībā.</w:t>
            </w:r>
          </w:p>
          <w:p w14:paraId="215AB6F7" w14:textId="3D13194C" w:rsidR="0059124E" w:rsidRPr="005B1CAE" w:rsidRDefault="00271516" w:rsidP="0059124E">
            <w:pPr>
              <w:jc w:val="both"/>
              <w:rPr>
                <w:rFonts w:cs="Times New Roman"/>
                <w:sz w:val="20"/>
                <w:szCs w:val="20"/>
              </w:rPr>
            </w:pPr>
            <w:r>
              <w:rPr>
                <w:rFonts w:cs="Times New Roman"/>
                <w:sz w:val="20"/>
                <w:szCs w:val="20"/>
              </w:rPr>
              <w:t>MP</w:t>
            </w:r>
            <w:r w:rsidR="0059124E" w:rsidRPr="005B1CAE">
              <w:rPr>
                <w:rFonts w:cs="Times New Roman"/>
                <w:sz w:val="20"/>
                <w:szCs w:val="20"/>
              </w:rPr>
              <w:t xml:space="preserve"> uzsāktajos kriminālprocesos tiek veikta paralēlā finanšu izmeklēšana, un atbilstoši izstrādātajām vadlīnijām NILL lietās ieviesta vienota pieeja šādu noziedzīgo nodarījumu konstatēšanai, izmeklēšanai, kā arī rīcībai ar NILL rezultātā iegūto mantu.</w:t>
            </w:r>
          </w:p>
          <w:p w14:paraId="3029DA14" w14:textId="4D2D107B" w:rsidR="0059124E" w:rsidRDefault="0059124E" w:rsidP="0059124E">
            <w:pPr>
              <w:jc w:val="both"/>
              <w:rPr>
                <w:rFonts w:cs="Times New Roman"/>
                <w:sz w:val="20"/>
                <w:szCs w:val="20"/>
              </w:rPr>
            </w:pPr>
            <w:r w:rsidRPr="005B1CAE">
              <w:rPr>
                <w:rFonts w:cs="Times New Roman"/>
                <w:sz w:val="20"/>
                <w:szCs w:val="20"/>
              </w:rPr>
              <w:t xml:space="preserve">VID </w:t>
            </w:r>
            <w:r w:rsidR="00271516" w:rsidRPr="00271516">
              <w:rPr>
                <w:rFonts w:cs="Times New Roman"/>
                <w:sz w:val="20"/>
                <w:szCs w:val="20"/>
              </w:rPr>
              <w:t xml:space="preserve">Nodokļu un muitas policijas pārvalde </w:t>
            </w:r>
            <w:r w:rsidR="00444251">
              <w:rPr>
                <w:rFonts w:cs="Times New Roman"/>
                <w:sz w:val="20"/>
                <w:szCs w:val="20"/>
              </w:rPr>
              <w:t xml:space="preserve">2019. gada janvārī </w:t>
            </w:r>
            <w:r w:rsidRPr="005B1CAE">
              <w:rPr>
                <w:rFonts w:cs="Times New Roman"/>
                <w:sz w:val="20"/>
                <w:szCs w:val="20"/>
              </w:rPr>
              <w:t>ar rezolūciju uzd</w:t>
            </w:r>
            <w:r w:rsidR="00195C37">
              <w:rPr>
                <w:rFonts w:cs="Times New Roman"/>
                <w:sz w:val="20"/>
                <w:szCs w:val="20"/>
              </w:rPr>
              <w:t>evusi</w:t>
            </w:r>
            <w:r w:rsidRPr="005B1CAE">
              <w:rPr>
                <w:rFonts w:cs="Times New Roman"/>
                <w:sz w:val="20"/>
                <w:szCs w:val="20"/>
              </w:rPr>
              <w:t xml:space="preserve"> gan operatīvo darbību, gan kriminālprocesu ietvaros veikt pasākumus noziedzīgi iegūtas mantas atrašanai un identificēšanai ne tikai Latvijas Republikā, bet arī ārvalstīs, veikt pasākumus, lai nodrošinātu aresta uzlikšanu iespējamai noziedzīgi iegūtai mantai, t.sk. ārvalstīs, kā arī veikt pasākumus procesa par noziedzīgi iegūtas mantas izdalīšanu un nodošanu tiesai, ņemot vērā, ka par noziedzīgi iegūtu mantu var atzīt mantu, ja personas īpašumā vai valdījumā tā tieši vai netieši nonākusi noziedzīga nodarījuma rezultātā, kā arī mantu, kas pieder Kriminālprocesa likuma 356. panta otrajā daļā norādītajām personām un tās nespēj pierādīt š</w:t>
            </w:r>
            <w:r w:rsidR="00444251">
              <w:rPr>
                <w:rFonts w:cs="Times New Roman"/>
                <w:sz w:val="20"/>
                <w:szCs w:val="20"/>
              </w:rPr>
              <w:t>īs</w:t>
            </w:r>
            <w:r w:rsidRPr="005B1CAE">
              <w:rPr>
                <w:rFonts w:cs="Times New Roman"/>
                <w:sz w:val="20"/>
                <w:szCs w:val="20"/>
              </w:rPr>
              <w:t xml:space="preserve"> mant</w:t>
            </w:r>
            <w:r w:rsidR="00444251">
              <w:rPr>
                <w:rFonts w:cs="Times New Roman"/>
                <w:sz w:val="20"/>
                <w:szCs w:val="20"/>
              </w:rPr>
              <w:t>as</w:t>
            </w:r>
            <w:r w:rsidRPr="005B1CAE">
              <w:rPr>
                <w:rFonts w:cs="Times New Roman"/>
                <w:sz w:val="20"/>
                <w:szCs w:val="20"/>
              </w:rPr>
              <w:t xml:space="preserve"> likumīgo izcelsmi.</w:t>
            </w:r>
          </w:p>
          <w:p w14:paraId="01B85D78" w14:textId="6B0BF82B" w:rsidR="0059124E" w:rsidRPr="001B1DB1" w:rsidRDefault="00271516" w:rsidP="0059124E">
            <w:pPr>
              <w:jc w:val="both"/>
              <w:rPr>
                <w:rFonts w:cs="Times New Roman"/>
                <w:b/>
                <w:bCs/>
                <w:sz w:val="20"/>
                <w:szCs w:val="20"/>
              </w:rPr>
            </w:pPr>
            <w:r>
              <w:rPr>
                <w:rFonts w:cs="Times New Roman"/>
                <w:sz w:val="20"/>
                <w:szCs w:val="20"/>
              </w:rPr>
              <w:t>ĢP</w:t>
            </w:r>
            <w:r w:rsidR="0059124E" w:rsidRPr="000C7745">
              <w:rPr>
                <w:rFonts w:cs="Times New Roman"/>
                <w:sz w:val="20"/>
                <w:szCs w:val="20"/>
              </w:rPr>
              <w:t xml:space="preserve"> </w:t>
            </w:r>
            <w:r w:rsidR="003C6BF6">
              <w:rPr>
                <w:rFonts w:cs="Times New Roman"/>
                <w:sz w:val="20"/>
                <w:szCs w:val="20"/>
              </w:rPr>
              <w:t>vadībā</w:t>
            </w:r>
            <w:r w:rsidR="0059124E" w:rsidRPr="000C7745">
              <w:rPr>
                <w:rFonts w:cs="Times New Roman"/>
                <w:sz w:val="20"/>
                <w:szCs w:val="20"/>
              </w:rPr>
              <w:t xml:space="preserve"> līdz </w:t>
            </w:r>
            <w:r w:rsidR="0059124E">
              <w:rPr>
                <w:rFonts w:cs="Times New Roman"/>
                <w:sz w:val="20"/>
                <w:szCs w:val="20"/>
              </w:rPr>
              <w:t>2021</w:t>
            </w:r>
            <w:r w:rsidR="0059124E" w:rsidRPr="000C7745">
              <w:rPr>
                <w:rFonts w:cs="Times New Roman"/>
                <w:sz w:val="20"/>
                <w:szCs w:val="20"/>
              </w:rPr>
              <w:t>.</w:t>
            </w:r>
            <w:r w:rsidR="0059124E">
              <w:rPr>
                <w:rFonts w:cs="Times New Roman"/>
                <w:sz w:val="20"/>
                <w:szCs w:val="20"/>
              </w:rPr>
              <w:t xml:space="preserve"> </w:t>
            </w:r>
            <w:r w:rsidR="0059124E" w:rsidRPr="000C7745">
              <w:rPr>
                <w:rFonts w:cs="Times New Roman"/>
                <w:sz w:val="20"/>
                <w:szCs w:val="20"/>
              </w:rPr>
              <w:t>g</w:t>
            </w:r>
            <w:r w:rsidR="0059124E">
              <w:rPr>
                <w:rFonts w:cs="Times New Roman"/>
                <w:sz w:val="20"/>
                <w:szCs w:val="20"/>
              </w:rPr>
              <w:t>ada</w:t>
            </w:r>
            <w:r w:rsidR="0059124E" w:rsidRPr="000C7745">
              <w:rPr>
                <w:rFonts w:cs="Times New Roman"/>
                <w:sz w:val="20"/>
                <w:szCs w:val="20"/>
              </w:rPr>
              <w:t xml:space="preserve"> rudens sesijai </w:t>
            </w:r>
            <w:r w:rsidR="003C6BF6" w:rsidRPr="000C7745">
              <w:rPr>
                <w:rFonts w:cs="Times New Roman"/>
                <w:sz w:val="20"/>
                <w:szCs w:val="20"/>
              </w:rPr>
              <w:t>pabeigt</w:t>
            </w:r>
            <w:r w:rsidR="00195C37">
              <w:rPr>
                <w:rFonts w:cs="Times New Roman"/>
                <w:sz w:val="20"/>
                <w:szCs w:val="20"/>
              </w:rPr>
              <w:t>a</w:t>
            </w:r>
            <w:r w:rsidR="003C6BF6" w:rsidRPr="000C7745">
              <w:rPr>
                <w:rFonts w:cs="Times New Roman"/>
                <w:sz w:val="20"/>
                <w:szCs w:val="20"/>
              </w:rPr>
              <w:t xml:space="preserve"> </w:t>
            </w:r>
            <w:r w:rsidR="0059124E" w:rsidRPr="000C7745">
              <w:rPr>
                <w:rFonts w:cs="Times New Roman"/>
                <w:sz w:val="20"/>
                <w:szCs w:val="20"/>
              </w:rPr>
              <w:t xml:space="preserve">metodiskā materiāla </w:t>
            </w:r>
            <w:r w:rsidR="003C6BF6" w:rsidRPr="003C6BF6">
              <w:rPr>
                <w:rFonts w:cs="Times New Roman"/>
                <w:sz w:val="20"/>
                <w:szCs w:val="20"/>
              </w:rPr>
              <w:t xml:space="preserve">par paralēlo finanšu izmeklēšanu veikšanu izmeklēšanas iestādē </w:t>
            </w:r>
            <w:r w:rsidR="0059124E" w:rsidRPr="000C7745">
              <w:rPr>
                <w:rFonts w:cs="Times New Roman"/>
                <w:sz w:val="20"/>
                <w:szCs w:val="20"/>
              </w:rPr>
              <w:t>izstrād</w:t>
            </w:r>
            <w:r w:rsidR="00195C37">
              <w:rPr>
                <w:rFonts w:cs="Times New Roman"/>
                <w:sz w:val="20"/>
                <w:szCs w:val="20"/>
              </w:rPr>
              <w:t>e</w:t>
            </w:r>
            <w:r w:rsidR="0059124E" w:rsidRPr="000C7745">
              <w:rPr>
                <w:rFonts w:cs="Times New Roman"/>
                <w:sz w:val="20"/>
                <w:szCs w:val="20"/>
              </w:rPr>
              <w:t>.</w:t>
            </w:r>
          </w:p>
        </w:tc>
      </w:tr>
      <w:tr w:rsidR="0059124E" w:rsidRPr="001B1DB1" w14:paraId="5932F2FD" w14:textId="77777777" w:rsidTr="00EB0453">
        <w:trPr>
          <w:trHeight w:val="543"/>
        </w:trPr>
        <w:tc>
          <w:tcPr>
            <w:tcW w:w="709" w:type="dxa"/>
            <w:tcBorders>
              <w:top w:val="single" w:sz="4" w:space="0" w:color="auto"/>
              <w:left w:val="single" w:sz="4" w:space="0" w:color="auto"/>
              <w:right w:val="single" w:sz="4" w:space="0" w:color="auto"/>
            </w:tcBorders>
          </w:tcPr>
          <w:p w14:paraId="132EC04F" w14:textId="1009303E" w:rsidR="0059124E" w:rsidRPr="001B1DB1" w:rsidRDefault="0059124E" w:rsidP="0059124E">
            <w:pPr>
              <w:jc w:val="center"/>
              <w:rPr>
                <w:rFonts w:cs="Times New Roman"/>
                <w:b/>
                <w:bCs/>
                <w:sz w:val="20"/>
                <w:szCs w:val="20"/>
              </w:rPr>
            </w:pPr>
            <w:r w:rsidRPr="001B1DB1">
              <w:rPr>
                <w:rFonts w:cs="Times New Roman"/>
                <w:bCs/>
                <w:sz w:val="20"/>
                <w:szCs w:val="20"/>
              </w:rPr>
              <w:lastRenderedPageBreak/>
              <w:t>7.2.</w:t>
            </w:r>
          </w:p>
        </w:tc>
        <w:tc>
          <w:tcPr>
            <w:tcW w:w="3686" w:type="dxa"/>
            <w:tcBorders>
              <w:top w:val="single" w:sz="4" w:space="0" w:color="auto"/>
              <w:left w:val="single" w:sz="4" w:space="0" w:color="auto"/>
              <w:right w:val="single" w:sz="4" w:space="0" w:color="auto"/>
            </w:tcBorders>
          </w:tcPr>
          <w:p w14:paraId="039450D9" w14:textId="4B8C7950" w:rsidR="0059124E" w:rsidRPr="001B1DB1" w:rsidRDefault="0059124E" w:rsidP="0059124E">
            <w:pPr>
              <w:jc w:val="both"/>
              <w:rPr>
                <w:rFonts w:cs="Times New Roman"/>
                <w:b/>
                <w:bCs/>
                <w:sz w:val="20"/>
                <w:szCs w:val="20"/>
              </w:rPr>
            </w:pPr>
            <w:r w:rsidRPr="00A565EC">
              <w:rPr>
                <w:rFonts w:cs="Times New Roman"/>
                <w:bCs/>
                <w:sz w:val="20"/>
                <w:szCs w:val="20"/>
              </w:rPr>
              <w:t>Nosakot NILL apkarošanu kā prioritāti, stiprināt izmeklēšanas iestāžu, prokuratūras un tiesu iestāžu darba resursu kapacitāti un spēju pilnvērtīgi apstrādāt, izmeklēt un iztiesāt potenciāli pieaugušo pārbaudāmās informācijas apjomu un kriminālprocesu skaitu NILL jomā</w:t>
            </w:r>
            <w:r w:rsidRPr="001B1DB1">
              <w:rPr>
                <w:rFonts w:cs="Times New Roman"/>
                <w:bCs/>
                <w:sz w:val="20"/>
                <w:szCs w:val="20"/>
              </w:rPr>
              <w:t>.</w:t>
            </w:r>
          </w:p>
        </w:tc>
        <w:tc>
          <w:tcPr>
            <w:tcW w:w="1559" w:type="dxa"/>
            <w:tcBorders>
              <w:top w:val="single" w:sz="4" w:space="0" w:color="auto"/>
              <w:left w:val="single" w:sz="4" w:space="0" w:color="auto"/>
              <w:right w:val="single" w:sz="4" w:space="0" w:color="auto"/>
            </w:tcBorders>
          </w:tcPr>
          <w:p w14:paraId="6BEE4682" w14:textId="6716D424" w:rsidR="0059124E" w:rsidRPr="001B1DB1" w:rsidRDefault="0059124E" w:rsidP="0059124E">
            <w:pPr>
              <w:jc w:val="both"/>
              <w:rPr>
                <w:rFonts w:cs="Times New Roman"/>
                <w:b/>
                <w:sz w:val="20"/>
                <w:szCs w:val="20"/>
              </w:rPr>
            </w:pPr>
            <w:r w:rsidRPr="001B1DB1">
              <w:rPr>
                <w:rFonts w:cs="Times New Roman"/>
                <w:sz w:val="20"/>
                <w:szCs w:val="20"/>
              </w:rPr>
              <w:t>MONEYVAL 7.1. un 7.2.</w:t>
            </w:r>
            <w:r w:rsidRPr="001B1DB1">
              <w:rPr>
                <w:sz w:val="20"/>
                <w:szCs w:val="20"/>
              </w:rPr>
              <w:t xml:space="preserve"> rekomendācija</w:t>
            </w:r>
            <w:r>
              <w:rPr>
                <w:sz w:val="20"/>
                <w:szCs w:val="20"/>
              </w:rPr>
              <w:t>.</w:t>
            </w:r>
          </w:p>
        </w:tc>
        <w:tc>
          <w:tcPr>
            <w:tcW w:w="2551" w:type="dxa"/>
            <w:tcBorders>
              <w:top w:val="single" w:sz="4" w:space="0" w:color="auto"/>
              <w:left w:val="single" w:sz="4" w:space="0" w:color="auto"/>
              <w:right w:val="single" w:sz="4" w:space="0" w:color="auto"/>
            </w:tcBorders>
          </w:tcPr>
          <w:p w14:paraId="2F13D37A" w14:textId="71D5605C" w:rsidR="0059124E" w:rsidRPr="001B1DB1" w:rsidRDefault="0059124E" w:rsidP="0059124E">
            <w:pPr>
              <w:jc w:val="both"/>
              <w:rPr>
                <w:rFonts w:cs="Times New Roman"/>
                <w:b/>
                <w:sz w:val="20"/>
                <w:szCs w:val="20"/>
              </w:rPr>
            </w:pPr>
            <w:r w:rsidRPr="00A565EC">
              <w:rPr>
                <w:rFonts w:cs="Times New Roman"/>
                <w:sz w:val="20"/>
                <w:szCs w:val="20"/>
              </w:rPr>
              <w:t>Stiprināta izmeklēšanas, kriminālvajāšanas un iztiesāšanas kapacitāte  NILL lietās.</w:t>
            </w:r>
          </w:p>
        </w:tc>
        <w:tc>
          <w:tcPr>
            <w:tcW w:w="2694" w:type="dxa"/>
            <w:tcBorders>
              <w:top w:val="single" w:sz="4" w:space="0" w:color="auto"/>
              <w:left w:val="single" w:sz="4" w:space="0" w:color="auto"/>
              <w:right w:val="single" w:sz="4" w:space="0" w:color="auto"/>
            </w:tcBorders>
          </w:tcPr>
          <w:p w14:paraId="26A4B8AD" w14:textId="21DEB038" w:rsidR="0059124E" w:rsidRPr="001B1DB1" w:rsidRDefault="0059124E" w:rsidP="0059124E">
            <w:pPr>
              <w:jc w:val="both"/>
              <w:rPr>
                <w:rFonts w:cs="Times New Roman"/>
                <w:b/>
                <w:sz w:val="20"/>
                <w:szCs w:val="20"/>
              </w:rPr>
            </w:pPr>
            <w:r>
              <w:rPr>
                <w:rFonts w:cs="Times New Roman"/>
                <w:sz w:val="20"/>
                <w:szCs w:val="20"/>
              </w:rPr>
              <w:t>1. Piešķirts finansējums jaunu amata vietu izveidei VP</w:t>
            </w:r>
            <w:r>
              <w:t xml:space="preserve"> </w:t>
            </w:r>
            <w:r w:rsidRPr="00CD34DD">
              <w:rPr>
                <w:rFonts w:cs="Times New Roman"/>
                <w:sz w:val="20"/>
                <w:szCs w:val="20"/>
              </w:rPr>
              <w:t>Galve</w:t>
            </w:r>
            <w:r>
              <w:rPr>
                <w:rFonts w:cs="Times New Roman"/>
                <w:sz w:val="20"/>
                <w:szCs w:val="20"/>
              </w:rPr>
              <w:t>nās kriminālpolicijas pārvaldes</w:t>
            </w:r>
            <w:r w:rsidRPr="00CD34DD">
              <w:rPr>
                <w:rFonts w:cs="Times New Roman"/>
                <w:sz w:val="20"/>
                <w:szCs w:val="20"/>
              </w:rPr>
              <w:t xml:space="preserve"> Ekonomisko noziegumu apkarošanas pārvald</w:t>
            </w:r>
            <w:r>
              <w:rPr>
                <w:rFonts w:cs="Times New Roman"/>
                <w:sz w:val="20"/>
                <w:szCs w:val="20"/>
              </w:rPr>
              <w:t xml:space="preserve">ē un </w:t>
            </w:r>
            <w:proofErr w:type="spellStart"/>
            <w:r w:rsidRPr="00CD34DD">
              <w:rPr>
                <w:rFonts w:cs="Times New Roman"/>
                <w:sz w:val="20"/>
                <w:szCs w:val="20"/>
              </w:rPr>
              <w:t>Krimi</w:t>
            </w:r>
            <w:r>
              <w:rPr>
                <w:rFonts w:cs="Times New Roman"/>
                <w:sz w:val="20"/>
                <w:szCs w:val="20"/>
              </w:rPr>
              <w:t>nālizlūkošanas</w:t>
            </w:r>
            <w:proofErr w:type="spellEnd"/>
            <w:r>
              <w:rPr>
                <w:rFonts w:cs="Times New Roman"/>
                <w:sz w:val="20"/>
                <w:szCs w:val="20"/>
              </w:rPr>
              <w:t xml:space="preserve"> vadības pārvaldē.</w:t>
            </w:r>
          </w:p>
        </w:tc>
        <w:tc>
          <w:tcPr>
            <w:tcW w:w="1134" w:type="dxa"/>
            <w:tcBorders>
              <w:top w:val="single" w:sz="4" w:space="0" w:color="auto"/>
              <w:left w:val="single" w:sz="4" w:space="0" w:color="auto"/>
              <w:right w:val="single" w:sz="4" w:space="0" w:color="auto"/>
            </w:tcBorders>
          </w:tcPr>
          <w:p w14:paraId="184D9805" w14:textId="771B257D" w:rsidR="0059124E" w:rsidRPr="001B1DB1" w:rsidRDefault="0059124E" w:rsidP="0059124E">
            <w:pPr>
              <w:jc w:val="center"/>
              <w:rPr>
                <w:rFonts w:cs="Times New Roman"/>
                <w:b/>
                <w:bCs/>
                <w:sz w:val="20"/>
                <w:szCs w:val="20"/>
              </w:rPr>
            </w:pPr>
            <w:r>
              <w:rPr>
                <w:rFonts w:cs="Times New Roman"/>
                <w:bCs/>
                <w:sz w:val="20"/>
                <w:szCs w:val="20"/>
              </w:rPr>
              <w:t>VP</w:t>
            </w:r>
          </w:p>
        </w:tc>
        <w:tc>
          <w:tcPr>
            <w:tcW w:w="1275" w:type="dxa"/>
            <w:tcBorders>
              <w:top w:val="single" w:sz="4" w:space="0" w:color="auto"/>
              <w:left w:val="single" w:sz="4" w:space="0" w:color="auto"/>
              <w:right w:val="single" w:sz="4" w:space="0" w:color="auto"/>
            </w:tcBorders>
          </w:tcPr>
          <w:p w14:paraId="73CDC31E" w14:textId="77777777" w:rsidR="0059124E" w:rsidRPr="001B1DB1" w:rsidRDefault="0059124E" w:rsidP="0059124E">
            <w:pPr>
              <w:jc w:val="center"/>
              <w:rPr>
                <w:rFonts w:cs="Times New Roman"/>
                <w:b/>
                <w:bCs/>
                <w:sz w:val="20"/>
                <w:szCs w:val="20"/>
              </w:rPr>
            </w:pPr>
          </w:p>
        </w:tc>
        <w:tc>
          <w:tcPr>
            <w:tcW w:w="1418" w:type="dxa"/>
            <w:tcBorders>
              <w:top w:val="single" w:sz="4" w:space="0" w:color="auto"/>
              <w:left w:val="single" w:sz="4" w:space="0" w:color="auto"/>
              <w:right w:val="single" w:sz="4" w:space="0" w:color="auto"/>
            </w:tcBorders>
          </w:tcPr>
          <w:p w14:paraId="37C344CB" w14:textId="677A21BF" w:rsidR="0059124E" w:rsidRPr="001B1DB1" w:rsidRDefault="0059124E" w:rsidP="0059124E">
            <w:pPr>
              <w:jc w:val="center"/>
              <w:rPr>
                <w:rFonts w:cs="Times New Roman"/>
                <w:b/>
                <w:bCs/>
                <w:sz w:val="20"/>
                <w:szCs w:val="20"/>
              </w:rPr>
            </w:pPr>
            <w:r w:rsidRPr="00561835">
              <w:rPr>
                <w:rFonts w:cs="Times New Roman"/>
                <w:bCs/>
                <w:sz w:val="20"/>
                <w:szCs w:val="20"/>
              </w:rPr>
              <w:t>31.12.2021.</w:t>
            </w:r>
          </w:p>
        </w:tc>
      </w:tr>
      <w:tr w:rsidR="0059124E" w:rsidRPr="001B1DB1" w14:paraId="45865B14" w14:textId="77777777" w:rsidTr="00EB0453">
        <w:trPr>
          <w:trHeight w:val="543"/>
        </w:trPr>
        <w:tc>
          <w:tcPr>
            <w:tcW w:w="709" w:type="dxa"/>
            <w:tcBorders>
              <w:left w:val="single" w:sz="4" w:space="0" w:color="auto"/>
              <w:right w:val="single" w:sz="4" w:space="0" w:color="auto"/>
            </w:tcBorders>
          </w:tcPr>
          <w:p w14:paraId="2879CFCA" w14:textId="77777777" w:rsidR="0059124E" w:rsidRPr="001B1DB1" w:rsidRDefault="0059124E" w:rsidP="0059124E">
            <w:pPr>
              <w:jc w:val="center"/>
              <w:rPr>
                <w:rFonts w:cs="Times New Roman"/>
                <w:b/>
                <w:bCs/>
                <w:sz w:val="20"/>
                <w:szCs w:val="20"/>
              </w:rPr>
            </w:pPr>
          </w:p>
        </w:tc>
        <w:tc>
          <w:tcPr>
            <w:tcW w:w="3686" w:type="dxa"/>
            <w:tcBorders>
              <w:left w:val="single" w:sz="4" w:space="0" w:color="auto"/>
              <w:right w:val="single" w:sz="4" w:space="0" w:color="auto"/>
            </w:tcBorders>
          </w:tcPr>
          <w:p w14:paraId="6425458F" w14:textId="77777777" w:rsidR="0059124E" w:rsidRPr="001B1DB1" w:rsidRDefault="0059124E" w:rsidP="0059124E">
            <w:pPr>
              <w:jc w:val="center"/>
              <w:rPr>
                <w:rFonts w:cs="Times New Roman"/>
                <w:b/>
                <w:bCs/>
                <w:sz w:val="20"/>
                <w:szCs w:val="20"/>
              </w:rPr>
            </w:pPr>
          </w:p>
        </w:tc>
        <w:tc>
          <w:tcPr>
            <w:tcW w:w="1559" w:type="dxa"/>
            <w:tcBorders>
              <w:left w:val="single" w:sz="4" w:space="0" w:color="auto"/>
              <w:right w:val="single" w:sz="4" w:space="0" w:color="auto"/>
            </w:tcBorders>
          </w:tcPr>
          <w:p w14:paraId="04EA5C3D" w14:textId="77777777" w:rsidR="0059124E" w:rsidRPr="001B1DB1" w:rsidRDefault="0059124E" w:rsidP="0059124E">
            <w:pPr>
              <w:jc w:val="center"/>
              <w:rPr>
                <w:rFonts w:cs="Times New Roman"/>
                <w:b/>
                <w:sz w:val="20"/>
                <w:szCs w:val="20"/>
              </w:rPr>
            </w:pPr>
          </w:p>
        </w:tc>
        <w:tc>
          <w:tcPr>
            <w:tcW w:w="2551" w:type="dxa"/>
            <w:tcBorders>
              <w:left w:val="single" w:sz="4" w:space="0" w:color="auto"/>
              <w:right w:val="single" w:sz="4" w:space="0" w:color="auto"/>
            </w:tcBorders>
          </w:tcPr>
          <w:p w14:paraId="2DE1491B" w14:textId="77777777" w:rsidR="0059124E" w:rsidRPr="001B1DB1" w:rsidRDefault="0059124E" w:rsidP="0059124E">
            <w:pPr>
              <w:jc w:val="center"/>
              <w:rPr>
                <w:rFonts w:cs="Times New Roman"/>
                <w:b/>
                <w:sz w:val="20"/>
                <w:szCs w:val="20"/>
              </w:rPr>
            </w:pPr>
          </w:p>
        </w:tc>
        <w:tc>
          <w:tcPr>
            <w:tcW w:w="2694" w:type="dxa"/>
            <w:tcBorders>
              <w:top w:val="single" w:sz="4" w:space="0" w:color="auto"/>
              <w:left w:val="single" w:sz="4" w:space="0" w:color="auto"/>
              <w:right w:val="single" w:sz="4" w:space="0" w:color="auto"/>
            </w:tcBorders>
          </w:tcPr>
          <w:p w14:paraId="36BE6C72" w14:textId="536D879C" w:rsidR="0059124E" w:rsidRPr="001B1DB1" w:rsidRDefault="0059124E" w:rsidP="0059124E">
            <w:pPr>
              <w:jc w:val="both"/>
              <w:rPr>
                <w:rFonts w:cs="Times New Roman"/>
                <w:b/>
                <w:sz w:val="20"/>
                <w:szCs w:val="20"/>
              </w:rPr>
            </w:pPr>
            <w:r>
              <w:rPr>
                <w:rFonts w:cs="Times New Roman"/>
                <w:sz w:val="20"/>
                <w:szCs w:val="20"/>
              </w:rPr>
              <w:t xml:space="preserve">2. </w:t>
            </w:r>
            <w:r w:rsidRPr="008316B7">
              <w:rPr>
                <w:rFonts w:cs="Times New Roman"/>
                <w:sz w:val="20"/>
                <w:szCs w:val="20"/>
              </w:rPr>
              <w:t>Piešķirts finansējums jaunai štata vietai tiesā - zinātniskais asistents/konsultants.</w:t>
            </w:r>
          </w:p>
        </w:tc>
        <w:tc>
          <w:tcPr>
            <w:tcW w:w="1134" w:type="dxa"/>
            <w:tcBorders>
              <w:top w:val="single" w:sz="4" w:space="0" w:color="auto"/>
              <w:left w:val="single" w:sz="4" w:space="0" w:color="auto"/>
              <w:right w:val="single" w:sz="4" w:space="0" w:color="auto"/>
            </w:tcBorders>
          </w:tcPr>
          <w:p w14:paraId="425330DF" w14:textId="2BF842BD" w:rsidR="0059124E" w:rsidRPr="001B1DB1" w:rsidRDefault="0059124E" w:rsidP="0059124E">
            <w:pPr>
              <w:jc w:val="center"/>
              <w:rPr>
                <w:rFonts w:cs="Times New Roman"/>
                <w:b/>
                <w:bCs/>
                <w:sz w:val="20"/>
                <w:szCs w:val="20"/>
              </w:rPr>
            </w:pPr>
            <w:r>
              <w:rPr>
                <w:rFonts w:cs="Times New Roman"/>
                <w:bCs/>
                <w:sz w:val="20"/>
                <w:szCs w:val="20"/>
              </w:rPr>
              <w:t>TM</w:t>
            </w:r>
          </w:p>
        </w:tc>
        <w:tc>
          <w:tcPr>
            <w:tcW w:w="1275" w:type="dxa"/>
            <w:tcBorders>
              <w:top w:val="single" w:sz="4" w:space="0" w:color="auto"/>
              <w:left w:val="single" w:sz="4" w:space="0" w:color="auto"/>
              <w:right w:val="single" w:sz="4" w:space="0" w:color="auto"/>
            </w:tcBorders>
          </w:tcPr>
          <w:p w14:paraId="0C86C497" w14:textId="6E25290B" w:rsidR="0059124E" w:rsidRPr="001B1DB1" w:rsidRDefault="0059124E" w:rsidP="0059124E">
            <w:pPr>
              <w:jc w:val="center"/>
              <w:rPr>
                <w:rFonts w:cs="Times New Roman"/>
                <w:b/>
                <w:bCs/>
                <w:sz w:val="20"/>
                <w:szCs w:val="20"/>
              </w:rPr>
            </w:pPr>
            <w:r>
              <w:rPr>
                <w:rFonts w:cs="Times New Roman"/>
                <w:bCs/>
                <w:sz w:val="20"/>
                <w:szCs w:val="20"/>
              </w:rPr>
              <w:t>TA</w:t>
            </w:r>
          </w:p>
        </w:tc>
        <w:tc>
          <w:tcPr>
            <w:tcW w:w="1418" w:type="dxa"/>
            <w:tcBorders>
              <w:top w:val="single" w:sz="4" w:space="0" w:color="auto"/>
              <w:left w:val="single" w:sz="4" w:space="0" w:color="auto"/>
              <w:right w:val="single" w:sz="4" w:space="0" w:color="auto"/>
            </w:tcBorders>
          </w:tcPr>
          <w:p w14:paraId="293085B6" w14:textId="22A489C7" w:rsidR="0059124E" w:rsidRPr="001B1DB1" w:rsidRDefault="0059124E" w:rsidP="0059124E">
            <w:pPr>
              <w:jc w:val="center"/>
              <w:rPr>
                <w:rFonts w:cs="Times New Roman"/>
                <w:b/>
                <w:bCs/>
                <w:sz w:val="20"/>
                <w:szCs w:val="20"/>
              </w:rPr>
            </w:pPr>
            <w:r w:rsidRPr="00F04427">
              <w:rPr>
                <w:rFonts w:cs="Times New Roman"/>
                <w:bCs/>
                <w:sz w:val="20"/>
                <w:szCs w:val="20"/>
              </w:rPr>
              <w:t>31.12.2021.</w:t>
            </w:r>
          </w:p>
        </w:tc>
      </w:tr>
      <w:tr w:rsidR="0059124E" w:rsidRPr="001B1DB1" w14:paraId="6B168743" w14:textId="77777777" w:rsidTr="00EB0453">
        <w:trPr>
          <w:trHeight w:val="543"/>
        </w:trPr>
        <w:tc>
          <w:tcPr>
            <w:tcW w:w="709" w:type="dxa"/>
            <w:tcBorders>
              <w:left w:val="single" w:sz="4" w:space="0" w:color="auto"/>
              <w:right w:val="single" w:sz="4" w:space="0" w:color="auto"/>
            </w:tcBorders>
          </w:tcPr>
          <w:p w14:paraId="32FF59E4" w14:textId="77777777" w:rsidR="0059124E" w:rsidRPr="001B1DB1" w:rsidRDefault="0059124E" w:rsidP="0059124E">
            <w:pPr>
              <w:jc w:val="center"/>
              <w:rPr>
                <w:rFonts w:cs="Times New Roman"/>
                <w:b/>
                <w:bCs/>
                <w:sz w:val="20"/>
                <w:szCs w:val="20"/>
              </w:rPr>
            </w:pPr>
          </w:p>
        </w:tc>
        <w:tc>
          <w:tcPr>
            <w:tcW w:w="3686" w:type="dxa"/>
            <w:tcBorders>
              <w:left w:val="single" w:sz="4" w:space="0" w:color="auto"/>
              <w:right w:val="single" w:sz="4" w:space="0" w:color="auto"/>
            </w:tcBorders>
          </w:tcPr>
          <w:p w14:paraId="09285746" w14:textId="77777777" w:rsidR="0059124E" w:rsidRPr="001B1DB1" w:rsidRDefault="0059124E" w:rsidP="0059124E">
            <w:pPr>
              <w:jc w:val="center"/>
              <w:rPr>
                <w:rFonts w:cs="Times New Roman"/>
                <w:b/>
                <w:bCs/>
                <w:sz w:val="20"/>
                <w:szCs w:val="20"/>
              </w:rPr>
            </w:pPr>
          </w:p>
        </w:tc>
        <w:tc>
          <w:tcPr>
            <w:tcW w:w="1559" w:type="dxa"/>
            <w:tcBorders>
              <w:left w:val="single" w:sz="4" w:space="0" w:color="auto"/>
              <w:right w:val="single" w:sz="4" w:space="0" w:color="auto"/>
            </w:tcBorders>
          </w:tcPr>
          <w:p w14:paraId="6BA8CAEE" w14:textId="77777777" w:rsidR="0059124E" w:rsidRPr="001B1DB1" w:rsidRDefault="0059124E" w:rsidP="0059124E">
            <w:pPr>
              <w:jc w:val="center"/>
              <w:rPr>
                <w:rFonts w:cs="Times New Roman"/>
                <w:b/>
                <w:sz w:val="20"/>
                <w:szCs w:val="20"/>
              </w:rPr>
            </w:pPr>
          </w:p>
        </w:tc>
        <w:tc>
          <w:tcPr>
            <w:tcW w:w="2551" w:type="dxa"/>
            <w:tcBorders>
              <w:left w:val="single" w:sz="4" w:space="0" w:color="auto"/>
              <w:right w:val="single" w:sz="4" w:space="0" w:color="auto"/>
            </w:tcBorders>
          </w:tcPr>
          <w:p w14:paraId="457DF6A2" w14:textId="77777777" w:rsidR="0059124E" w:rsidRPr="001B1DB1" w:rsidRDefault="0059124E" w:rsidP="0059124E">
            <w:pPr>
              <w:jc w:val="center"/>
              <w:rPr>
                <w:rFonts w:cs="Times New Roman"/>
                <w:b/>
                <w:sz w:val="20"/>
                <w:szCs w:val="20"/>
              </w:rPr>
            </w:pPr>
          </w:p>
        </w:tc>
        <w:tc>
          <w:tcPr>
            <w:tcW w:w="2694" w:type="dxa"/>
            <w:tcBorders>
              <w:top w:val="single" w:sz="4" w:space="0" w:color="auto"/>
              <w:left w:val="single" w:sz="4" w:space="0" w:color="auto"/>
              <w:right w:val="single" w:sz="4" w:space="0" w:color="auto"/>
            </w:tcBorders>
          </w:tcPr>
          <w:p w14:paraId="0C6B8D88" w14:textId="1D4657A9" w:rsidR="0059124E" w:rsidRPr="001B1DB1" w:rsidRDefault="0059124E" w:rsidP="0059124E">
            <w:pPr>
              <w:jc w:val="both"/>
              <w:rPr>
                <w:rFonts w:cs="Times New Roman"/>
                <w:b/>
                <w:sz w:val="20"/>
                <w:szCs w:val="20"/>
              </w:rPr>
            </w:pPr>
            <w:r>
              <w:rPr>
                <w:rFonts w:cs="Times New Roman"/>
                <w:sz w:val="20"/>
                <w:szCs w:val="20"/>
              </w:rPr>
              <w:t xml:space="preserve">3. </w:t>
            </w:r>
            <w:r w:rsidRPr="008316B7">
              <w:rPr>
                <w:rFonts w:cs="Times New Roman"/>
                <w:sz w:val="20"/>
                <w:szCs w:val="20"/>
              </w:rPr>
              <w:t>Piešķirts finansējums jaunu amata vietu izveidei prokuratūrā.</w:t>
            </w:r>
          </w:p>
        </w:tc>
        <w:tc>
          <w:tcPr>
            <w:tcW w:w="1134" w:type="dxa"/>
            <w:tcBorders>
              <w:top w:val="single" w:sz="4" w:space="0" w:color="auto"/>
              <w:left w:val="single" w:sz="4" w:space="0" w:color="auto"/>
              <w:right w:val="single" w:sz="4" w:space="0" w:color="auto"/>
            </w:tcBorders>
          </w:tcPr>
          <w:p w14:paraId="1521445E" w14:textId="2E9DA2FF" w:rsidR="0059124E" w:rsidRPr="001B1DB1" w:rsidRDefault="0059124E" w:rsidP="0059124E">
            <w:pPr>
              <w:jc w:val="center"/>
              <w:rPr>
                <w:rFonts w:cs="Times New Roman"/>
                <w:b/>
                <w:bCs/>
                <w:sz w:val="20"/>
                <w:szCs w:val="20"/>
              </w:rPr>
            </w:pPr>
            <w:r>
              <w:rPr>
                <w:rFonts w:cs="Times New Roman"/>
                <w:bCs/>
                <w:sz w:val="20"/>
                <w:szCs w:val="20"/>
              </w:rPr>
              <w:t>ĢP</w:t>
            </w:r>
          </w:p>
        </w:tc>
        <w:tc>
          <w:tcPr>
            <w:tcW w:w="1275" w:type="dxa"/>
            <w:tcBorders>
              <w:top w:val="single" w:sz="4" w:space="0" w:color="auto"/>
              <w:left w:val="single" w:sz="4" w:space="0" w:color="auto"/>
              <w:right w:val="single" w:sz="4" w:space="0" w:color="auto"/>
            </w:tcBorders>
          </w:tcPr>
          <w:p w14:paraId="38489933" w14:textId="77777777" w:rsidR="0059124E" w:rsidRPr="001B1DB1" w:rsidRDefault="0059124E" w:rsidP="0059124E">
            <w:pPr>
              <w:jc w:val="center"/>
              <w:rPr>
                <w:rFonts w:cs="Times New Roman"/>
                <w:b/>
                <w:bCs/>
                <w:sz w:val="20"/>
                <w:szCs w:val="20"/>
              </w:rPr>
            </w:pPr>
          </w:p>
        </w:tc>
        <w:tc>
          <w:tcPr>
            <w:tcW w:w="1418" w:type="dxa"/>
            <w:tcBorders>
              <w:top w:val="single" w:sz="4" w:space="0" w:color="auto"/>
              <w:left w:val="single" w:sz="4" w:space="0" w:color="auto"/>
              <w:right w:val="single" w:sz="4" w:space="0" w:color="auto"/>
            </w:tcBorders>
          </w:tcPr>
          <w:p w14:paraId="542A0534" w14:textId="7082D7BE" w:rsidR="0059124E" w:rsidRPr="001B1DB1" w:rsidRDefault="0059124E" w:rsidP="0059124E">
            <w:pPr>
              <w:jc w:val="center"/>
              <w:rPr>
                <w:rFonts w:cs="Times New Roman"/>
                <w:b/>
                <w:bCs/>
                <w:sz w:val="20"/>
                <w:szCs w:val="20"/>
              </w:rPr>
            </w:pPr>
            <w:r w:rsidRPr="00F04427">
              <w:rPr>
                <w:rFonts w:cs="Times New Roman"/>
                <w:bCs/>
                <w:sz w:val="20"/>
                <w:szCs w:val="20"/>
              </w:rPr>
              <w:t>31.12.2021.</w:t>
            </w:r>
          </w:p>
        </w:tc>
      </w:tr>
      <w:tr w:rsidR="0059124E" w:rsidRPr="001B1DB1" w14:paraId="077AADC8" w14:textId="77777777" w:rsidTr="002044FB">
        <w:trPr>
          <w:trHeight w:val="505"/>
        </w:trPr>
        <w:tc>
          <w:tcPr>
            <w:tcW w:w="15026" w:type="dxa"/>
            <w:gridSpan w:val="8"/>
            <w:tcBorders>
              <w:left w:val="single" w:sz="4" w:space="0" w:color="auto"/>
              <w:right w:val="single" w:sz="4" w:space="0" w:color="auto"/>
            </w:tcBorders>
          </w:tcPr>
          <w:p w14:paraId="37DD3C89" w14:textId="77777777" w:rsidR="0059124E" w:rsidRPr="005B1CAE" w:rsidRDefault="0059124E" w:rsidP="0059124E">
            <w:pPr>
              <w:jc w:val="both"/>
              <w:rPr>
                <w:rFonts w:cs="Times New Roman"/>
                <w:sz w:val="20"/>
                <w:szCs w:val="20"/>
              </w:rPr>
            </w:pPr>
            <w:r w:rsidRPr="001B1DB1">
              <w:rPr>
                <w:rFonts w:cs="Times New Roman"/>
                <w:b/>
                <w:bCs/>
                <w:sz w:val="20"/>
                <w:szCs w:val="20"/>
              </w:rPr>
              <w:lastRenderedPageBreak/>
              <w:t>Izpilde</w:t>
            </w:r>
          </w:p>
          <w:p w14:paraId="6F9D7ABE" w14:textId="3AD5FE24" w:rsidR="0059124E" w:rsidRPr="001B1DB1" w:rsidRDefault="0059124E" w:rsidP="0059124E">
            <w:pPr>
              <w:jc w:val="both"/>
              <w:rPr>
                <w:rFonts w:cs="Times New Roman"/>
                <w:b/>
                <w:bCs/>
                <w:sz w:val="20"/>
                <w:szCs w:val="20"/>
              </w:rPr>
            </w:pPr>
            <w:r w:rsidRPr="0059124E">
              <w:rPr>
                <w:rFonts w:cs="Times New Roman"/>
                <w:sz w:val="20"/>
                <w:szCs w:val="20"/>
              </w:rPr>
              <w:t xml:space="preserve">Piešķirts finansējums jaunu amata vietu izveidei VP Galvenās kriminālpolicijas pārvaldes Ekonomisko noziegumu apkarošanas pārvaldē un </w:t>
            </w:r>
            <w:proofErr w:type="spellStart"/>
            <w:r w:rsidRPr="0059124E">
              <w:rPr>
                <w:rFonts w:cs="Times New Roman"/>
                <w:sz w:val="20"/>
                <w:szCs w:val="20"/>
              </w:rPr>
              <w:t>Kriminālizlūkošanas</w:t>
            </w:r>
            <w:proofErr w:type="spellEnd"/>
            <w:r w:rsidRPr="0059124E">
              <w:rPr>
                <w:rFonts w:cs="Times New Roman"/>
                <w:sz w:val="20"/>
                <w:szCs w:val="20"/>
              </w:rPr>
              <w:t xml:space="preserve"> vadības pārvaldē</w:t>
            </w:r>
            <w:r>
              <w:rPr>
                <w:rFonts w:cs="Times New Roman"/>
                <w:sz w:val="20"/>
                <w:szCs w:val="20"/>
              </w:rPr>
              <w:t xml:space="preserve">, </w:t>
            </w:r>
            <w:r w:rsidRPr="008316B7">
              <w:rPr>
                <w:rFonts w:cs="Times New Roman"/>
                <w:sz w:val="20"/>
                <w:szCs w:val="20"/>
              </w:rPr>
              <w:t xml:space="preserve">jaunai </w:t>
            </w:r>
            <w:r w:rsidRPr="0059124E">
              <w:rPr>
                <w:rFonts w:cs="Times New Roman"/>
                <w:sz w:val="20"/>
                <w:szCs w:val="20"/>
              </w:rPr>
              <w:t xml:space="preserve">amata </w:t>
            </w:r>
            <w:r w:rsidRPr="008316B7">
              <w:rPr>
                <w:rFonts w:cs="Times New Roman"/>
                <w:sz w:val="20"/>
                <w:szCs w:val="20"/>
              </w:rPr>
              <w:t>vietai tiesā</w:t>
            </w:r>
            <w:r>
              <w:rPr>
                <w:rFonts w:cs="Times New Roman"/>
                <w:sz w:val="20"/>
                <w:szCs w:val="20"/>
              </w:rPr>
              <w:t xml:space="preserve">, </w:t>
            </w:r>
            <w:r w:rsidRPr="008316B7">
              <w:rPr>
                <w:rFonts w:cs="Times New Roman"/>
                <w:sz w:val="20"/>
                <w:szCs w:val="20"/>
              </w:rPr>
              <w:t>jaunu amata vietu izveidei prokuratūrā.</w:t>
            </w:r>
          </w:p>
        </w:tc>
      </w:tr>
    </w:tbl>
    <w:p w14:paraId="6EDEDB6E" w14:textId="77777777" w:rsidR="009754EF" w:rsidRPr="001B1DB1" w:rsidRDefault="009754EF" w:rsidP="009754EF">
      <w:pPr>
        <w:pStyle w:val="Heading2"/>
        <w:ind w:left="720"/>
        <w:rPr>
          <w:rFonts w:ascii="Times New Roman" w:hAnsi="Times New Roman" w:cs="Times New Roman"/>
          <w:b/>
          <w:color w:val="auto"/>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1559"/>
        <w:gridCol w:w="2551"/>
        <w:gridCol w:w="2694"/>
        <w:gridCol w:w="1134"/>
        <w:gridCol w:w="1275"/>
        <w:gridCol w:w="1418"/>
      </w:tblGrid>
      <w:tr w:rsidR="00775B85" w:rsidRPr="001B1DB1" w14:paraId="4A81310F" w14:textId="77777777" w:rsidTr="00EC4F0C">
        <w:tc>
          <w:tcPr>
            <w:tcW w:w="4395" w:type="dxa"/>
            <w:gridSpan w:val="2"/>
          </w:tcPr>
          <w:bookmarkEnd w:id="2"/>
          <w:p w14:paraId="4E8F41C9" w14:textId="77777777" w:rsidR="00775B85" w:rsidRPr="001B1DB1" w:rsidRDefault="00775B85" w:rsidP="00EC4F0C">
            <w:pPr>
              <w:rPr>
                <w:rFonts w:cs="Times New Roman"/>
                <w:b/>
                <w:bCs/>
                <w:sz w:val="20"/>
                <w:szCs w:val="20"/>
              </w:rPr>
            </w:pPr>
            <w:r w:rsidRPr="001B1DB1">
              <w:rPr>
                <w:rFonts w:cs="Times New Roman"/>
                <w:b/>
                <w:bCs/>
                <w:sz w:val="20"/>
                <w:szCs w:val="20"/>
              </w:rPr>
              <w:t>Rīcības virziens</w:t>
            </w:r>
          </w:p>
        </w:tc>
        <w:tc>
          <w:tcPr>
            <w:tcW w:w="10631" w:type="dxa"/>
            <w:gridSpan w:val="6"/>
          </w:tcPr>
          <w:p w14:paraId="68DB921C" w14:textId="77777777" w:rsidR="00775B85" w:rsidRPr="001B1DB1" w:rsidRDefault="00775B85" w:rsidP="00EC4F0C">
            <w:pPr>
              <w:jc w:val="both"/>
              <w:rPr>
                <w:rFonts w:cs="Times New Roman"/>
                <w:b/>
                <w:bCs/>
                <w:sz w:val="20"/>
                <w:szCs w:val="20"/>
              </w:rPr>
            </w:pPr>
            <w:r w:rsidRPr="001B1DB1">
              <w:rPr>
                <w:rFonts w:cs="Times New Roman"/>
                <w:b/>
                <w:bCs/>
                <w:sz w:val="20"/>
                <w:szCs w:val="20"/>
              </w:rPr>
              <w:t>TERORISMA FINANSĒŠANAS PREVENTĪVIE PASĀKUMI UN FINANŠU SANKCIJAS</w:t>
            </w:r>
          </w:p>
        </w:tc>
      </w:tr>
      <w:tr w:rsidR="007D49B9" w:rsidRPr="001B1DB1" w14:paraId="12FB1ADC" w14:textId="77777777" w:rsidTr="00EC4F0C">
        <w:tc>
          <w:tcPr>
            <w:tcW w:w="4395" w:type="dxa"/>
            <w:gridSpan w:val="2"/>
          </w:tcPr>
          <w:p w14:paraId="5943F413" w14:textId="63549A8B" w:rsidR="007D49B9" w:rsidRPr="001B1DB1" w:rsidRDefault="007D49B9" w:rsidP="007D49B9">
            <w:pPr>
              <w:rPr>
                <w:rFonts w:cs="Times New Roman"/>
                <w:b/>
                <w:bCs/>
                <w:sz w:val="20"/>
                <w:szCs w:val="20"/>
              </w:rPr>
            </w:pPr>
            <w:r w:rsidRPr="001B1DB1">
              <w:rPr>
                <w:rFonts w:cs="Times New Roman"/>
                <w:b/>
                <w:bCs/>
                <w:sz w:val="20"/>
                <w:szCs w:val="20"/>
              </w:rPr>
              <w:t>Sasniedzamais mērķis</w:t>
            </w:r>
          </w:p>
        </w:tc>
        <w:tc>
          <w:tcPr>
            <w:tcW w:w="10631" w:type="dxa"/>
            <w:gridSpan w:val="6"/>
          </w:tcPr>
          <w:p w14:paraId="1EF75EC3" w14:textId="77777777" w:rsidR="007D49B9" w:rsidRPr="001B1DB1" w:rsidRDefault="007D49B9">
            <w:pPr>
              <w:jc w:val="both"/>
              <w:rPr>
                <w:rFonts w:cs="Times New Roman"/>
                <w:b/>
                <w:bCs/>
                <w:sz w:val="20"/>
                <w:szCs w:val="20"/>
              </w:rPr>
            </w:pPr>
            <w:r w:rsidRPr="001B1DB1">
              <w:rPr>
                <w:rFonts w:cs="Times New Roman"/>
                <w:b/>
                <w:bCs/>
                <w:sz w:val="20"/>
                <w:szCs w:val="20"/>
              </w:rPr>
              <w:t>Teroristiem, teroristu organizācijām un terorisma finansētājiem ir novērsta iespēja piesaistīt, pārvietot un izmantot līdzekļus un ļaunprātīgi izmantot bezpeļņas organizāciju sektoru.</w:t>
            </w:r>
          </w:p>
        </w:tc>
      </w:tr>
      <w:tr w:rsidR="00775B85" w:rsidRPr="001B1DB1" w14:paraId="2A22B3F1" w14:textId="77777777" w:rsidTr="001B2BEE">
        <w:trPr>
          <w:trHeight w:val="543"/>
        </w:trPr>
        <w:tc>
          <w:tcPr>
            <w:tcW w:w="851" w:type="dxa"/>
          </w:tcPr>
          <w:p w14:paraId="4642305B" w14:textId="77777777" w:rsidR="00775B85" w:rsidRPr="000C5A60" w:rsidRDefault="00775B85" w:rsidP="00EC4F0C">
            <w:pPr>
              <w:jc w:val="center"/>
              <w:rPr>
                <w:rFonts w:cs="Times New Roman"/>
                <w:b/>
                <w:sz w:val="20"/>
                <w:szCs w:val="20"/>
              </w:rPr>
            </w:pPr>
            <w:r w:rsidRPr="000C5A60">
              <w:rPr>
                <w:rFonts w:cs="Times New Roman"/>
                <w:b/>
                <w:sz w:val="20"/>
                <w:szCs w:val="20"/>
              </w:rPr>
              <w:t>Nr. P.k.</w:t>
            </w:r>
          </w:p>
        </w:tc>
        <w:tc>
          <w:tcPr>
            <w:tcW w:w="3544" w:type="dxa"/>
            <w:shd w:val="clear" w:color="auto" w:fill="auto"/>
          </w:tcPr>
          <w:p w14:paraId="7445E301" w14:textId="77777777" w:rsidR="00775B85" w:rsidRPr="001B1DB1" w:rsidRDefault="00775B85" w:rsidP="00EC4F0C">
            <w:pPr>
              <w:jc w:val="center"/>
              <w:rPr>
                <w:rFonts w:cs="Times New Roman"/>
                <w:bCs/>
                <w:i/>
                <w:sz w:val="20"/>
                <w:szCs w:val="20"/>
              </w:rPr>
            </w:pPr>
            <w:r w:rsidRPr="001B1DB1">
              <w:rPr>
                <w:rFonts w:cs="Times New Roman"/>
                <w:b/>
                <w:bCs/>
                <w:sz w:val="20"/>
                <w:szCs w:val="20"/>
              </w:rPr>
              <w:t>Pasākums</w:t>
            </w:r>
          </w:p>
        </w:tc>
        <w:tc>
          <w:tcPr>
            <w:tcW w:w="1559" w:type="dxa"/>
          </w:tcPr>
          <w:p w14:paraId="3822964C" w14:textId="77777777" w:rsidR="00775B85" w:rsidRPr="001B1DB1" w:rsidRDefault="00775B85" w:rsidP="00EC4F0C">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21ECC20B" w14:textId="77777777" w:rsidR="00775B85" w:rsidRPr="001B1DB1" w:rsidRDefault="00775B85" w:rsidP="00EC4F0C">
            <w:pPr>
              <w:jc w:val="center"/>
              <w:rPr>
                <w:rFonts w:cs="Times New Roman"/>
                <w:b/>
                <w:bCs/>
                <w:i/>
                <w:sz w:val="20"/>
                <w:szCs w:val="20"/>
              </w:rPr>
            </w:pPr>
            <w:r w:rsidRPr="001B1DB1">
              <w:rPr>
                <w:rFonts w:cs="Times New Roman"/>
                <w:b/>
                <w:sz w:val="20"/>
                <w:szCs w:val="20"/>
              </w:rPr>
              <w:t>Darbības rezultāts</w:t>
            </w:r>
          </w:p>
        </w:tc>
        <w:tc>
          <w:tcPr>
            <w:tcW w:w="2694" w:type="dxa"/>
          </w:tcPr>
          <w:p w14:paraId="12DCF112" w14:textId="77777777" w:rsidR="00775B85" w:rsidRPr="001B1DB1" w:rsidRDefault="00775B85" w:rsidP="00EC4F0C">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4119078C"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78434EB0" w14:textId="77777777" w:rsidR="00775B85" w:rsidRPr="001B1DB1" w:rsidRDefault="00775B85" w:rsidP="00EC4F0C">
            <w:pPr>
              <w:jc w:val="center"/>
              <w:rPr>
                <w:rFonts w:cs="Times New Roman"/>
                <w:b/>
                <w:bCs/>
                <w:sz w:val="20"/>
                <w:szCs w:val="20"/>
              </w:rPr>
            </w:pPr>
            <w:r w:rsidRPr="001B1DB1">
              <w:rPr>
                <w:rFonts w:cs="Times New Roman"/>
                <w:b/>
                <w:bCs/>
                <w:sz w:val="20"/>
                <w:szCs w:val="20"/>
              </w:rPr>
              <w:t>Līdz-</w:t>
            </w:r>
          </w:p>
          <w:p w14:paraId="492EA50E"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1D7EF250" w14:textId="77777777" w:rsidR="00775B85" w:rsidRPr="001B1DB1" w:rsidRDefault="00775B85" w:rsidP="00EC4F0C">
            <w:pPr>
              <w:jc w:val="center"/>
              <w:rPr>
                <w:rFonts w:cs="Times New Roman"/>
                <w:bCs/>
                <w:i/>
                <w:sz w:val="20"/>
                <w:szCs w:val="20"/>
              </w:rPr>
            </w:pPr>
            <w:r w:rsidRPr="001B1DB1">
              <w:rPr>
                <w:rFonts w:cs="Times New Roman"/>
                <w:b/>
                <w:bCs/>
                <w:sz w:val="20"/>
                <w:szCs w:val="20"/>
              </w:rPr>
              <w:t>Izpildes termiņš</w:t>
            </w:r>
          </w:p>
        </w:tc>
      </w:tr>
      <w:tr w:rsidR="00775B85" w:rsidRPr="001B1DB1" w14:paraId="6E0809C2" w14:textId="77777777" w:rsidTr="001B2BEE">
        <w:trPr>
          <w:trHeight w:val="543"/>
        </w:trPr>
        <w:tc>
          <w:tcPr>
            <w:tcW w:w="851" w:type="dxa"/>
          </w:tcPr>
          <w:p w14:paraId="0583B935" w14:textId="77777777" w:rsidR="00775B85" w:rsidRPr="001B1DB1" w:rsidRDefault="00B845EB" w:rsidP="00EC4F0C">
            <w:pPr>
              <w:jc w:val="center"/>
              <w:rPr>
                <w:rFonts w:cs="Times New Roman"/>
                <w:bCs/>
                <w:sz w:val="20"/>
                <w:szCs w:val="20"/>
              </w:rPr>
            </w:pPr>
            <w:r w:rsidRPr="001B1DB1">
              <w:rPr>
                <w:rFonts w:cs="Times New Roman"/>
                <w:bCs/>
                <w:sz w:val="20"/>
                <w:szCs w:val="20"/>
              </w:rPr>
              <w:t>10.2.</w:t>
            </w:r>
          </w:p>
        </w:tc>
        <w:tc>
          <w:tcPr>
            <w:tcW w:w="3544" w:type="dxa"/>
            <w:shd w:val="clear" w:color="auto" w:fill="auto"/>
          </w:tcPr>
          <w:p w14:paraId="2964CE58" w14:textId="77777777" w:rsidR="00775B85" w:rsidRPr="001B1DB1" w:rsidRDefault="00775B85" w:rsidP="00EC4F0C">
            <w:pPr>
              <w:jc w:val="both"/>
              <w:rPr>
                <w:sz w:val="20"/>
                <w:szCs w:val="20"/>
              </w:rPr>
            </w:pPr>
            <w:r w:rsidRPr="001B1DB1">
              <w:rPr>
                <w:sz w:val="20"/>
                <w:szCs w:val="20"/>
              </w:rPr>
              <w:t xml:space="preserve">Paaugstināt sabiedrības </w:t>
            </w:r>
            <w:r w:rsidR="009D50A8" w:rsidRPr="001B1DB1">
              <w:rPr>
                <w:sz w:val="20"/>
                <w:szCs w:val="20"/>
              </w:rPr>
              <w:t xml:space="preserve">un likuma subjektu </w:t>
            </w:r>
            <w:r w:rsidRPr="001B1DB1">
              <w:rPr>
                <w:sz w:val="20"/>
                <w:szCs w:val="20"/>
              </w:rPr>
              <w:t xml:space="preserve">izpratni par terorisma un </w:t>
            </w:r>
            <w:proofErr w:type="spellStart"/>
            <w:r w:rsidRPr="001B1DB1">
              <w:rPr>
                <w:sz w:val="20"/>
                <w:szCs w:val="20"/>
              </w:rPr>
              <w:t>proliferācijas</w:t>
            </w:r>
            <w:proofErr w:type="spellEnd"/>
            <w:r w:rsidRPr="001B1DB1">
              <w:rPr>
                <w:sz w:val="20"/>
                <w:szCs w:val="20"/>
              </w:rPr>
              <w:t xml:space="preserve"> finansēšanas draudiem un iesaistes šādos darījumos sekām.</w:t>
            </w:r>
          </w:p>
        </w:tc>
        <w:tc>
          <w:tcPr>
            <w:tcW w:w="1559" w:type="dxa"/>
          </w:tcPr>
          <w:p w14:paraId="1B4CC044" w14:textId="77777777" w:rsidR="00775B85" w:rsidRPr="001B1DB1" w:rsidRDefault="005175D0" w:rsidP="00EC4F0C">
            <w:pPr>
              <w:rPr>
                <w:sz w:val="20"/>
                <w:szCs w:val="20"/>
              </w:rPr>
            </w:pPr>
            <w:r>
              <w:rPr>
                <w:sz w:val="20"/>
                <w:szCs w:val="20"/>
              </w:rPr>
              <w:t xml:space="preserve"> </w:t>
            </w:r>
          </w:p>
        </w:tc>
        <w:tc>
          <w:tcPr>
            <w:tcW w:w="2551" w:type="dxa"/>
            <w:shd w:val="clear" w:color="auto" w:fill="auto"/>
          </w:tcPr>
          <w:p w14:paraId="6A78B051" w14:textId="29D2DF57" w:rsidR="00775B85" w:rsidRPr="001B1DB1" w:rsidRDefault="00810D8C" w:rsidP="00D16025">
            <w:pPr>
              <w:jc w:val="both"/>
              <w:rPr>
                <w:sz w:val="20"/>
                <w:szCs w:val="20"/>
              </w:rPr>
            </w:pPr>
            <w:r>
              <w:rPr>
                <w:sz w:val="20"/>
                <w:szCs w:val="20"/>
              </w:rPr>
              <w:t>Paaugstināta p</w:t>
            </w:r>
            <w:r w:rsidR="00775B85" w:rsidRPr="001B1DB1">
              <w:rPr>
                <w:sz w:val="20"/>
                <w:szCs w:val="20"/>
              </w:rPr>
              <w:t xml:space="preserve">lašākas sabiedrības informētība par terorisma un </w:t>
            </w:r>
            <w:proofErr w:type="spellStart"/>
            <w:r w:rsidR="00775B85" w:rsidRPr="001B1DB1">
              <w:rPr>
                <w:sz w:val="20"/>
                <w:szCs w:val="20"/>
              </w:rPr>
              <w:t>proliferācijas</w:t>
            </w:r>
            <w:proofErr w:type="spellEnd"/>
            <w:r w:rsidR="00775B85" w:rsidRPr="001B1DB1">
              <w:rPr>
                <w:sz w:val="20"/>
                <w:szCs w:val="20"/>
              </w:rPr>
              <w:t xml:space="preserve"> finansēšanas draudiem un </w:t>
            </w:r>
            <w:r>
              <w:rPr>
                <w:sz w:val="20"/>
                <w:szCs w:val="20"/>
              </w:rPr>
              <w:t xml:space="preserve">veicināta </w:t>
            </w:r>
            <w:r w:rsidR="00775B85" w:rsidRPr="001B1DB1">
              <w:rPr>
                <w:sz w:val="20"/>
                <w:szCs w:val="20"/>
              </w:rPr>
              <w:t>pastarpināta iesaiste to novēršanā.</w:t>
            </w:r>
          </w:p>
          <w:p w14:paraId="3310F56F" w14:textId="19CEDC8E" w:rsidR="009D50A8" w:rsidRPr="001B1DB1" w:rsidRDefault="00810D8C">
            <w:pPr>
              <w:jc w:val="both"/>
              <w:rPr>
                <w:sz w:val="20"/>
                <w:szCs w:val="20"/>
              </w:rPr>
            </w:pPr>
            <w:r>
              <w:rPr>
                <w:sz w:val="20"/>
                <w:szCs w:val="20"/>
              </w:rPr>
              <w:t>Paaugstināta l</w:t>
            </w:r>
            <w:r w:rsidR="009D50A8" w:rsidRPr="001B1DB1">
              <w:rPr>
                <w:sz w:val="20"/>
                <w:szCs w:val="20"/>
              </w:rPr>
              <w:t xml:space="preserve">ikuma subjektu informētība par terorisma un </w:t>
            </w:r>
            <w:proofErr w:type="spellStart"/>
            <w:r w:rsidR="009D50A8" w:rsidRPr="001B1DB1">
              <w:rPr>
                <w:sz w:val="20"/>
                <w:szCs w:val="20"/>
              </w:rPr>
              <w:t>proliferācijas</w:t>
            </w:r>
            <w:proofErr w:type="spellEnd"/>
            <w:r w:rsidR="009D50A8" w:rsidRPr="001B1DB1">
              <w:rPr>
                <w:sz w:val="20"/>
                <w:szCs w:val="20"/>
              </w:rPr>
              <w:t xml:space="preserve"> finansēšanas draudiem.</w:t>
            </w:r>
          </w:p>
        </w:tc>
        <w:tc>
          <w:tcPr>
            <w:tcW w:w="2694" w:type="dxa"/>
          </w:tcPr>
          <w:p w14:paraId="2CA46D48" w14:textId="0FDD7111" w:rsidR="00775B85" w:rsidRPr="001B1DB1" w:rsidRDefault="00DA5BD8" w:rsidP="00EC4F0C">
            <w:pPr>
              <w:jc w:val="both"/>
              <w:rPr>
                <w:sz w:val="20"/>
                <w:szCs w:val="20"/>
              </w:rPr>
            </w:pPr>
            <w:r w:rsidRPr="001B1DB1">
              <w:rPr>
                <w:sz w:val="20"/>
                <w:szCs w:val="20"/>
              </w:rPr>
              <w:t xml:space="preserve">1. </w:t>
            </w:r>
            <w:r w:rsidR="00775B85" w:rsidRPr="001B1DB1">
              <w:rPr>
                <w:sz w:val="20"/>
                <w:szCs w:val="20"/>
              </w:rPr>
              <w:t xml:space="preserve">Izstrādāts publisks informatīvs </w:t>
            </w:r>
            <w:r w:rsidR="00903C15" w:rsidRPr="001B1DB1">
              <w:rPr>
                <w:sz w:val="20"/>
                <w:szCs w:val="20"/>
              </w:rPr>
              <w:t>e-</w:t>
            </w:r>
            <w:r w:rsidR="00775B85" w:rsidRPr="001B1DB1">
              <w:rPr>
                <w:sz w:val="20"/>
                <w:szCs w:val="20"/>
              </w:rPr>
              <w:t xml:space="preserve">buklets </w:t>
            </w:r>
            <w:r w:rsidR="00471AF2">
              <w:rPr>
                <w:sz w:val="20"/>
                <w:szCs w:val="20"/>
              </w:rPr>
              <w:t>ar vispārīgu, sabiedrībai saprotamu informāciju par terorismu un terorisma finansēšanu</w:t>
            </w:r>
            <w:r w:rsidR="004A71E4" w:rsidRPr="001B1DB1">
              <w:rPr>
                <w:sz w:val="20"/>
                <w:szCs w:val="20"/>
              </w:rPr>
              <w:t>.</w:t>
            </w:r>
          </w:p>
        </w:tc>
        <w:tc>
          <w:tcPr>
            <w:tcW w:w="1134" w:type="dxa"/>
            <w:shd w:val="clear" w:color="auto" w:fill="auto"/>
          </w:tcPr>
          <w:p w14:paraId="3B012159" w14:textId="71E484E4" w:rsidR="00775B85" w:rsidRPr="001B1DB1" w:rsidRDefault="00775B85" w:rsidP="002B2537">
            <w:pPr>
              <w:jc w:val="center"/>
              <w:rPr>
                <w:sz w:val="20"/>
                <w:szCs w:val="20"/>
              </w:rPr>
            </w:pPr>
            <w:r w:rsidRPr="001B1DB1">
              <w:rPr>
                <w:sz w:val="20"/>
                <w:szCs w:val="20"/>
              </w:rPr>
              <w:t>FID</w:t>
            </w:r>
            <w:r w:rsidR="00AE5534">
              <w:rPr>
                <w:sz w:val="20"/>
                <w:szCs w:val="20"/>
              </w:rPr>
              <w:t xml:space="preserve"> </w:t>
            </w:r>
          </w:p>
        </w:tc>
        <w:tc>
          <w:tcPr>
            <w:tcW w:w="1275" w:type="dxa"/>
            <w:shd w:val="clear" w:color="auto" w:fill="auto"/>
          </w:tcPr>
          <w:p w14:paraId="35692408" w14:textId="175844AE" w:rsidR="00775B85" w:rsidRPr="001B1DB1" w:rsidRDefault="00AE5534" w:rsidP="002B2537">
            <w:pPr>
              <w:jc w:val="center"/>
              <w:rPr>
                <w:sz w:val="20"/>
                <w:szCs w:val="20"/>
              </w:rPr>
            </w:pPr>
            <w:r>
              <w:rPr>
                <w:sz w:val="20"/>
                <w:szCs w:val="20"/>
              </w:rPr>
              <w:t>VDD</w:t>
            </w:r>
          </w:p>
        </w:tc>
        <w:tc>
          <w:tcPr>
            <w:tcW w:w="1418" w:type="dxa"/>
            <w:shd w:val="clear" w:color="auto" w:fill="auto"/>
          </w:tcPr>
          <w:p w14:paraId="1D981270" w14:textId="304F857A" w:rsidR="00775B85" w:rsidRPr="001B1DB1" w:rsidRDefault="00994CD7" w:rsidP="00C0727F">
            <w:pPr>
              <w:jc w:val="center"/>
              <w:rPr>
                <w:sz w:val="20"/>
                <w:szCs w:val="20"/>
              </w:rPr>
            </w:pPr>
            <w:r>
              <w:rPr>
                <w:sz w:val="20"/>
                <w:szCs w:val="20"/>
              </w:rPr>
              <w:t>01.07.</w:t>
            </w:r>
            <w:r w:rsidR="00775B85" w:rsidRPr="001B1DB1">
              <w:rPr>
                <w:sz w:val="20"/>
                <w:szCs w:val="20"/>
              </w:rPr>
              <w:t>2020.</w:t>
            </w:r>
          </w:p>
        </w:tc>
      </w:tr>
      <w:tr w:rsidR="006D7AC1" w:rsidRPr="001B1DB1" w14:paraId="18F3F3ED" w14:textId="77777777" w:rsidTr="00752EA6">
        <w:trPr>
          <w:trHeight w:val="543"/>
        </w:trPr>
        <w:tc>
          <w:tcPr>
            <w:tcW w:w="15026" w:type="dxa"/>
            <w:gridSpan w:val="8"/>
          </w:tcPr>
          <w:p w14:paraId="31A1CCAD" w14:textId="77777777" w:rsidR="006D7AC1" w:rsidRDefault="00A02E44" w:rsidP="00A02E44">
            <w:pPr>
              <w:jc w:val="both"/>
              <w:rPr>
                <w:rFonts w:cs="Times New Roman"/>
                <w:b/>
                <w:bCs/>
                <w:sz w:val="20"/>
                <w:szCs w:val="20"/>
              </w:rPr>
            </w:pPr>
            <w:r w:rsidRPr="001B1DB1">
              <w:rPr>
                <w:rFonts w:cs="Times New Roman"/>
                <w:b/>
                <w:bCs/>
                <w:sz w:val="20"/>
                <w:szCs w:val="20"/>
              </w:rPr>
              <w:t>Izpilde</w:t>
            </w:r>
          </w:p>
          <w:p w14:paraId="667105AF" w14:textId="453A2DEC" w:rsidR="001151F6" w:rsidRPr="001B1DB1" w:rsidRDefault="001151F6" w:rsidP="001151F6">
            <w:pPr>
              <w:jc w:val="both"/>
              <w:rPr>
                <w:sz w:val="20"/>
                <w:szCs w:val="20"/>
              </w:rPr>
            </w:pPr>
            <w:r>
              <w:rPr>
                <w:sz w:val="20"/>
                <w:szCs w:val="20"/>
              </w:rPr>
              <w:t xml:space="preserve">Informatīvais </w:t>
            </w:r>
            <w:r w:rsidR="00DA2EA0">
              <w:rPr>
                <w:sz w:val="20"/>
                <w:szCs w:val="20"/>
              </w:rPr>
              <w:t>e-</w:t>
            </w:r>
            <w:r>
              <w:rPr>
                <w:sz w:val="20"/>
                <w:szCs w:val="20"/>
              </w:rPr>
              <w:t xml:space="preserve">buklets ir izstrādāts un pieejams FID </w:t>
            </w:r>
            <w:r w:rsidR="0036316B">
              <w:rPr>
                <w:sz w:val="20"/>
                <w:szCs w:val="20"/>
              </w:rPr>
              <w:t>tīmekļa vietnē,</w:t>
            </w:r>
            <w:r>
              <w:rPr>
                <w:sz w:val="20"/>
                <w:szCs w:val="20"/>
              </w:rPr>
              <w:t xml:space="preserve"> kā arī izvietots FID sociālo tīklu kontos.</w:t>
            </w:r>
          </w:p>
        </w:tc>
      </w:tr>
      <w:tr w:rsidR="008F3D35" w:rsidRPr="001B1DB1" w14:paraId="3922E3D7" w14:textId="77777777" w:rsidTr="001B2BEE">
        <w:trPr>
          <w:trHeight w:val="543"/>
        </w:trPr>
        <w:tc>
          <w:tcPr>
            <w:tcW w:w="851" w:type="dxa"/>
          </w:tcPr>
          <w:p w14:paraId="466B1B24" w14:textId="77777777" w:rsidR="008F3D35" w:rsidRPr="001B1DB1" w:rsidRDefault="008F3D35" w:rsidP="008F3D35">
            <w:pPr>
              <w:jc w:val="center"/>
              <w:rPr>
                <w:rFonts w:cs="Times New Roman"/>
                <w:bCs/>
                <w:sz w:val="20"/>
                <w:szCs w:val="20"/>
              </w:rPr>
            </w:pPr>
            <w:r w:rsidRPr="001B1DB1">
              <w:rPr>
                <w:rFonts w:cs="Times New Roman"/>
                <w:bCs/>
                <w:sz w:val="20"/>
                <w:szCs w:val="20"/>
              </w:rPr>
              <w:t>10.6.</w:t>
            </w:r>
          </w:p>
        </w:tc>
        <w:tc>
          <w:tcPr>
            <w:tcW w:w="3544" w:type="dxa"/>
            <w:shd w:val="clear" w:color="auto" w:fill="auto"/>
          </w:tcPr>
          <w:p w14:paraId="15FD1B08" w14:textId="77777777" w:rsidR="008F3D35" w:rsidRPr="001B1DB1" w:rsidRDefault="008F3D35" w:rsidP="008F3D35">
            <w:pPr>
              <w:jc w:val="both"/>
            </w:pPr>
            <w:r w:rsidRPr="001B1DB1">
              <w:rPr>
                <w:sz w:val="20"/>
                <w:szCs w:val="20"/>
              </w:rPr>
              <w:t>UNESCO 1970. gada konvencijas par kultūras priekšmetu nelikumīgas ievešanas, izvešanas un īpašumtiesību maiņas aizliegšanu un novēršanu 50-gadei un UNIDROIT konvencijas 25-gadei veltīta starptautiska konference.</w:t>
            </w:r>
          </w:p>
        </w:tc>
        <w:tc>
          <w:tcPr>
            <w:tcW w:w="1559" w:type="dxa"/>
          </w:tcPr>
          <w:p w14:paraId="2A02CB6A" w14:textId="77777777" w:rsidR="008F3D35" w:rsidRPr="001B1DB1" w:rsidRDefault="008F3D35" w:rsidP="008F3D35">
            <w:r>
              <w:t xml:space="preserve">   </w:t>
            </w:r>
          </w:p>
        </w:tc>
        <w:tc>
          <w:tcPr>
            <w:tcW w:w="2551" w:type="dxa"/>
            <w:shd w:val="clear" w:color="auto" w:fill="auto"/>
          </w:tcPr>
          <w:p w14:paraId="48425C40" w14:textId="1F6A7907" w:rsidR="008F3D35" w:rsidRPr="001B1DB1" w:rsidRDefault="008F3D35" w:rsidP="008F3D35">
            <w:pPr>
              <w:jc w:val="both"/>
              <w:rPr>
                <w:rFonts w:cs="Times New Roman"/>
                <w:sz w:val="20"/>
                <w:szCs w:val="20"/>
              </w:rPr>
            </w:pPr>
            <w:r w:rsidRPr="001B1DB1">
              <w:rPr>
                <w:rFonts w:cs="Times New Roman"/>
                <w:sz w:val="20"/>
                <w:szCs w:val="20"/>
              </w:rPr>
              <w:t xml:space="preserve">Veicināta starptautiskā sadarbība un izpratne ar valstīm, kurām ir dažāds pieredzes līmenis </w:t>
            </w:r>
            <w:r w:rsidRPr="001B1DB1">
              <w:rPr>
                <w:sz w:val="20"/>
                <w:szCs w:val="20"/>
              </w:rPr>
              <w:t>NILLTPF un sankciju neizpildes</w:t>
            </w:r>
            <w:r w:rsidRPr="001B1DB1">
              <w:rPr>
                <w:rFonts w:cs="Times New Roman"/>
                <w:sz w:val="20"/>
                <w:szCs w:val="20"/>
              </w:rPr>
              <w:t xml:space="preserve"> novēršanas jomā, pieaicinot starptautiski atzītus ekspertus un pārstāvjus no </w:t>
            </w:r>
            <w:r>
              <w:t xml:space="preserve"> </w:t>
            </w:r>
            <w:r w:rsidRPr="00466C9E">
              <w:rPr>
                <w:rFonts w:cs="Times New Roman"/>
                <w:sz w:val="20"/>
                <w:szCs w:val="20"/>
              </w:rPr>
              <w:t xml:space="preserve">UNESCO </w:t>
            </w:r>
            <w:r w:rsidRPr="001B1DB1">
              <w:rPr>
                <w:rFonts w:cs="Times New Roman"/>
                <w:sz w:val="20"/>
                <w:szCs w:val="20"/>
              </w:rPr>
              <w:t>1970.</w:t>
            </w:r>
            <w:r>
              <w:rPr>
                <w:rFonts w:cs="Times New Roman"/>
                <w:sz w:val="20"/>
                <w:szCs w:val="20"/>
              </w:rPr>
              <w:t xml:space="preserve"> gada</w:t>
            </w:r>
            <w:r w:rsidRPr="001B1DB1">
              <w:rPr>
                <w:rFonts w:cs="Times New Roman"/>
                <w:sz w:val="20"/>
                <w:szCs w:val="20"/>
              </w:rPr>
              <w:t xml:space="preserve"> konvencijas dalībvalstīm. </w:t>
            </w:r>
          </w:p>
          <w:p w14:paraId="34D9ECAD" w14:textId="77777777" w:rsidR="008F3D35" w:rsidRPr="001B1DB1" w:rsidRDefault="008F3D35" w:rsidP="008F3D35"/>
        </w:tc>
        <w:tc>
          <w:tcPr>
            <w:tcW w:w="2694" w:type="dxa"/>
          </w:tcPr>
          <w:p w14:paraId="27597221" w14:textId="1EF363D0" w:rsidR="008F3D35" w:rsidRPr="001B1DB1" w:rsidRDefault="008F3D35" w:rsidP="008F3D35">
            <w:pPr>
              <w:jc w:val="both"/>
            </w:pPr>
            <w:r w:rsidRPr="001B1DB1">
              <w:rPr>
                <w:rFonts w:cs="Times New Roman"/>
                <w:sz w:val="20"/>
                <w:szCs w:val="20"/>
              </w:rPr>
              <w:t xml:space="preserve">1. </w:t>
            </w:r>
            <w:r>
              <w:rPr>
                <w:rFonts w:cs="Times New Roman"/>
                <w:sz w:val="20"/>
                <w:szCs w:val="20"/>
              </w:rPr>
              <w:t>N</w:t>
            </w:r>
            <w:r w:rsidRPr="001B1DB1">
              <w:rPr>
                <w:rFonts w:cs="Times New Roman"/>
                <w:sz w:val="20"/>
                <w:szCs w:val="20"/>
              </w:rPr>
              <w:t>oorganizēta starptautisk</w:t>
            </w:r>
            <w:r>
              <w:rPr>
                <w:rFonts w:cs="Times New Roman"/>
                <w:sz w:val="20"/>
                <w:szCs w:val="20"/>
              </w:rPr>
              <w:t>a</w:t>
            </w:r>
            <w:r w:rsidRPr="001B1DB1">
              <w:rPr>
                <w:rFonts w:cs="Times New Roman"/>
                <w:sz w:val="20"/>
                <w:szCs w:val="20"/>
              </w:rPr>
              <w:t xml:space="preserve"> konference kultūras mantojuma nelikumīgas aprites novēršanas jomā, kas ir veicinājusi pieredzes apmaiņu un sadarbību starp </w:t>
            </w:r>
            <w:r>
              <w:t xml:space="preserve"> </w:t>
            </w:r>
            <w:r w:rsidRPr="00466C9E">
              <w:rPr>
                <w:rFonts w:cs="Times New Roman"/>
                <w:sz w:val="20"/>
                <w:szCs w:val="20"/>
              </w:rPr>
              <w:t xml:space="preserve">UNESCO </w:t>
            </w:r>
            <w:r w:rsidRPr="001B1DB1">
              <w:rPr>
                <w:rFonts w:cs="Times New Roman"/>
                <w:sz w:val="20"/>
                <w:szCs w:val="20"/>
              </w:rPr>
              <w:t>1970. gada konvencijas dalībvalstīm, nostiprinot tiešāku savstarpējo tīkla izveidošanu.</w:t>
            </w:r>
          </w:p>
        </w:tc>
        <w:tc>
          <w:tcPr>
            <w:tcW w:w="1134" w:type="dxa"/>
            <w:shd w:val="clear" w:color="auto" w:fill="auto"/>
          </w:tcPr>
          <w:p w14:paraId="2D7C2831" w14:textId="77777777" w:rsidR="008F3D35" w:rsidRPr="001B1DB1" w:rsidRDefault="008F3D35" w:rsidP="008F3D35">
            <w:pPr>
              <w:jc w:val="center"/>
            </w:pPr>
            <w:r w:rsidRPr="001B1DB1">
              <w:rPr>
                <w:sz w:val="20"/>
                <w:szCs w:val="20"/>
              </w:rPr>
              <w:t>NKMP</w:t>
            </w:r>
          </w:p>
        </w:tc>
        <w:tc>
          <w:tcPr>
            <w:tcW w:w="1275" w:type="dxa"/>
            <w:shd w:val="clear" w:color="auto" w:fill="auto"/>
          </w:tcPr>
          <w:p w14:paraId="0F1EAF3A" w14:textId="77777777" w:rsidR="008F3D35" w:rsidRPr="001B1DB1" w:rsidRDefault="008F3D35" w:rsidP="008F3D35">
            <w:pPr>
              <w:jc w:val="center"/>
            </w:pPr>
            <w:r w:rsidRPr="001B1DB1">
              <w:rPr>
                <w:sz w:val="20"/>
                <w:szCs w:val="20"/>
              </w:rPr>
              <w:t>KM</w:t>
            </w:r>
          </w:p>
        </w:tc>
        <w:tc>
          <w:tcPr>
            <w:tcW w:w="1418" w:type="dxa"/>
            <w:shd w:val="clear" w:color="auto" w:fill="auto"/>
          </w:tcPr>
          <w:p w14:paraId="27350C3A" w14:textId="6AE2CF3D" w:rsidR="008F3D35" w:rsidRPr="001B1DB1" w:rsidRDefault="008F3D35" w:rsidP="008F3D35">
            <w:pPr>
              <w:jc w:val="center"/>
            </w:pPr>
            <w:r>
              <w:rPr>
                <w:rFonts w:cs="Times New Roman"/>
                <w:bCs/>
                <w:sz w:val="20"/>
                <w:szCs w:val="20"/>
              </w:rPr>
              <w:t>31.12.</w:t>
            </w:r>
            <w:r w:rsidRPr="001B1DB1">
              <w:rPr>
                <w:rFonts w:cs="Times New Roman"/>
                <w:bCs/>
                <w:sz w:val="20"/>
                <w:szCs w:val="20"/>
              </w:rPr>
              <w:t>2020</w:t>
            </w:r>
            <w:r>
              <w:rPr>
                <w:rFonts w:cs="Times New Roman"/>
                <w:bCs/>
                <w:sz w:val="20"/>
                <w:szCs w:val="20"/>
              </w:rPr>
              <w:t>.</w:t>
            </w:r>
          </w:p>
        </w:tc>
      </w:tr>
      <w:tr w:rsidR="008F3D35" w:rsidRPr="001B1DB1" w14:paraId="65538F5B" w14:textId="77777777" w:rsidTr="00817867">
        <w:trPr>
          <w:trHeight w:val="543"/>
        </w:trPr>
        <w:tc>
          <w:tcPr>
            <w:tcW w:w="15026" w:type="dxa"/>
            <w:gridSpan w:val="8"/>
          </w:tcPr>
          <w:p w14:paraId="2F92D024" w14:textId="77777777" w:rsidR="00AA6241" w:rsidRDefault="008F3D35" w:rsidP="00AA6241">
            <w:pPr>
              <w:rPr>
                <w:rFonts w:cs="Times New Roman"/>
                <w:b/>
                <w:bCs/>
                <w:sz w:val="20"/>
                <w:szCs w:val="20"/>
              </w:rPr>
            </w:pPr>
            <w:r w:rsidRPr="001B1DB1">
              <w:rPr>
                <w:rFonts w:cs="Times New Roman"/>
                <w:b/>
                <w:bCs/>
                <w:sz w:val="20"/>
                <w:szCs w:val="20"/>
              </w:rPr>
              <w:t>Izpilde</w:t>
            </w:r>
          </w:p>
          <w:p w14:paraId="3CB4209A" w14:textId="22C15F5C" w:rsidR="006F2D9B" w:rsidRDefault="006F2D9B" w:rsidP="00AA6241">
            <w:pPr>
              <w:jc w:val="both"/>
              <w:rPr>
                <w:rFonts w:cs="Times New Roman"/>
                <w:bCs/>
                <w:sz w:val="20"/>
                <w:szCs w:val="20"/>
              </w:rPr>
            </w:pPr>
            <w:r w:rsidRPr="006F2D9B">
              <w:rPr>
                <w:rFonts w:cs="Times New Roman"/>
                <w:bCs/>
                <w:sz w:val="20"/>
                <w:szCs w:val="20"/>
              </w:rPr>
              <w:t>Noorganizēta starptautiska konference kultūras mantojuma nelikumīgas aprites novēršanas jomā, kas ir veicinājusi pieredzes apmaiņu un sadarbību starp  UNESCO 1970. gada konvencijas dalībvalstīm, nostiprinot tiešāku savstarpējo tīkla izveidošanu.</w:t>
            </w:r>
          </w:p>
        </w:tc>
      </w:tr>
      <w:tr w:rsidR="008F3D35" w:rsidRPr="001B1DB1" w14:paraId="3D9C832E" w14:textId="77777777" w:rsidTr="001B2BEE">
        <w:trPr>
          <w:trHeight w:val="543"/>
        </w:trPr>
        <w:tc>
          <w:tcPr>
            <w:tcW w:w="851" w:type="dxa"/>
          </w:tcPr>
          <w:p w14:paraId="7F6A2403" w14:textId="60437B15" w:rsidR="008F3D35" w:rsidRPr="001B1DB1" w:rsidRDefault="008F3D35" w:rsidP="008F3D35">
            <w:pPr>
              <w:jc w:val="center"/>
              <w:rPr>
                <w:rFonts w:cs="Times New Roman"/>
                <w:bCs/>
                <w:sz w:val="20"/>
                <w:szCs w:val="20"/>
              </w:rPr>
            </w:pPr>
            <w:r w:rsidRPr="001B1DB1">
              <w:rPr>
                <w:rFonts w:cs="Times New Roman"/>
                <w:bCs/>
                <w:sz w:val="20"/>
                <w:szCs w:val="20"/>
              </w:rPr>
              <w:lastRenderedPageBreak/>
              <w:t>10.</w:t>
            </w:r>
            <w:r>
              <w:rPr>
                <w:rFonts w:cs="Times New Roman"/>
                <w:bCs/>
                <w:sz w:val="20"/>
                <w:szCs w:val="20"/>
              </w:rPr>
              <w:t>12</w:t>
            </w:r>
            <w:r w:rsidRPr="001B1DB1">
              <w:rPr>
                <w:rFonts w:cs="Times New Roman"/>
                <w:bCs/>
                <w:sz w:val="20"/>
                <w:szCs w:val="20"/>
              </w:rPr>
              <w:t>.</w:t>
            </w:r>
          </w:p>
        </w:tc>
        <w:tc>
          <w:tcPr>
            <w:tcW w:w="3544" w:type="dxa"/>
            <w:shd w:val="clear" w:color="auto" w:fill="auto"/>
          </w:tcPr>
          <w:p w14:paraId="25F4722A" w14:textId="3308F2B4" w:rsidR="008F3D35" w:rsidRPr="001B1DB1" w:rsidRDefault="008F3D35" w:rsidP="008F3D35">
            <w:pPr>
              <w:jc w:val="both"/>
            </w:pPr>
            <w:r w:rsidRPr="001B1DB1">
              <w:rPr>
                <w:rFonts w:cs="Times New Roman"/>
                <w:sz w:val="20"/>
                <w:szCs w:val="20"/>
              </w:rPr>
              <w:t>Izstrādāt un ieviest</w:t>
            </w:r>
            <w:r>
              <w:rPr>
                <w:rFonts w:cs="Times New Roman"/>
                <w:sz w:val="20"/>
                <w:szCs w:val="20"/>
              </w:rPr>
              <w:t xml:space="preserve"> kritērijus</w:t>
            </w:r>
            <w:r w:rsidRPr="001B1DB1">
              <w:rPr>
                <w:rFonts w:cs="Times New Roman"/>
                <w:sz w:val="20"/>
                <w:szCs w:val="20"/>
              </w:rPr>
              <w:t xml:space="preserve"> kredītiestāžu sankciju</w:t>
            </w:r>
            <w:r>
              <w:rPr>
                <w:rFonts w:cs="Times New Roman"/>
                <w:sz w:val="20"/>
                <w:szCs w:val="20"/>
              </w:rPr>
              <w:t xml:space="preserve"> risku vērtēšanai</w:t>
            </w:r>
            <w:r w:rsidRPr="001B1DB1">
              <w:rPr>
                <w:rFonts w:cs="Times New Roman"/>
                <w:sz w:val="20"/>
                <w:szCs w:val="20"/>
              </w:rPr>
              <w:t>.</w:t>
            </w:r>
          </w:p>
        </w:tc>
        <w:tc>
          <w:tcPr>
            <w:tcW w:w="1559" w:type="dxa"/>
          </w:tcPr>
          <w:p w14:paraId="2DCC7E77" w14:textId="7953B5E2" w:rsidR="008F3D35" w:rsidRPr="001B1DB1" w:rsidRDefault="008F3D35" w:rsidP="008F3D35">
            <w:r>
              <w:t xml:space="preserve">   </w:t>
            </w:r>
          </w:p>
        </w:tc>
        <w:tc>
          <w:tcPr>
            <w:tcW w:w="2551" w:type="dxa"/>
            <w:shd w:val="clear" w:color="auto" w:fill="auto"/>
          </w:tcPr>
          <w:p w14:paraId="191C6078" w14:textId="0A5925EB" w:rsidR="008F3D35" w:rsidRPr="001B1DB1" w:rsidRDefault="008F3D35" w:rsidP="008F3D35">
            <w:pPr>
              <w:jc w:val="both"/>
              <w:rPr>
                <w:sz w:val="20"/>
                <w:szCs w:val="20"/>
              </w:rPr>
            </w:pPr>
            <w:r w:rsidRPr="001B1DB1">
              <w:rPr>
                <w:sz w:val="20"/>
                <w:szCs w:val="20"/>
              </w:rPr>
              <w:t>Ieviest</w:t>
            </w:r>
            <w:r>
              <w:rPr>
                <w:sz w:val="20"/>
                <w:szCs w:val="20"/>
              </w:rPr>
              <w:t>i</w:t>
            </w:r>
            <w:r w:rsidRPr="001B1DB1">
              <w:rPr>
                <w:sz w:val="20"/>
                <w:szCs w:val="20"/>
              </w:rPr>
              <w:t xml:space="preserve"> vienot</w:t>
            </w:r>
            <w:r>
              <w:rPr>
                <w:sz w:val="20"/>
                <w:szCs w:val="20"/>
              </w:rPr>
              <w:t>i kritēriji</w:t>
            </w:r>
            <w:r w:rsidRPr="001B1DB1">
              <w:rPr>
                <w:sz w:val="20"/>
                <w:szCs w:val="20"/>
              </w:rPr>
              <w:t xml:space="preserve"> kredītiestāžu riska </w:t>
            </w:r>
            <w:r>
              <w:rPr>
                <w:sz w:val="20"/>
                <w:szCs w:val="20"/>
              </w:rPr>
              <w:t xml:space="preserve">vērtēšanai </w:t>
            </w:r>
            <w:r w:rsidRPr="001B1DB1">
              <w:rPr>
                <w:sz w:val="20"/>
                <w:szCs w:val="20"/>
              </w:rPr>
              <w:t xml:space="preserve">sankciju atbilstības jomā. </w:t>
            </w:r>
          </w:p>
        </w:tc>
        <w:tc>
          <w:tcPr>
            <w:tcW w:w="2694" w:type="dxa"/>
          </w:tcPr>
          <w:p w14:paraId="70AD88C6" w14:textId="191051E2" w:rsidR="008F3D35" w:rsidRPr="001B1DB1" w:rsidRDefault="008F3D35" w:rsidP="008F3D35">
            <w:pPr>
              <w:jc w:val="both"/>
              <w:rPr>
                <w:sz w:val="20"/>
                <w:szCs w:val="20"/>
              </w:rPr>
            </w:pPr>
            <w:r w:rsidRPr="001B1DB1">
              <w:rPr>
                <w:sz w:val="20"/>
                <w:szCs w:val="20"/>
              </w:rPr>
              <w:t>Izstrādāt</w:t>
            </w:r>
            <w:r>
              <w:rPr>
                <w:sz w:val="20"/>
                <w:szCs w:val="20"/>
              </w:rPr>
              <w:t>i un ieviesti kritēriji.</w:t>
            </w:r>
          </w:p>
        </w:tc>
        <w:tc>
          <w:tcPr>
            <w:tcW w:w="1134" w:type="dxa"/>
            <w:shd w:val="clear" w:color="auto" w:fill="auto"/>
          </w:tcPr>
          <w:p w14:paraId="4C650213" w14:textId="77777777" w:rsidR="008F3D35" w:rsidRPr="001B1DB1" w:rsidRDefault="008F3D35" w:rsidP="008F3D35">
            <w:pPr>
              <w:jc w:val="center"/>
              <w:rPr>
                <w:sz w:val="20"/>
                <w:szCs w:val="20"/>
              </w:rPr>
            </w:pPr>
            <w:r w:rsidRPr="001B1DB1">
              <w:rPr>
                <w:sz w:val="20"/>
                <w:szCs w:val="20"/>
              </w:rPr>
              <w:t>FKTK</w:t>
            </w:r>
          </w:p>
        </w:tc>
        <w:tc>
          <w:tcPr>
            <w:tcW w:w="1275" w:type="dxa"/>
            <w:shd w:val="clear" w:color="auto" w:fill="auto"/>
          </w:tcPr>
          <w:p w14:paraId="5A0D6D57" w14:textId="77777777" w:rsidR="008F3D35" w:rsidRPr="001B1DB1" w:rsidRDefault="008F3D35" w:rsidP="008F3D35">
            <w:pPr>
              <w:jc w:val="center"/>
              <w:rPr>
                <w:sz w:val="20"/>
                <w:szCs w:val="20"/>
              </w:rPr>
            </w:pPr>
          </w:p>
        </w:tc>
        <w:tc>
          <w:tcPr>
            <w:tcW w:w="1418" w:type="dxa"/>
            <w:shd w:val="clear" w:color="auto" w:fill="auto"/>
          </w:tcPr>
          <w:p w14:paraId="502885A9" w14:textId="222216B5" w:rsidR="008F3D35" w:rsidRPr="001B1DB1" w:rsidRDefault="008F3D35" w:rsidP="008F3D35">
            <w:pPr>
              <w:jc w:val="center"/>
              <w:rPr>
                <w:sz w:val="20"/>
                <w:szCs w:val="20"/>
              </w:rPr>
            </w:pPr>
            <w:r w:rsidRPr="001B1DB1">
              <w:rPr>
                <w:sz w:val="20"/>
                <w:szCs w:val="20"/>
              </w:rPr>
              <w:t>31.</w:t>
            </w:r>
            <w:r>
              <w:rPr>
                <w:sz w:val="20"/>
                <w:szCs w:val="20"/>
              </w:rPr>
              <w:t>12</w:t>
            </w:r>
            <w:r w:rsidRPr="001B1DB1">
              <w:rPr>
                <w:sz w:val="20"/>
                <w:szCs w:val="20"/>
              </w:rPr>
              <w:t>.2020.</w:t>
            </w:r>
          </w:p>
        </w:tc>
      </w:tr>
      <w:tr w:rsidR="008F3D35" w:rsidRPr="001B1DB1" w14:paraId="351650C8" w14:textId="77777777" w:rsidTr="00867339">
        <w:trPr>
          <w:trHeight w:val="543"/>
        </w:trPr>
        <w:tc>
          <w:tcPr>
            <w:tcW w:w="15026" w:type="dxa"/>
            <w:gridSpan w:val="8"/>
          </w:tcPr>
          <w:p w14:paraId="0F3C747E" w14:textId="77777777" w:rsidR="00CB6A38" w:rsidRPr="00B25625" w:rsidRDefault="008F3D35" w:rsidP="00CB6A38">
            <w:pPr>
              <w:rPr>
                <w:rFonts w:cs="Times New Roman"/>
                <w:b/>
                <w:bCs/>
                <w:sz w:val="20"/>
                <w:szCs w:val="20"/>
              </w:rPr>
            </w:pPr>
            <w:r w:rsidRPr="00B25625">
              <w:rPr>
                <w:rFonts w:cs="Times New Roman"/>
                <w:b/>
                <w:bCs/>
                <w:sz w:val="20"/>
                <w:szCs w:val="20"/>
              </w:rPr>
              <w:t>Izpilde</w:t>
            </w:r>
          </w:p>
          <w:p w14:paraId="496EA755" w14:textId="59863A59" w:rsidR="008F3D35" w:rsidRPr="00B25625" w:rsidRDefault="00B25625" w:rsidP="00CB6A38">
            <w:pPr>
              <w:jc w:val="both"/>
              <w:rPr>
                <w:rFonts w:cs="Times New Roman"/>
                <w:sz w:val="20"/>
                <w:szCs w:val="20"/>
              </w:rPr>
            </w:pPr>
            <w:r w:rsidRPr="00B25625">
              <w:rPr>
                <w:rFonts w:cs="Times New Roman"/>
                <w:sz w:val="20"/>
                <w:szCs w:val="20"/>
              </w:rPr>
              <w:t>FKTK</w:t>
            </w:r>
            <w:r>
              <w:rPr>
                <w:rFonts w:cs="Times New Roman"/>
                <w:sz w:val="20"/>
                <w:szCs w:val="20"/>
              </w:rPr>
              <w:t xml:space="preserve"> </w:t>
            </w:r>
            <w:r w:rsidRPr="00B25625">
              <w:rPr>
                <w:rFonts w:cs="Times New Roman"/>
                <w:sz w:val="20"/>
                <w:szCs w:val="20"/>
              </w:rPr>
              <w:t xml:space="preserve">2020. gadā ir izstrādājusi un uzsākusi pielietot jaunu klātienes pārbaužu metodoloģiju NILLTPFN un sankciju riska pārvaldības jomā, kas aptver 10 galvenos iekšējās kontroles sistēmas elementus, tai skaitā ietver arī sankciju riska novērtējuma </w:t>
            </w:r>
            <w:proofErr w:type="spellStart"/>
            <w:r w:rsidRPr="00B25625">
              <w:rPr>
                <w:rFonts w:cs="Times New Roman"/>
                <w:sz w:val="20"/>
                <w:szCs w:val="20"/>
              </w:rPr>
              <w:t>izvērtējumu</w:t>
            </w:r>
            <w:proofErr w:type="spellEnd"/>
            <w:r w:rsidRPr="00B25625">
              <w:rPr>
                <w:rFonts w:cs="Times New Roman"/>
                <w:sz w:val="20"/>
                <w:szCs w:val="20"/>
              </w:rPr>
              <w:t xml:space="preserve"> un sankciju </w:t>
            </w:r>
            <w:proofErr w:type="spellStart"/>
            <w:r w:rsidRPr="00B25625">
              <w:rPr>
                <w:rFonts w:cs="Times New Roman"/>
                <w:sz w:val="20"/>
                <w:szCs w:val="20"/>
              </w:rPr>
              <w:t>skrīniga</w:t>
            </w:r>
            <w:proofErr w:type="spellEnd"/>
            <w:r w:rsidRPr="00B25625">
              <w:rPr>
                <w:rFonts w:cs="Times New Roman"/>
                <w:sz w:val="20"/>
                <w:szCs w:val="20"/>
              </w:rPr>
              <w:t xml:space="preserve"> efektivitātes </w:t>
            </w:r>
            <w:proofErr w:type="spellStart"/>
            <w:r w:rsidRPr="00B25625">
              <w:rPr>
                <w:rFonts w:cs="Times New Roman"/>
                <w:sz w:val="20"/>
                <w:szCs w:val="20"/>
              </w:rPr>
              <w:t>izvērtējumu</w:t>
            </w:r>
            <w:proofErr w:type="spellEnd"/>
            <w:r w:rsidR="00CB6A38" w:rsidRPr="00B25625">
              <w:rPr>
                <w:rFonts w:cs="Times New Roman"/>
                <w:sz w:val="20"/>
                <w:szCs w:val="20"/>
              </w:rPr>
              <w:t>.</w:t>
            </w:r>
          </w:p>
        </w:tc>
      </w:tr>
      <w:tr w:rsidR="008F3D35" w:rsidRPr="001B1DB1" w14:paraId="57415D78" w14:textId="77777777" w:rsidTr="001B2BEE">
        <w:trPr>
          <w:trHeight w:val="543"/>
        </w:trPr>
        <w:tc>
          <w:tcPr>
            <w:tcW w:w="851" w:type="dxa"/>
          </w:tcPr>
          <w:p w14:paraId="38614CEF" w14:textId="17D5C22D" w:rsidR="008F3D35" w:rsidRPr="001B1DB1" w:rsidRDefault="008F3D35" w:rsidP="008F3D35">
            <w:pPr>
              <w:jc w:val="center"/>
              <w:rPr>
                <w:rFonts w:cs="Times New Roman"/>
                <w:b/>
                <w:sz w:val="20"/>
                <w:szCs w:val="20"/>
                <w:highlight w:val="yellow"/>
              </w:rPr>
            </w:pPr>
            <w:r w:rsidRPr="001B1DB1">
              <w:rPr>
                <w:rFonts w:cs="Times New Roman"/>
                <w:bCs/>
                <w:sz w:val="20"/>
                <w:szCs w:val="20"/>
              </w:rPr>
              <w:t>10.</w:t>
            </w:r>
            <w:r>
              <w:rPr>
                <w:rFonts w:cs="Times New Roman"/>
                <w:bCs/>
                <w:sz w:val="20"/>
                <w:szCs w:val="20"/>
              </w:rPr>
              <w:t>13</w:t>
            </w:r>
            <w:r w:rsidRPr="001B1DB1">
              <w:rPr>
                <w:rFonts w:cs="Times New Roman"/>
                <w:bCs/>
                <w:sz w:val="20"/>
                <w:szCs w:val="20"/>
              </w:rPr>
              <w:t>.</w:t>
            </w:r>
          </w:p>
        </w:tc>
        <w:tc>
          <w:tcPr>
            <w:tcW w:w="3544" w:type="dxa"/>
            <w:shd w:val="clear" w:color="auto" w:fill="auto"/>
          </w:tcPr>
          <w:p w14:paraId="24845972" w14:textId="3DB4C70A" w:rsidR="008F3D35" w:rsidRDefault="008F3D35" w:rsidP="008F3D35">
            <w:pPr>
              <w:jc w:val="both"/>
              <w:rPr>
                <w:rFonts w:cs="Times New Roman"/>
                <w:sz w:val="20"/>
                <w:szCs w:val="20"/>
              </w:rPr>
            </w:pPr>
            <w:r>
              <w:rPr>
                <w:rFonts w:cs="Times New Roman"/>
                <w:sz w:val="20"/>
                <w:szCs w:val="20"/>
              </w:rPr>
              <w:t>Pilnveidot kārtību, kas paredz sankciju riska ņemšanu vērā, nosakot kredītiestādes riska klasifikāciju.</w:t>
            </w:r>
          </w:p>
          <w:p w14:paraId="07D142C5" w14:textId="4475E3DF" w:rsidR="008F3D35" w:rsidRPr="001B1DB1" w:rsidRDefault="008F3D35" w:rsidP="008F3D35">
            <w:pPr>
              <w:jc w:val="both"/>
              <w:rPr>
                <w:rFonts w:cs="Times New Roman"/>
                <w:b/>
                <w:sz w:val="20"/>
                <w:szCs w:val="20"/>
                <w:highlight w:val="yellow"/>
              </w:rPr>
            </w:pPr>
          </w:p>
        </w:tc>
        <w:tc>
          <w:tcPr>
            <w:tcW w:w="1559" w:type="dxa"/>
          </w:tcPr>
          <w:p w14:paraId="01FB4029" w14:textId="79B3B5C7" w:rsidR="008F3D35" w:rsidRPr="001B1DB1" w:rsidRDefault="008F3D35" w:rsidP="008F3D35">
            <w:pPr>
              <w:rPr>
                <w:rFonts w:cs="Times New Roman"/>
                <w:sz w:val="20"/>
                <w:szCs w:val="20"/>
              </w:rPr>
            </w:pPr>
            <w:r>
              <w:rPr>
                <w:rFonts w:cs="Times New Roman"/>
                <w:sz w:val="20"/>
                <w:szCs w:val="20"/>
              </w:rPr>
              <w:t xml:space="preserve"> </w:t>
            </w:r>
          </w:p>
        </w:tc>
        <w:tc>
          <w:tcPr>
            <w:tcW w:w="2551" w:type="dxa"/>
            <w:shd w:val="clear" w:color="auto" w:fill="auto"/>
          </w:tcPr>
          <w:p w14:paraId="1ED9080A" w14:textId="7E519657" w:rsidR="008F3D35" w:rsidRPr="001B1DB1" w:rsidRDefault="008F3D35" w:rsidP="008F3D35">
            <w:pPr>
              <w:jc w:val="both"/>
              <w:rPr>
                <w:rFonts w:cs="Times New Roman"/>
                <w:sz w:val="20"/>
                <w:szCs w:val="20"/>
              </w:rPr>
            </w:pPr>
            <w:r w:rsidRPr="001B1DB1">
              <w:rPr>
                <w:sz w:val="20"/>
                <w:szCs w:val="20"/>
              </w:rPr>
              <w:t xml:space="preserve">Nodrošināta </w:t>
            </w:r>
            <w:r>
              <w:rPr>
                <w:sz w:val="20"/>
                <w:szCs w:val="20"/>
              </w:rPr>
              <w:t>sankciju riska ietekme kredītiestādes riska klasifikācijā.</w:t>
            </w:r>
          </w:p>
        </w:tc>
        <w:tc>
          <w:tcPr>
            <w:tcW w:w="2694" w:type="dxa"/>
          </w:tcPr>
          <w:p w14:paraId="07162262" w14:textId="1B017BF9" w:rsidR="008F3D35" w:rsidRPr="001B1DB1" w:rsidRDefault="008F3D35" w:rsidP="008F3D35">
            <w:pPr>
              <w:jc w:val="both"/>
              <w:rPr>
                <w:sz w:val="20"/>
                <w:szCs w:val="20"/>
              </w:rPr>
            </w:pPr>
            <w:r>
              <w:rPr>
                <w:sz w:val="20"/>
                <w:szCs w:val="20"/>
              </w:rPr>
              <w:t>Pilnveidota kredītiestāžu risku klasifikācija.</w:t>
            </w:r>
          </w:p>
        </w:tc>
        <w:tc>
          <w:tcPr>
            <w:tcW w:w="1134" w:type="dxa"/>
            <w:shd w:val="clear" w:color="auto" w:fill="auto"/>
          </w:tcPr>
          <w:p w14:paraId="7731BD4D" w14:textId="77777777" w:rsidR="008F3D35" w:rsidRPr="001B1DB1" w:rsidRDefault="008F3D35" w:rsidP="008F3D35">
            <w:pPr>
              <w:jc w:val="center"/>
              <w:rPr>
                <w:sz w:val="20"/>
                <w:szCs w:val="20"/>
              </w:rPr>
            </w:pPr>
            <w:r w:rsidRPr="001B1DB1">
              <w:rPr>
                <w:sz w:val="20"/>
                <w:szCs w:val="20"/>
              </w:rPr>
              <w:t>FKTK</w:t>
            </w:r>
          </w:p>
        </w:tc>
        <w:tc>
          <w:tcPr>
            <w:tcW w:w="1275" w:type="dxa"/>
            <w:shd w:val="clear" w:color="auto" w:fill="auto"/>
          </w:tcPr>
          <w:p w14:paraId="4A38198D" w14:textId="77777777" w:rsidR="008F3D35" w:rsidRPr="001B1DB1" w:rsidRDefault="008F3D35" w:rsidP="008F3D35">
            <w:pPr>
              <w:jc w:val="center"/>
              <w:rPr>
                <w:sz w:val="20"/>
                <w:szCs w:val="20"/>
              </w:rPr>
            </w:pPr>
          </w:p>
        </w:tc>
        <w:tc>
          <w:tcPr>
            <w:tcW w:w="1418" w:type="dxa"/>
            <w:shd w:val="clear" w:color="auto" w:fill="auto"/>
          </w:tcPr>
          <w:p w14:paraId="65390352" w14:textId="22FDB662" w:rsidR="008F3D35" w:rsidRPr="001B1DB1" w:rsidRDefault="008F3D35" w:rsidP="008F3D35">
            <w:pPr>
              <w:jc w:val="center"/>
              <w:rPr>
                <w:sz w:val="20"/>
                <w:szCs w:val="20"/>
              </w:rPr>
            </w:pPr>
            <w:r w:rsidRPr="001B1DB1">
              <w:rPr>
                <w:sz w:val="20"/>
                <w:szCs w:val="20"/>
              </w:rPr>
              <w:t>31.</w:t>
            </w:r>
            <w:r>
              <w:rPr>
                <w:sz w:val="20"/>
                <w:szCs w:val="20"/>
              </w:rPr>
              <w:t>12</w:t>
            </w:r>
            <w:r w:rsidRPr="001B1DB1">
              <w:rPr>
                <w:sz w:val="20"/>
                <w:szCs w:val="20"/>
              </w:rPr>
              <w:t>.2020.</w:t>
            </w:r>
          </w:p>
        </w:tc>
      </w:tr>
      <w:tr w:rsidR="00CB6A38" w:rsidRPr="001B1DB1" w14:paraId="7DCB638E" w14:textId="77777777" w:rsidTr="00637A82">
        <w:trPr>
          <w:trHeight w:val="543"/>
        </w:trPr>
        <w:tc>
          <w:tcPr>
            <w:tcW w:w="15026" w:type="dxa"/>
            <w:gridSpan w:val="8"/>
          </w:tcPr>
          <w:p w14:paraId="5FB65E6F" w14:textId="77777777" w:rsidR="00CB6A38" w:rsidRDefault="00CB6A38" w:rsidP="00CB6A38">
            <w:pPr>
              <w:rPr>
                <w:rFonts w:cs="Times New Roman"/>
                <w:b/>
                <w:bCs/>
                <w:sz w:val="20"/>
                <w:szCs w:val="20"/>
              </w:rPr>
            </w:pPr>
            <w:r w:rsidRPr="001B1DB1">
              <w:rPr>
                <w:rFonts w:cs="Times New Roman"/>
                <w:b/>
                <w:bCs/>
                <w:sz w:val="20"/>
                <w:szCs w:val="20"/>
              </w:rPr>
              <w:t>Izpilde</w:t>
            </w:r>
          </w:p>
          <w:p w14:paraId="7068C145" w14:textId="71551FDD" w:rsidR="00CB6A38" w:rsidRPr="001B1DB1" w:rsidRDefault="00136B69" w:rsidP="00CB6A38">
            <w:pPr>
              <w:jc w:val="both"/>
              <w:rPr>
                <w:sz w:val="20"/>
                <w:szCs w:val="20"/>
              </w:rPr>
            </w:pPr>
            <w:r w:rsidRPr="00136B69">
              <w:rPr>
                <w:rFonts w:cs="Times New Roman"/>
                <w:sz w:val="20"/>
                <w:szCs w:val="20"/>
              </w:rPr>
              <w:t>FKTK</w:t>
            </w:r>
            <w:r>
              <w:rPr>
                <w:rFonts w:cs="Times New Roman"/>
                <w:sz w:val="20"/>
                <w:szCs w:val="20"/>
              </w:rPr>
              <w:t xml:space="preserve"> </w:t>
            </w:r>
            <w:r w:rsidRPr="00136B69">
              <w:rPr>
                <w:rFonts w:cs="Times New Roman"/>
                <w:sz w:val="20"/>
                <w:szCs w:val="20"/>
              </w:rPr>
              <w:t>2020. gadā ir aktualizējusi banku risku klasifikāciju, kur tiek ņemta vērā arī iestādes ģeogrāfiskā riska ekspozīcija un iekšējās kontroles sistēmas kvalitāte sankciju jomā.</w:t>
            </w:r>
          </w:p>
        </w:tc>
      </w:tr>
      <w:tr w:rsidR="00CB6A38" w:rsidRPr="001B1DB1" w14:paraId="4F5332A2" w14:textId="77777777" w:rsidTr="001B2BEE">
        <w:trPr>
          <w:trHeight w:val="543"/>
        </w:trPr>
        <w:tc>
          <w:tcPr>
            <w:tcW w:w="851" w:type="dxa"/>
          </w:tcPr>
          <w:p w14:paraId="01ABA807" w14:textId="7E870140" w:rsidR="00CB6A38" w:rsidRPr="001B1DB1" w:rsidRDefault="00CB6A38" w:rsidP="00CB6A38">
            <w:pPr>
              <w:jc w:val="center"/>
              <w:rPr>
                <w:rFonts w:cs="Times New Roman"/>
                <w:bCs/>
                <w:sz w:val="20"/>
                <w:szCs w:val="20"/>
              </w:rPr>
            </w:pPr>
            <w:r w:rsidRPr="001B1DB1">
              <w:rPr>
                <w:rFonts w:cs="Times New Roman"/>
                <w:bCs/>
                <w:sz w:val="20"/>
                <w:szCs w:val="20"/>
              </w:rPr>
              <w:t>10.</w:t>
            </w:r>
            <w:r>
              <w:rPr>
                <w:rFonts w:cs="Times New Roman"/>
                <w:bCs/>
                <w:sz w:val="20"/>
                <w:szCs w:val="20"/>
              </w:rPr>
              <w:t>14</w:t>
            </w:r>
            <w:r w:rsidRPr="001B1DB1">
              <w:rPr>
                <w:rFonts w:cs="Times New Roman"/>
                <w:bCs/>
                <w:sz w:val="20"/>
                <w:szCs w:val="20"/>
              </w:rPr>
              <w:t>.</w:t>
            </w:r>
          </w:p>
        </w:tc>
        <w:tc>
          <w:tcPr>
            <w:tcW w:w="3544" w:type="dxa"/>
            <w:shd w:val="clear" w:color="auto" w:fill="auto"/>
          </w:tcPr>
          <w:p w14:paraId="3159C972" w14:textId="7A4A868B" w:rsidR="00CB6A38" w:rsidRPr="001B1DB1" w:rsidRDefault="00CB6A38" w:rsidP="00CB6A38">
            <w:pPr>
              <w:pStyle w:val="ListParagraph"/>
              <w:ind w:left="0"/>
              <w:jc w:val="both"/>
              <w:rPr>
                <w:rFonts w:cs="Times New Roman"/>
                <w:sz w:val="20"/>
                <w:szCs w:val="20"/>
              </w:rPr>
            </w:pPr>
            <w:r w:rsidRPr="001B1DB1">
              <w:rPr>
                <w:rFonts w:cs="Times New Roman"/>
                <w:sz w:val="20"/>
                <w:szCs w:val="20"/>
              </w:rPr>
              <w:t xml:space="preserve">Pilnveidot sankciju atbilstības uzraudzības pasākumu plānošanas un izpildes kārtību, pamatojoties uz sankciju riska </w:t>
            </w:r>
            <w:r>
              <w:rPr>
                <w:rFonts w:cs="Times New Roman"/>
                <w:sz w:val="20"/>
                <w:szCs w:val="20"/>
              </w:rPr>
              <w:t>vērtējumu</w:t>
            </w:r>
            <w:r w:rsidRPr="001B1DB1">
              <w:rPr>
                <w:rFonts w:cs="Times New Roman"/>
                <w:sz w:val="20"/>
                <w:szCs w:val="20"/>
              </w:rPr>
              <w:t>.</w:t>
            </w:r>
          </w:p>
        </w:tc>
        <w:tc>
          <w:tcPr>
            <w:tcW w:w="1559" w:type="dxa"/>
          </w:tcPr>
          <w:p w14:paraId="5C91D708" w14:textId="77777777" w:rsidR="00CB6A38" w:rsidRPr="001B1DB1" w:rsidRDefault="00CB6A38" w:rsidP="00CB6A38">
            <w:pPr>
              <w:rPr>
                <w:rFonts w:cs="Times New Roman"/>
                <w:sz w:val="20"/>
                <w:szCs w:val="20"/>
              </w:rPr>
            </w:pPr>
            <w:r>
              <w:rPr>
                <w:rFonts w:cs="Times New Roman"/>
                <w:sz w:val="20"/>
                <w:szCs w:val="20"/>
              </w:rPr>
              <w:t xml:space="preserve"> </w:t>
            </w:r>
          </w:p>
        </w:tc>
        <w:tc>
          <w:tcPr>
            <w:tcW w:w="2551" w:type="dxa"/>
            <w:shd w:val="clear" w:color="auto" w:fill="auto"/>
          </w:tcPr>
          <w:p w14:paraId="61F33CB9" w14:textId="312B3E39" w:rsidR="00CB6A38" w:rsidRPr="001B1DB1" w:rsidRDefault="00CB6A38" w:rsidP="00CB6A38">
            <w:pPr>
              <w:jc w:val="both"/>
              <w:rPr>
                <w:rFonts w:cs="Times New Roman"/>
                <w:sz w:val="20"/>
                <w:szCs w:val="20"/>
              </w:rPr>
            </w:pPr>
            <w:r w:rsidRPr="001B1DB1">
              <w:rPr>
                <w:sz w:val="20"/>
                <w:szCs w:val="20"/>
              </w:rPr>
              <w:t>Attīstīta ar risku pamatota uzraudzības pasākumu plānošanas un izpildes kārtība.</w:t>
            </w:r>
          </w:p>
        </w:tc>
        <w:tc>
          <w:tcPr>
            <w:tcW w:w="2694" w:type="dxa"/>
          </w:tcPr>
          <w:p w14:paraId="4B6D77D9" w14:textId="62FEF136" w:rsidR="00CB6A38" w:rsidRPr="001B1DB1" w:rsidRDefault="00CB6A38" w:rsidP="00CB6A38">
            <w:pPr>
              <w:jc w:val="both"/>
              <w:rPr>
                <w:sz w:val="20"/>
                <w:szCs w:val="20"/>
              </w:rPr>
            </w:pPr>
            <w:r>
              <w:rPr>
                <w:sz w:val="20"/>
                <w:szCs w:val="20"/>
              </w:rPr>
              <w:t>Veikti g</w:t>
            </w:r>
            <w:r w:rsidRPr="001B1DB1">
              <w:rPr>
                <w:sz w:val="20"/>
                <w:szCs w:val="20"/>
              </w:rPr>
              <w:t>rozījumi uzraudzības pasākumu plānošanas un izpildes kārtību reglamentējošos dokumentos.</w:t>
            </w:r>
          </w:p>
        </w:tc>
        <w:tc>
          <w:tcPr>
            <w:tcW w:w="1134" w:type="dxa"/>
            <w:shd w:val="clear" w:color="auto" w:fill="auto"/>
          </w:tcPr>
          <w:p w14:paraId="419B9639" w14:textId="77777777" w:rsidR="00CB6A38" w:rsidRPr="001B1DB1" w:rsidRDefault="00CB6A38" w:rsidP="00CB6A38">
            <w:pPr>
              <w:jc w:val="center"/>
              <w:rPr>
                <w:sz w:val="20"/>
                <w:szCs w:val="20"/>
              </w:rPr>
            </w:pPr>
            <w:r w:rsidRPr="001B1DB1">
              <w:rPr>
                <w:sz w:val="20"/>
                <w:szCs w:val="20"/>
              </w:rPr>
              <w:t>FKTK</w:t>
            </w:r>
          </w:p>
        </w:tc>
        <w:tc>
          <w:tcPr>
            <w:tcW w:w="1275" w:type="dxa"/>
            <w:shd w:val="clear" w:color="auto" w:fill="auto"/>
          </w:tcPr>
          <w:p w14:paraId="08DEF31C" w14:textId="77777777" w:rsidR="00CB6A38" w:rsidRPr="001B1DB1" w:rsidRDefault="00CB6A38" w:rsidP="00CB6A38">
            <w:pPr>
              <w:jc w:val="center"/>
              <w:rPr>
                <w:sz w:val="20"/>
                <w:szCs w:val="20"/>
              </w:rPr>
            </w:pPr>
          </w:p>
        </w:tc>
        <w:tc>
          <w:tcPr>
            <w:tcW w:w="1418" w:type="dxa"/>
            <w:shd w:val="clear" w:color="auto" w:fill="auto"/>
          </w:tcPr>
          <w:p w14:paraId="6C2129F3" w14:textId="77777777" w:rsidR="00CB6A38" w:rsidRPr="001B1DB1" w:rsidRDefault="00CB6A38" w:rsidP="00CB6A38">
            <w:pPr>
              <w:jc w:val="center"/>
              <w:rPr>
                <w:sz w:val="20"/>
                <w:szCs w:val="20"/>
              </w:rPr>
            </w:pPr>
            <w:r w:rsidRPr="001B1DB1">
              <w:rPr>
                <w:sz w:val="20"/>
                <w:szCs w:val="20"/>
              </w:rPr>
              <w:t>31.12.2020.</w:t>
            </w:r>
          </w:p>
        </w:tc>
      </w:tr>
      <w:tr w:rsidR="00CB6A38" w:rsidRPr="001B1DB1" w14:paraId="4A588EC4" w14:textId="77777777" w:rsidTr="008E3C67">
        <w:trPr>
          <w:trHeight w:val="543"/>
        </w:trPr>
        <w:tc>
          <w:tcPr>
            <w:tcW w:w="15026" w:type="dxa"/>
            <w:gridSpan w:val="8"/>
          </w:tcPr>
          <w:p w14:paraId="5EA0D677" w14:textId="77777777" w:rsidR="00DA114D" w:rsidRDefault="00CB6A38" w:rsidP="000C5A60">
            <w:pPr>
              <w:jc w:val="both"/>
              <w:rPr>
                <w:rFonts w:cs="Times New Roman"/>
                <w:b/>
                <w:bCs/>
                <w:sz w:val="20"/>
                <w:szCs w:val="20"/>
              </w:rPr>
            </w:pPr>
            <w:r w:rsidRPr="001B1DB1">
              <w:rPr>
                <w:rFonts w:cs="Times New Roman"/>
                <w:b/>
                <w:bCs/>
                <w:sz w:val="20"/>
                <w:szCs w:val="20"/>
              </w:rPr>
              <w:t>Izpilde</w:t>
            </w:r>
          </w:p>
          <w:p w14:paraId="31CE1717" w14:textId="43FD11CE" w:rsidR="00CB6A38" w:rsidRPr="001B1DB1" w:rsidRDefault="00A31323" w:rsidP="000C5A60">
            <w:pPr>
              <w:jc w:val="both"/>
              <w:rPr>
                <w:sz w:val="20"/>
                <w:szCs w:val="20"/>
              </w:rPr>
            </w:pPr>
            <w:r w:rsidRPr="00A31323">
              <w:rPr>
                <w:sz w:val="20"/>
                <w:szCs w:val="20"/>
              </w:rPr>
              <w:t>Atbilstoši iestādes riska klasifikācijai tiek plānotas pārbaudes un pārbaudē īpaš</w:t>
            </w:r>
            <w:r w:rsidR="0036316B">
              <w:rPr>
                <w:sz w:val="20"/>
                <w:szCs w:val="20"/>
              </w:rPr>
              <w:t>a</w:t>
            </w:r>
            <w:r w:rsidRPr="00A31323">
              <w:rPr>
                <w:sz w:val="20"/>
                <w:szCs w:val="20"/>
              </w:rPr>
              <w:t xml:space="preserve"> uzmanīb</w:t>
            </w:r>
            <w:r w:rsidR="0036316B">
              <w:rPr>
                <w:sz w:val="20"/>
                <w:szCs w:val="20"/>
              </w:rPr>
              <w:t>a</w:t>
            </w:r>
            <w:r w:rsidRPr="00A31323">
              <w:rPr>
                <w:sz w:val="20"/>
                <w:szCs w:val="20"/>
              </w:rPr>
              <w:t xml:space="preserve"> pievēršama riska jomām, tai skaitā sankciju atbilstības pārbaudēm</w:t>
            </w:r>
            <w:r w:rsidR="00824942">
              <w:rPr>
                <w:sz w:val="20"/>
                <w:szCs w:val="20"/>
              </w:rPr>
              <w:t xml:space="preserve">. </w:t>
            </w:r>
            <w:r w:rsidRPr="00A31323">
              <w:rPr>
                <w:sz w:val="20"/>
                <w:szCs w:val="20"/>
              </w:rPr>
              <w:t xml:space="preserve">2021. gada pirmajā ceturksnī apstiprināta procedūra, kas nosaka kārtību, kādā tiek sagatavota un veikta bankas pilnā pārbaude </w:t>
            </w:r>
            <w:r w:rsidR="00914E15">
              <w:rPr>
                <w:sz w:val="20"/>
                <w:szCs w:val="20"/>
              </w:rPr>
              <w:t>NILLTPFN</w:t>
            </w:r>
            <w:r w:rsidRPr="00A31323">
              <w:rPr>
                <w:sz w:val="20"/>
                <w:szCs w:val="20"/>
              </w:rPr>
              <w:t xml:space="preserve"> un starptautisko un nacionālo sankciju riska pārvaldības jomā klātienē, nodrošinot efektīvu, uz risku </w:t>
            </w:r>
            <w:proofErr w:type="spellStart"/>
            <w:r w:rsidRPr="00A31323">
              <w:rPr>
                <w:sz w:val="20"/>
                <w:szCs w:val="20"/>
              </w:rPr>
              <w:t>izvērtējumu</w:t>
            </w:r>
            <w:proofErr w:type="spellEnd"/>
            <w:r w:rsidRPr="00A31323">
              <w:rPr>
                <w:sz w:val="20"/>
                <w:szCs w:val="20"/>
              </w:rPr>
              <w:t xml:space="preserve"> balstītu, bankas atbilstības pārbaudi Eiropas Savienības un Latvijas Republikas normatīvo aktu prasībām </w:t>
            </w:r>
            <w:r w:rsidR="00914E15">
              <w:rPr>
                <w:sz w:val="20"/>
                <w:szCs w:val="20"/>
              </w:rPr>
              <w:t>NILLTPFN</w:t>
            </w:r>
            <w:r w:rsidRPr="00A31323">
              <w:rPr>
                <w:sz w:val="20"/>
                <w:szCs w:val="20"/>
              </w:rPr>
              <w:t xml:space="preserve"> un starptautisko un nacionālo sankciju riska pārvaldības jomā.</w:t>
            </w:r>
          </w:p>
        </w:tc>
      </w:tr>
    </w:tbl>
    <w:p w14:paraId="2B53779A" w14:textId="7000029C" w:rsidR="00775B85" w:rsidRPr="003D51E4" w:rsidRDefault="00775B85" w:rsidP="006D7AC1">
      <w:pPr>
        <w:pStyle w:val="Heading2"/>
        <w:ind w:left="720"/>
        <w:rPr>
          <w:szCs w:val="24"/>
        </w:rPr>
      </w:pPr>
      <w:r w:rsidRPr="001B1DB1">
        <w:rPr>
          <w:rFonts w:ascii="Times New Roman" w:hAnsi="Times New Roman" w:cs="Times New Roman"/>
          <w:b/>
          <w:color w:val="auto"/>
          <w:sz w:val="28"/>
          <w:szCs w:val="28"/>
        </w:rPr>
        <w:t xml:space="preserve"> </w:t>
      </w:r>
    </w:p>
    <w:p w14:paraId="3C202902" w14:textId="77777777" w:rsidR="00775B85" w:rsidRPr="001B1DB1" w:rsidRDefault="00775B85" w:rsidP="00775B85">
      <w:pPr>
        <w:jc w:val="both"/>
        <w:rPr>
          <w:sz w:val="28"/>
          <w:szCs w:val="28"/>
        </w:rPr>
      </w:pPr>
    </w:p>
    <w:p w14:paraId="56F7DB28" w14:textId="091C6673" w:rsidR="003F4DE8" w:rsidRDefault="003F4DE8" w:rsidP="003F4DE8">
      <w:pPr>
        <w:jc w:val="both"/>
        <w:rPr>
          <w:sz w:val="28"/>
          <w:szCs w:val="28"/>
        </w:rPr>
      </w:pPr>
    </w:p>
    <w:p w14:paraId="1B41C668" w14:textId="05ABC4A6" w:rsidR="002742AE" w:rsidRPr="009173C1" w:rsidRDefault="002742AE" w:rsidP="00FA19A5">
      <w:pPr>
        <w:tabs>
          <w:tab w:val="left" w:pos="6521"/>
        </w:tabs>
        <w:ind w:firstLine="709"/>
        <w:rPr>
          <w:sz w:val="28"/>
          <w:szCs w:val="28"/>
        </w:rPr>
      </w:pPr>
      <w:proofErr w:type="spellStart"/>
      <w:r w:rsidRPr="009173C1">
        <w:rPr>
          <w:sz w:val="28"/>
          <w:szCs w:val="28"/>
        </w:rPr>
        <w:t>Iekšlietu</w:t>
      </w:r>
      <w:proofErr w:type="spellEnd"/>
      <w:r w:rsidRPr="009173C1">
        <w:rPr>
          <w:sz w:val="28"/>
          <w:szCs w:val="28"/>
        </w:rPr>
        <w:t xml:space="preserve"> ministr</w:t>
      </w:r>
      <w:r w:rsidR="00FA19A5">
        <w:rPr>
          <w:sz w:val="28"/>
          <w:szCs w:val="28"/>
        </w:rPr>
        <w:t>e</w:t>
      </w:r>
      <w:r w:rsidRPr="009173C1">
        <w:rPr>
          <w:sz w:val="28"/>
          <w:szCs w:val="28"/>
        </w:rPr>
        <w:tab/>
      </w:r>
      <w:r w:rsidR="00FA19A5">
        <w:rPr>
          <w:sz w:val="28"/>
          <w:szCs w:val="28"/>
        </w:rPr>
        <w:t>M.</w:t>
      </w:r>
      <w:r w:rsidR="00FA19A5" w:rsidRPr="00FA19A5">
        <w:rPr>
          <w:sz w:val="28"/>
          <w:szCs w:val="28"/>
        </w:rPr>
        <w:t xml:space="preserve"> Golubeva</w:t>
      </w:r>
    </w:p>
    <w:sectPr w:rsidR="002742AE" w:rsidRPr="009173C1" w:rsidSect="00441BAF">
      <w:footerReference w:type="default" r:id="rId10"/>
      <w:footerReference w:type="first" r:id="rId11"/>
      <w:pgSz w:w="16838" w:h="11906" w:orient="landscape"/>
      <w:pgMar w:top="1276"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FA792" w14:textId="77777777" w:rsidR="00BD57B0" w:rsidRDefault="00BD57B0" w:rsidP="008A7686">
      <w:r>
        <w:separator/>
      </w:r>
    </w:p>
  </w:endnote>
  <w:endnote w:type="continuationSeparator" w:id="0">
    <w:p w14:paraId="7FC0353C" w14:textId="77777777" w:rsidR="00BD57B0" w:rsidRDefault="00BD57B0" w:rsidP="008A7686">
      <w:r>
        <w:continuationSeparator/>
      </w:r>
    </w:p>
  </w:endnote>
  <w:endnote w:type="continuationNotice" w:id="1">
    <w:p w14:paraId="7402892D" w14:textId="77777777" w:rsidR="00BD57B0" w:rsidRDefault="00BD5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73DB1" w14:textId="685C3A8B" w:rsidR="00441BAF" w:rsidRPr="00441BAF" w:rsidRDefault="00EA04B0" w:rsidP="00441BAF">
    <w:pPr>
      <w:pStyle w:val="Footer"/>
      <w:tabs>
        <w:tab w:val="left" w:pos="3686"/>
      </w:tabs>
      <w:rPr>
        <w:rStyle w:val="PageNumber"/>
        <w:sz w:val="16"/>
        <w:szCs w:val="16"/>
      </w:rPr>
    </w:pPr>
    <w:r w:rsidRPr="00EA04B0">
      <w:rPr>
        <w:rStyle w:val="PageNumber"/>
        <w:sz w:val="16"/>
        <w:szCs w:val="16"/>
      </w:rPr>
      <w:t>IEMPlansp2_13082021_NILLTPFN</w:t>
    </w:r>
  </w:p>
  <w:p w14:paraId="4D4BAC72" w14:textId="4AB9588F" w:rsidR="00441BAF" w:rsidRDefault="00BD57B0" w:rsidP="00441BAF">
    <w:pPr>
      <w:pStyle w:val="Footer"/>
      <w:tabs>
        <w:tab w:val="left" w:pos="3686"/>
      </w:tabs>
      <w:jc w:val="right"/>
    </w:pPr>
    <w:r w:rsidRPr="009B5AE3">
      <w:rPr>
        <w:rStyle w:val="PageNumber"/>
        <w:sz w:val="20"/>
      </w:rPr>
      <w:fldChar w:fldCharType="begin"/>
    </w:r>
    <w:r w:rsidRPr="009B5AE3">
      <w:rPr>
        <w:rStyle w:val="PageNumber"/>
        <w:sz w:val="20"/>
      </w:rPr>
      <w:instrText xml:space="preserve"> PAGE </w:instrText>
    </w:r>
    <w:r w:rsidRPr="009B5AE3">
      <w:rPr>
        <w:rStyle w:val="PageNumber"/>
        <w:sz w:val="20"/>
      </w:rPr>
      <w:fldChar w:fldCharType="separate"/>
    </w:r>
    <w:r w:rsidR="00EA04B0">
      <w:rPr>
        <w:rStyle w:val="PageNumber"/>
        <w:noProof/>
        <w:sz w:val="20"/>
      </w:rPr>
      <w:t>2</w:t>
    </w:r>
    <w:r w:rsidRPr="009B5AE3">
      <w:rPr>
        <w:rStyle w:val="PageNumber"/>
        <w:sz w:val="20"/>
      </w:rPr>
      <w:fldChar w:fldCharType="end"/>
    </w:r>
    <w:r w:rsidRPr="009B5AE3">
      <w:rPr>
        <w:rStyle w:val="PageNumber"/>
        <w:sz w:val="20"/>
      </w:rPr>
      <w:t>-</w:t>
    </w:r>
    <w:r w:rsidRPr="009B5AE3">
      <w:rPr>
        <w:rStyle w:val="PageNumber"/>
        <w:sz w:val="20"/>
      </w:rPr>
      <w:fldChar w:fldCharType="begin"/>
    </w:r>
    <w:r w:rsidRPr="009B5AE3">
      <w:rPr>
        <w:rStyle w:val="PageNumber"/>
        <w:sz w:val="20"/>
      </w:rPr>
      <w:instrText xml:space="preserve"> NUMPAGES </w:instrText>
    </w:r>
    <w:r w:rsidRPr="009B5AE3">
      <w:rPr>
        <w:rStyle w:val="PageNumber"/>
        <w:sz w:val="20"/>
      </w:rPr>
      <w:fldChar w:fldCharType="separate"/>
    </w:r>
    <w:r w:rsidR="00EA04B0">
      <w:rPr>
        <w:rStyle w:val="PageNumber"/>
        <w:noProof/>
        <w:sz w:val="20"/>
      </w:rPr>
      <w:t>13</w:t>
    </w:r>
    <w:r w:rsidRPr="009B5AE3">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5D27" w14:textId="04FC8BBF" w:rsidR="00441BAF" w:rsidRPr="00441BAF" w:rsidRDefault="00EA04B0" w:rsidP="00441BAF">
    <w:pPr>
      <w:pStyle w:val="Footer"/>
      <w:tabs>
        <w:tab w:val="left" w:pos="3686"/>
      </w:tabs>
      <w:rPr>
        <w:rStyle w:val="PageNumber"/>
        <w:sz w:val="16"/>
        <w:szCs w:val="16"/>
      </w:rPr>
    </w:pPr>
    <w:bookmarkStart w:id="4" w:name="_Hlk505843546"/>
    <w:bookmarkStart w:id="5" w:name="_Hlk505843547"/>
    <w:bookmarkStart w:id="6" w:name="_Hlk505844155"/>
    <w:bookmarkStart w:id="7" w:name="_Hlk505844156"/>
    <w:r w:rsidRPr="00EA04B0">
      <w:rPr>
        <w:rStyle w:val="PageNumber"/>
        <w:sz w:val="16"/>
        <w:szCs w:val="16"/>
      </w:rPr>
      <w:t>IEMPlansp2_13082021_NILLTPFN</w:t>
    </w:r>
  </w:p>
  <w:p w14:paraId="3AA87D95" w14:textId="1C80DC2D" w:rsidR="00BD57B0" w:rsidRDefault="00BD57B0" w:rsidP="002742AE">
    <w:pPr>
      <w:pStyle w:val="Footer"/>
      <w:tabs>
        <w:tab w:val="left" w:pos="3686"/>
      </w:tabs>
      <w:jc w:val="right"/>
    </w:pPr>
    <w:r w:rsidRPr="009B5AE3">
      <w:rPr>
        <w:rStyle w:val="PageNumber"/>
        <w:sz w:val="20"/>
      </w:rPr>
      <w:fldChar w:fldCharType="begin"/>
    </w:r>
    <w:r w:rsidRPr="009B5AE3">
      <w:rPr>
        <w:rStyle w:val="PageNumber"/>
        <w:sz w:val="20"/>
      </w:rPr>
      <w:instrText xml:space="preserve"> PAGE </w:instrText>
    </w:r>
    <w:r w:rsidRPr="009B5AE3">
      <w:rPr>
        <w:rStyle w:val="PageNumber"/>
        <w:sz w:val="20"/>
      </w:rPr>
      <w:fldChar w:fldCharType="separate"/>
    </w:r>
    <w:r w:rsidR="00EA04B0">
      <w:rPr>
        <w:rStyle w:val="PageNumber"/>
        <w:noProof/>
        <w:sz w:val="20"/>
      </w:rPr>
      <w:t>1</w:t>
    </w:r>
    <w:r w:rsidRPr="009B5AE3">
      <w:rPr>
        <w:rStyle w:val="PageNumber"/>
        <w:sz w:val="20"/>
      </w:rPr>
      <w:fldChar w:fldCharType="end"/>
    </w:r>
    <w:r w:rsidRPr="009B5AE3">
      <w:rPr>
        <w:rStyle w:val="PageNumber"/>
        <w:sz w:val="20"/>
      </w:rPr>
      <w:t>-</w:t>
    </w:r>
    <w:r w:rsidRPr="009B5AE3">
      <w:rPr>
        <w:rStyle w:val="PageNumber"/>
        <w:sz w:val="20"/>
      </w:rPr>
      <w:fldChar w:fldCharType="begin"/>
    </w:r>
    <w:r w:rsidRPr="009B5AE3">
      <w:rPr>
        <w:rStyle w:val="PageNumber"/>
        <w:sz w:val="20"/>
      </w:rPr>
      <w:instrText xml:space="preserve"> NUMPAGES </w:instrText>
    </w:r>
    <w:r w:rsidRPr="009B5AE3">
      <w:rPr>
        <w:rStyle w:val="PageNumber"/>
        <w:sz w:val="20"/>
      </w:rPr>
      <w:fldChar w:fldCharType="separate"/>
    </w:r>
    <w:r w:rsidR="00EA04B0">
      <w:rPr>
        <w:rStyle w:val="PageNumber"/>
        <w:noProof/>
        <w:sz w:val="20"/>
      </w:rPr>
      <w:t>13</w:t>
    </w:r>
    <w:r w:rsidRPr="009B5AE3">
      <w:rPr>
        <w:rStyle w:val="PageNumber"/>
        <w:sz w:val="20"/>
      </w:rPr>
      <w:fldChar w:fldCharType="end"/>
    </w:r>
    <w:bookmarkEnd w:id="4"/>
    <w:bookmarkEnd w:id="5"/>
    <w:bookmarkEnd w:id="6"/>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B306" w14:textId="77777777" w:rsidR="00BD57B0" w:rsidRDefault="00BD57B0" w:rsidP="008A7686">
      <w:r>
        <w:separator/>
      </w:r>
    </w:p>
  </w:footnote>
  <w:footnote w:type="continuationSeparator" w:id="0">
    <w:p w14:paraId="49F5F967" w14:textId="77777777" w:rsidR="00BD57B0" w:rsidRDefault="00BD57B0" w:rsidP="008A7686">
      <w:r>
        <w:continuationSeparator/>
      </w:r>
    </w:p>
  </w:footnote>
  <w:footnote w:type="continuationNotice" w:id="1">
    <w:p w14:paraId="16C47733" w14:textId="77777777" w:rsidR="00BD57B0" w:rsidRDefault="00BD57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AFE"/>
    <w:multiLevelType w:val="hybridMultilevel"/>
    <w:tmpl w:val="6B1A23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100B06"/>
    <w:multiLevelType w:val="hybridMultilevel"/>
    <w:tmpl w:val="BD063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CA245D"/>
    <w:multiLevelType w:val="hybridMultilevel"/>
    <w:tmpl w:val="CCBA7E70"/>
    <w:lvl w:ilvl="0" w:tplc="79E0E77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345A31"/>
    <w:multiLevelType w:val="hybridMultilevel"/>
    <w:tmpl w:val="56A0BB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171162"/>
    <w:multiLevelType w:val="multilevel"/>
    <w:tmpl w:val="37A4EF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2E3569"/>
    <w:multiLevelType w:val="hybridMultilevel"/>
    <w:tmpl w:val="C9869622"/>
    <w:lvl w:ilvl="0" w:tplc="1E40D4B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847E26"/>
    <w:multiLevelType w:val="hybridMultilevel"/>
    <w:tmpl w:val="219A6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C4313B"/>
    <w:multiLevelType w:val="multilevel"/>
    <w:tmpl w:val="A0AA2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F93723"/>
    <w:multiLevelType w:val="hybridMultilevel"/>
    <w:tmpl w:val="630E8716"/>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322C14"/>
    <w:multiLevelType w:val="hybridMultilevel"/>
    <w:tmpl w:val="6A3CE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6A0960"/>
    <w:multiLevelType w:val="multilevel"/>
    <w:tmpl w:val="E626FBBA"/>
    <w:lvl w:ilvl="0">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3"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03"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663" w:hanging="7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383" w:hanging="1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43" w:hanging="1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23" w:hanging="15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183"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8B0A9F"/>
    <w:multiLevelType w:val="hybridMultilevel"/>
    <w:tmpl w:val="3E0CC644"/>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B804EB"/>
    <w:multiLevelType w:val="hybridMultilevel"/>
    <w:tmpl w:val="139A4CEE"/>
    <w:lvl w:ilvl="0" w:tplc="8FC6221C">
      <w:start w:val="1"/>
      <w:numFmt w:val="decimal"/>
      <w:lvlText w:val="%1)"/>
      <w:lvlJc w:val="left"/>
      <w:pPr>
        <w:ind w:left="564" w:hanging="360"/>
      </w:pPr>
      <w:rPr>
        <w:rFonts w:hint="default"/>
      </w:rPr>
    </w:lvl>
    <w:lvl w:ilvl="1" w:tplc="04260019" w:tentative="1">
      <w:start w:val="1"/>
      <w:numFmt w:val="lowerLetter"/>
      <w:lvlText w:val="%2."/>
      <w:lvlJc w:val="left"/>
      <w:pPr>
        <w:ind w:left="1284" w:hanging="360"/>
      </w:pPr>
    </w:lvl>
    <w:lvl w:ilvl="2" w:tplc="0426001B" w:tentative="1">
      <w:start w:val="1"/>
      <w:numFmt w:val="lowerRoman"/>
      <w:lvlText w:val="%3."/>
      <w:lvlJc w:val="right"/>
      <w:pPr>
        <w:ind w:left="2004" w:hanging="180"/>
      </w:pPr>
    </w:lvl>
    <w:lvl w:ilvl="3" w:tplc="0426000F" w:tentative="1">
      <w:start w:val="1"/>
      <w:numFmt w:val="decimal"/>
      <w:lvlText w:val="%4."/>
      <w:lvlJc w:val="left"/>
      <w:pPr>
        <w:ind w:left="2724" w:hanging="360"/>
      </w:pPr>
    </w:lvl>
    <w:lvl w:ilvl="4" w:tplc="04260019" w:tentative="1">
      <w:start w:val="1"/>
      <w:numFmt w:val="lowerLetter"/>
      <w:lvlText w:val="%5."/>
      <w:lvlJc w:val="left"/>
      <w:pPr>
        <w:ind w:left="3444" w:hanging="360"/>
      </w:pPr>
    </w:lvl>
    <w:lvl w:ilvl="5" w:tplc="0426001B" w:tentative="1">
      <w:start w:val="1"/>
      <w:numFmt w:val="lowerRoman"/>
      <w:lvlText w:val="%6."/>
      <w:lvlJc w:val="right"/>
      <w:pPr>
        <w:ind w:left="4164" w:hanging="180"/>
      </w:pPr>
    </w:lvl>
    <w:lvl w:ilvl="6" w:tplc="0426000F" w:tentative="1">
      <w:start w:val="1"/>
      <w:numFmt w:val="decimal"/>
      <w:lvlText w:val="%7."/>
      <w:lvlJc w:val="left"/>
      <w:pPr>
        <w:ind w:left="4884" w:hanging="360"/>
      </w:pPr>
    </w:lvl>
    <w:lvl w:ilvl="7" w:tplc="04260019" w:tentative="1">
      <w:start w:val="1"/>
      <w:numFmt w:val="lowerLetter"/>
      <w:lvlText w:val="%8."/>
      <w:lvlJc w:val="left"/>
      <w:pPr>
        <w:ind w:left="5604" w:hanging="360"/>
      </w:pPr>
    </w:lvl>
    <w:lvl w:ilvl="8" w:tplc="0426001B" w:tentative="1">
      <w:start w:val="1"/>
      <w:numFmt w:val="lowerRoman"/>
      <w:lvlText w:val="%9."/>
      <w:lvlJc w:val="right"/>
      <w:pPr>
        <w:ind w:left="6324" w:hanging="180"/>
      </w:pPr>
    </w:lvl>
  </w:abstractNum>
  <w:abstractNum w:abstractNumId="13" w15:restartNumberingAfterBreak="0">
    <w:nsid w:val="2F93458A"/>
    <w:multiLevelType w:val="multilevel"/>
    <w:tmpl w:val="1E3C46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45C06"/>
    <w:multiLevelType w:val="hybridMultilevel"/>
    <w:tmpl w:val="A1C44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016FAB"/>
    <w:multiLevelType w:val="multilevel"/>
    <w:tmpl w:val="A386BE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485488"/>
    <w:multiLevelType w:val="multilevel"/>
    <w:tmpl w:val="7A081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D22EE5"/>
    <w:multiLevelType w:val="hybridMultilevel"/>
    <w:tmpl w:val="769A5D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CC2D73"/>
    <w:multiLevelType w:val="multilevel"/>
    <w:tmpl w:val="373C7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43485397"/>
    <w:multiLevelType w:val="hybridMultilevel"/>
    <w:tmpl w:val="267CC97C"/>
    <w:lvl w:ilvl="0" w:tplc="515EF0B4">
      <w:start w:val="1"/>
      <w:numFmt w:val="decimal"/>
      <w:lvlText w:val="%1)"/>
      <w:lvlJc w:val="left"/>
      <w:pPr>
        <w:ind w:left="312"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E0F9D2">
      <w:start w:val="1"/>
      <w:numFmt w:val="lowerLetter"/>
      <w:lvlText w:val="%2."/>
      <w:lvlJc w:val="left"/>
      <w:pPr>
        <w:ind w:left="103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1562DF4">
      <w:start w:val="1"/>
      <w:numFmt w:val="lowerRoman"/>
      <w:lvlText w:val="%3."/>
      <w:lvlJc w:val="left"/>
      <w:pPr>
        <w:ind w:left="1752"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60F88C92">
      <w:start w:val="1"/>
      <w:numFmt w:val="decimal"/>
      <w:lvlText w:val="%4."/>
      <w:lvlJc w:val="left"/>
      <w:pPr>
        <w:ind w:left="247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E080ACE">
      <w:start w:val="1"/>
      <w:numFmt w:val="lowerLetter"/>
      <w:lvlText w:val="%5."/>
      <w:lvlJc w:val="left"/>
      <w:pPr>
        <w:ind w:left="319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B042B12">
      <w:start w:val="1"/>
      <w:numFmt w:val="lowerRoman"/>
      <w:lvlText w:val="%6."/>
      <w:lvlJc w:val="left"/>
      <w:pPr>
        <w:ind w:left="3912"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A0BCE03E">
      <w:start w:val="1"/>
      <w:numFmt w:val="decimal"/>
      <w:lvlText w:val="%7."/>
      <w:lvlJc w:val="left"/>
      <w:pPr>
        <w:ind w:left="463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226D0D8">
      <w:start w:val="1"/>
      <w:numFmt w:val="lowerLetter"/>
      <w:lvlText w:val="%8."/>
      <w:lvlJc w:val="left"/>
      <w:pPr>
        <w:ind w:left="535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94CEFC8">
      <w:start w:val="1"/>
      <w:numFmt w:val="lowerRoman"/>
      <w:lvlText w:val="%9."/>
      <w:lvlJc w:val="left"/>
      <w:pPr>
        <w:ind w:left="6072"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4C85D69"/>
    <w:multiLevelType w:val="hybridMultilevel"/>
    <w:tmpl w:val="7940EEBE"/>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B45336"/>
    <w:multiLevelType w:val="hybridMultilevel"/>
    <w:tmpl w:val="89E6B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C35A62"/>
    <w:multiLevelType w:val="multilevel"/>
    <w:tmpl w:val="46C8F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5A31A4"/>
    <w:multiLevelType w:val="hybridMultilevel"/>
    <w:tmpl w:val="A6546002"/>
    <w:lvl w:ilvl="0" w:tplc="F22ADD5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6B416A"/>
    <w:multiLevelType w:val="hybridMultilevel"/>
    <w:tmpl w:val="74623270"/>
    <w:lvl w:ilvl="0" w:tplc="4C302820">
      <w:start w:val="1"/>
      <w:numFmt w:val="bullet"/>
      <w:lvlText w:val="-"/>
      <w:lvlJc w:val="left"/>
      <w:pPr>
        <w:ind w:left="4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121C5C">
      <w:start w:val="1"/>
      <w:numFmt w:val="bullet"/>
      <w:lvlText w:val="o"/>
      <w:lvlJc w:val="left"/>
      <w:pPr>
        <w:ind w:left="11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A26B516">
      <w:start w:val="1"/>
      <w:numFmt w:val="bullet"/>
      <w:lvlText w:val="▪"/>
      <w:lvlJc w:val="left"/>
      <w:pPr>
        <w:ind w:left="18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725CB8">
      <w:start w:val="1"/>
      <w:numFmt w:val="bullet"/>
      <w:lvlText w:val="•"/>
      <w:lvlJc w:val="left"/>
      <w:pPr>
        <w:ind w:left="25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C8245E">
      <w:start w:val="1"/>
      <w:numFmt w:val="bullet"/>
      <w:lvlText w:val="o"/>
      <w:lvlJc w:val="left"/>
      <w:pPr>
        <w:ind w:left="32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208A3A">
      <w:start w:val="1"/>
      <w:numFmt w:val="bullet"/>
      <w:lvlText w:val="▪"/>
      <w:lvlJc w:val="left"/>
      <w:pPr>
        <w:ind w:left="40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3C203A">
      <w:start w:val="1"/>
      <w:numFmt w:val="bullet"/>
      <w:lvlText w:val="•"/>
      <w:lvlJc w:val="left"/>
      <w:pPr>
        <w:ind w:left="47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AC5554">
      <w:start w:val="1"/>
      <w:numFmt w:val="bullet"/>
      <w:lvlText w:val="o"/>
      <w:lvlJc w:val="left"/>
      <w:pPr>
        <w:ind w:left="54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BE53C2">
      <w:start w:val="1"/>
      <w:numFmt w:val="bullet"/>
      <w:lvlText w:val="▪"/>
      <w:lvlJc w:val="left"/>
      <w:pPr>
        <w:ind w:left="61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095EF5"/>
    <w:multiLevelType w:val="hybridMultilevel"/>
    <w:tmpl w:val="3A4E3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460EA7"/>
    <w:multiLevelType w:val="multilevel"/>
    <w:tmpl w:val="BB9CE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4A11DF"/>
    <w:multiLevelType w:val="hybridMultilevel"/>
    <w:tmpl w:val="9D64800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1520E15"/>
    <w:multiLevelType w:val="hybridMultilevel"/>
    <w:tmpl w:val="814CD048"/>
    <w:lvl w:ilvl="0" w:tplc="68DE6ED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8E53F9"/>
    <w:multiLevelType w:val="hybridMultilevel"/>
    <w:tmpl w:val="6EA64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E32398"/>
    <w:multiLevelType w:val="hybridMultilevel"/>
    <w:tmpl w:val="850C88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1F6F08"/>
    <w:multiLevelType w:val="multilevel"/>
    <w:tmpl w:val="C4AA6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AC1D4D"/>
    <w:multiLevelType w:val="multilevel"/>
    <w:tmpl w:val="A6465A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0906C2"/>
    <w:multiLevelType w:val="hybridMultilevel"/>
    <w:tmpl w:val="4A88B070"/>
    <w:lvl w:ilvl="0" w:tplc="81AE92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123970"/>
    <w:multiLevelType w:val="hybridMultilevel"/>
    <w:tmpl w:val="798EC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292082"/>
    <w:multiLevelType w:val="multilevel"/>
    <w:tmpl w:val="857681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882E87"/>
    <w:multiLevelType w:val="hybridMultilevel"/>
    <w:tmpl w:val="DE285D50"/>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0153D0"/>
    <w:multiLevelType w:val="multilevel"/>
    <w:tmpl w:val="4370A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C64D45"/>
    <w:multiLevelType w:val="multilevel"/>
    <w:tmpl w:val="3348983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12105D"/>
    <w:multiLevelType w:val="hybridMultilevel"/>
    <w:tmpl w:val="EEB07EE4"/>
    <w:lvl w:ilvl="0" w:tplc="2284948A">
      <w:start w:val="3"/>
      <w:numFmt w:val="bullet"/>
      <w:lvlText w:val="-"/>
      <w:lvlJc w:val="left"/>
      <w:pPr>
        <w:ind w:left="405" w:hanging="360"/>
      </w:pPr>
      <w:rPr>
        <w:rFonts w:ascii="Times New Roman" w:eastAsiaTheme="minorHAnsi"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0" w15:restartNumberingAfterBreak="0">
    <w:nsid w:val="7C1B7154"/>
    <w:multiLevelType w:val="hybridMultilevel"/>
    <w:tmpl w:val="FC54EF3A"/>
    <w:lvl w:ilvl="0" w:tplc="2E1AED74">
      <w:start w:val="2020"/>
      <w:numFmt w:val="bullet"/>
      <w:lvlText w:val="-"/>
      <w:lvlJc w:val="left"/>
      <w:pPr>
        <w:ind w:left="401" w:hanging="360"/>
      </w:pPr>
      <w:rPr>
        <w:rFonts w:ascii="Times New Roman" w:eastAsiaTheme="minorHAnsi" w:hAnsi="Times New Roman" w:cs="Times New Roman" w:hint="default"/>
      </w:rPr>
    </w:lvl>
    <w:lvl w:ilvl="1" w:tplc="04260003" w:tentative="1">
      <w:start w:val="1"/>
      <w:numFmt w:val="bullet"/>
      <w:lvlText w:val="o"/>
      <w:lvlJc w:val="left"/>
      <w:pPr>
        <w:ind w:left="1121" w:hanging="360"/>
      </w:pPr>
      <w:rPr>
        <w:rFonts w:ascii="Courier New" w:hAnsi="Courier New" w:cs="Courier New" w:hint="default"/>
      </w:rPr>
    </w:lvl>
    <w:lvl w:ilvl="2" w:tplc="04260005" w:tentative="1">
      <w:start w:val="1"/>
      <w:numFmt w:val="bullet"/>
      <w:lvlText w:val=""/>
      <w:lvlJc w:val="left"/>
      <w:pPr>
        <w:ind w:left="1841" w:hanging="360"/>
      </w:pPr>
      <w:rPr>
        <w:rFonts w:ascii="Wingdings" w:hAnsi="Wingdings" w:hint="default"/>
      </w:rPr>
    </w:lvl>
    <w:lvl w:ilvl="3" w:tplc="04260001" w:tentative="1">
      <w:start w:val="1"/>
      <w:numFmt w:val="bullet"/>
      <w:lvlText w:val=""/>
      <w:lvlJc w:val="left"/>
      <w:pPr>
        <w:ind w:left="2561" w:hanging="360"/>
      </w:pPr>
      <w:rPr>
        <w:rFonts w:ascii="Symbol" w:hAnsi="Symbol" w:hint="default"/>
      </w:rPr>
    </w:lvl>
    <w:lvl w:ilvl="4" w:tplc="04260003" w:tentative="1">
      <w:start w:val="1"/>
      <w:numFmt w:val="bullet"/>
      <w:lvlText w:val="o"/>
      <w:lvlJc w:val="left"/>
      <w:pPr>
        <w:ind w:left="3281" w:hanging="360"/>
      </w:pPr>
      <w:rPr>
        <w:rFonts w:ascii="Courier New" w:hAnsi="Courier New" w:cs="Courier New" w:hint="default"/>
      </w:rPr>
    </w:lvl>
    <w:lvl w:ilvl="5" w:tplc="04260005" w:tentative="1">
      <w:start w:val="1"/>
      <w:numFmt w:val="bullet"/>
      <w:lvlText w:val=""/>
      <w:lvlJc w:val="left"/>
      <w:pPr>
        <w:ind w:left="4001" w:hanging="360"/>
      </w:pPr>
      <w:rPr>
        <w:rFonts w:ascii="Wingdings" w:hAnsi="Wingdings" w:hint="default"/>
      </w:rPr>
    </w:lvl>
    <w:lvl w:ilvl="6" w:tplc="04260001" w:tentative="1">
      <w:start w:val="1"/>
      <w:numFmt w:val="bullet"/>
      <w:lvlText w:val=""/>
      <w:lvlJc w:val="left"/>
      <w:pPr>
        <w:ind w:left="4721" w:hanging="360"/>
      </w:pPr>
      <w:rPr>
        <w:rFonts w:ascii="Symbol" w:hAnsi="Symbol" w:hint="default"/>
      </w:rPr>
    </w:lvl>
    <w:lvl w:ilvl="7" w:tplc="04260003" w:tentative="1">
      <w:start w:val="1"/>
      <w:numFmt w:val="bullet"/>
      <w:lvlText w:val="o"/>
      <w:lvlJc w:val="left"/>
      <w:pPr>
        <w:ind w:left="5441" w:hanging="360"/>
      </w:pPr>
      <w:rPr>
        <w:rFonts w:ascii="Courier New" w:hAnsi="Courier New" w:cs="Courier New" w:hint="default"/>
      </w:rPr>
    </w:lvl>
    <w:lvl w:ilvl="8" w:tplc="04260005" w:tentative="1">
      <w:start w:val="1"/>
      <w:numFmt w:val="bullet"/>
      <w:lvlText w:val=""/>
      <w:lvlJc w:val="left"/>
      <w:pPr>
        <w:ind w:left="6161" w:hanging="360"/>
      </w:pPr>
      <w:rPr>
        <w:rFonts w:ascii="Wingdings" w:hAnsi="Wingdings" w:hint="default"/>
      </w:rPr>
    </w:lvl>
  </w:abstractNum>
  <w:abstractNum w:abstractNumId="41" w15:restartNumberingAfterBreak="0">
    <w:nsid w:val="7D404FFB"/>
    <w:multiLevelType w:val="hybridMultilevel"/>
    <w:tmpl w:val="B6A8FCCE"/>
    <w:lvl w:ilvl="0" w:tplc="109439F4">
      <w:start w:val="3"/>
      <w:numFmt w:val="bullet"/>
      <w:lvlText w:val="-"/>
      <w:lvlJc w:val="left"/>
      <w:pPr>
        <w:ind w:left="720" w:hanging="360"/>
      </w:pPr>
      <w:rPr>
        <w:rFonts w:ascii="Times New Roman" w:eastAsiaTheme="minorHAnsi" w:hAnsi="Times New Roman" w:cs="Times New Roman" w:hint="default"/>
        <w:b w:val="0"/>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6908B0"/>
    <w:multiLevelType w:val="hybridMultilevel"/>
    <w:tmpl w:val="22CC3FB6"/>
    <w:lvl w:ilvl="0" w:tplc="58C4E1D4">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8972B5"/>
    <w:multiLevelType w:val="hybridMultilevel"/>
    <w:tmpl w:val="95183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0"/>
  </w:num>
  <w:num w:numId="3">
    <w:abstractNumId w:val="18"/>
  </w:num>
  <w:num w:numId="4">
    <w:abstractNumId w:val="39"/>
  </w:num>
  <w:num w:numId="5">
    <w:abstractNumId w:val="10"/>
  </w:num>
  <w:num w:numId="6">
    <w:abstractNumId w:val="24"/>
  </w:num>
  <w:num w:numId="7">
    <w:abstractNumId w:val="6"/>
  </w:num>
  <w:num w:numId="8">
    <w:abstractNumId w:val="40"/>
  </w:num>
  <w:num w:numId="9">
    <w:abstractNumId w:val="1"/>
  </w:num>
  <w:num w:numId="10">
    <w:abstractNumId w:val="12"/>
  </w:num>
  <w:num w:numId="11">
    <w:abstractNumId w:val="19"/>
  </w:num>
  <w:num w:numId="12">
    <w:abstractNumId w:val="33"/>
  </w:num>
  <w:num w:numId="13">
    <w:abstractNumId w:val="29"/>
  </w:num>
  <w:num w:numId="14">
    <w:abstractNumId w:val="14"/>
  </w:num>
  <w:num w:numId="15">
    <w:abstractNumId w:val="42"/>
  </w:num>
  <w:num w:numId="16">
    <w:abstractNumId w:val="23"/>
  </w:num>
  <w:num w:numId="17">
    <w:abstractNumId w:val="2"/>
  </w:num>
  <w:num w:numId="18">
    <w:abstractNumId w:val="5"/>
  </w:num>
  <w:num w:numId="19">
    <w:abstractNumId w:val="43"/>
  </w:num>
  <w:num w:numId="20">
    <w:abstractNumId w:val="9"/>
  </w:num>
  <w:num w:numId="21">
    <w:abstractNumId w:val="31"/>
  </w:num>
  <w:num w:numId="22">
    <w:abstractNumId w:val="41"/>
  </w:num>
  <w:num w:numId="23">
    <w:abstractNumId w:val="22"/>
  </w:num>
  <w:num w:numId="24">
    <w:abstractNumId w:val="26"/>
  </w:num>
  <w:num w:numId="25">
    <w:abstractNumId w:val="35"/>
  </w:num>
  <w:num w:numId="26">
    <w:abstractNumId w:val="37"/>
  </w:num>
  <w:num w:numId="27">
    <w:abstractNumId w:val="16"/>
  </w:num>
  <w:num w:numId="28">
    <w:abstractNumId w:val="15"/>
  </w:num>
  <w:num w:numId="29">
    <w:abstractNumId w:val="13"/>
  </w:num>
  <w:num w:numId="30">
    <w:abstractNumId w:val="38"/>
  </w:num>
  <w:num w:numId="31">
    <w:abstractNumId w:val="32"/>
  </w:num>
  <w:num w:numId="32">
    <w:abstractNumId w:val="28"/>
  </w:num>
  <w:num w:numId="33">
    <w:abstractNumId w:val="27"/>
  </w:num>
  <w:num w:numId="34">
    <w:abstractNumId w:val="25"/>
  </w:num>
  <w:num w:numId="35">
    <w:abstractNumId w:val="7"/>
  </w:num>
  <w:num w:numId="36">
    <w:abstractNumId w:val="3"/>
  </w:num>
  <w:num w:numId="37">
    <w:abstractNumId w:val="4"/>
  </w:num>
  <w:num w:numId="38">
    <w:abstractNumId w:val="36"/>
  </w:num>
  <w:num w:numId="39">
    <w:abstractNumId w:val="8"/>
  </w:num>
  <w:num w:numId="40">
    <w:abstractNumId w:val="11"/>
  </w:num>
  <w:num w:numId="41">
    <w:abstractNumId w:val="20"/>
  </w:num>
  <w:num w:numId="42">
    <w:abstractNumId w:val="34"/>
  </w:num>
  <w:num w:numId="43">
    <w:abstractNumId w:val="17"/>
  </w:num>
  <w:num w:numId="4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53"/>
    <w:rsid w:val="00000662"/>
    <w:rsid w:val="00000797"/>
    <w:rsid w:val="00000E22"/>
    <w:rsid w:val="000010E9"/>
    <w:rsid w:val="000012CB"/>
    <w:rsid w:val="00001FA0"/>
    <w:rsid w:val="00002CA6"/>
    <w:rsid w:val="00002D3D"/>
    <w:rsid w:val="00003C58"/>
    <w:rsid w:val="00004BA0"/>
    <w:rsid w:val="00004EF2"/>
    <w:rsid w:val="00004EF6"/>
    <w:rsid w:val="0000507F"/>
    <w:rsid w:val="00005263"/>
    <w:rsid w:val="000059B7"/>
    <w:rsid w:val="00005A22"/>
    <w:rsid w:val="00005BCC"/>
    <w:rsid w:val="00005BED"/>
    <w:rsid w:val="00007085"/>
    <w:rsid w:val="0000779F"/>
    <w:rsid w:val="00007CB4"/>
    <w:rsid w:val="00010C20"/>
    <w:rsid w:val="000111D8"/>
    <w:rsid w:val="00011804"/>
    <w:rsid w:val="00011A37"/>
    <w:rsid w:val="00011D0A"/>
    <w:rsid w:val="00011F3A"/>
    <w:rsid w:val="00012117"/>
    <w:rsid w:val="00012BDB"/>
    <w:rsid w:val="000132AB"/>
    <w:rsid w:val="00013309"/>
    <w:rsid w:val="00013364"/>
    <w:rsid w:val="00013746"/>
    <w:rsid w:val="00014779"/>
    <w:rsid w:val="0001509E"/>
    <w:rsid w:val="0001523A"/>
    <w:rsid w:val="000155A8"/>
    <w:rsid w:val="00015DD2"/>
    <w:rsid w:val="00016E09"/>
    <w:rsid w:val="00016E6D"/>
    <w:rsid w:val="00016F1F"/>
    <w:rsid w:val="00017934"/>
    <w:rsid w:val="000204AC"/>
    <w:rsid w:val="0002082E"/>
    <w:rsid w:val="00020833"/>
    <w:rsid w:val="00020E78"/>
    <w:rsid w:val="0002145A"/>
    <w:rsid w:val="000215A6"/>
    <w:rsid w:val="00021EE0"/>
    <w:rsid w:val="00024E0A"/>
    <w:rsid w:val="00025238"/>
    <w:rsid w:val="00025AB6"/>
    <w:rsid w:val="000261E6"/>
    <w:rsid w:val="0002711C"/>
    <w:rsid w:val="00030CD1"/>
    <w:rsid w:val="00031192"/>
    <w:rsid w:val="000317E1"/>
    <w:rsid w:val="00032818"/>
    <w:rsid w:val="00032B5A"/>
    <w:rsid w:val="00033C6B"/>
    <w:rsid w:val="000340C6"/>
    <w:rsid w:val="000344B8"/>
    <w:rsid w:val="00035DA7"/>
    <w:rsid w:val="000368A1"/>
    <w:rsid w:val="000368EA"/>
    <w:rsid w:val="00037C79"/>
    <w:rsid w:val="00040061"/>
    <w:rsid w:val="00040337"/>
    <w:rsid w:val="00041052"/>
    <w:rsid w:val="0004180E"/>
    <w:rsid w:val="00041B4A"/>
    <w:rsid w:val="00041D9D"/>
    <w:rsid w:val="00042520"/>
    <w:rsid w:val="00042AD8"/>
    <w:rsid w:val="00044038"/>
    <w:rsid w:val="00046212"/>
    <w:rsid w:val="00046E70"/>
    <w:rsid w:val="000477EB"/>
    <w:rsid w:val="00047D05"/>
    <w:rsid w:val="00050634"/>
    <w:rsid w:val="00051281"/>
    <w:rsid w:val="00051D59"/>
    <w:rsid w:val="0005227B"/>
    <w:rsid w:val="0005279C"/>
    <w:rsid w:val="0005284F"/>
    <w:rsid w:val="00052DDB"/>
    <w:rsid w:val="00053360"/>
    <w:rsid w:val="000538FA"/>
    <w:rsid w:val="00053D97"/>
    <w:rsid w:val="00054247"/>
    <w:rsid w:val="0005460C"/>
    <w:rsid w:val="00054C13"/>
    <w:rsid w:val="0005701D"/>
    <w:rsid w:val="000601CE"/>
    <w:rsid w:val="0006062A"/>
    <w:rsid w:val="0006091D"/>
    <w:rsid w:val="00060EBB"/>
    <w:rsid w:val="00061390"/>
    <w:rsid w:val="00061BB9"/>
    <w:rsid w:val="00063887"/>
    <w:rsid w:val="0006495D"/>
    <w:rsid w:val="00064F81"/>
    <w:rsid w:val="00065339"/>
    <w:rsid w:val="00065366"/>
    <w:rsid w:val="00066513"/>
    <w:rsid w:val="000670F3"/>
    <w:rsid w:val="00067A8F"/>
    <w:rsid w:val="000707D3"/>
    <w:rsid w:val="000712C7"/>
    <w:rsid w:val="00071A9F"/>
    <w:rsid w:val="0007258A"/>
    <w:rsid w:val="000738D1"/>
    <w:rsid w:val="00074704"/>
    <w:rsid w:val="00074E1F"/>
    <w:rsid w:val="0007551F"/>
    <w:rsid w:val="00075AAF"/>
    <w:rsid w:val="00075AE4"/>
    <w:rsid w:val="00075EFF"/>
    <w:rsid w:val="0007769A"/>
    <w:rsid w:val="0007773B"/>
    <w:rsid w:val="0008052F"/>
    <w:rsid w:val="00081409"/>
    <w:rsid w:val="00081A59"/>
    <w:rsid w:val="000824DA"/>
    <w:rsid w:val="00083B83"/>
    <w:rsid w:val="000841C1"/>
    <w:rsid w:val="0008471B"/>
    <w:rsid w:val="00084A9F"/>
    <w:rsid w:val="0008512A"/>
    <w:rsid w:val="000853A3"/>
    <w:rsid w:val="00085416"/>
    <w:rsid w:val="0008545B"/>
    <w:rsid w:val="000857BE"/>
    <w:rsid w:val="000865A6"/>
    <w:rsid w:val="00086A23"/>
    <w:rsid w:val="00086A74"/>
    <w:rsid w:val="0009140F"/>
    <w:rsid w:val="0009186B"/>
    <w:rsid w:val="00091CB8"/>
    <w:rsid w:val="00092B1A"/>
    <w:rsid w:val="00094165"/>
    <w:rsid w:val="0009486A"/>
    <w:rsid w:val="00094D74"/>
    <w:rsid w:val="000950D9"/>
    <w:rsid w:val="00095C8D"/>
    <w:rsid w:val="00096A94"/>
    <w:rsid w:val="00096AA3"/>
    <w:rsid w:val="0009711A"/>
    <w:rsid w:val="0009738F"/>
    <w:rsid w:val="000975DA"/>
    <w:rsid w:val="000977FD"/>
    <w:rsid w:val="000A13C4"/>
    <w:rsid w:val="000A1A89"/>
    <w:rsid w:val="000A28C2"/>
    <w:rsid w:val="000A2B24"/>
    <w:rsid w:val="000A3249"/>
    <w:rsid w:val="000A36BA"/>
    <w:rsid w:val="000A3E28"/>
    <w:rsid w:val="000A4B43"/>
    <w:rsid w:val="000A4BCB"/>
    <w:rsid w:val="000A4F2F"/>
    <w:rsid w:val="000A5546"/>
    <w:rsid w:val="000A5FBA"/>
    <w:rsid w:val="000A64FF"/>
    <w:rsid w:val="000A6F59"/>
    <w:rsid w:val="000B05C7"/>
    <w:rsid w:val="000B098A"/>
    <w:rsid w:val="000B0E1E"/>
    <w:rsid w:val="000B13E1"/>
    <w:rsid w:val="000B1B37"/>
    <w:rsid w:val="000B2C87"/>
    <w:rsid w:val="000B3CEB"/>
    <w:rsid w:val="000B42F3"/>
    <w:rsid w:val="000B4789"/>
    <w:rsid w:val="000B4CE3"/>
    <w:rsid w:val="000B5A71"/>
    <w:rsid w:val="000B60B1"/>
    <w:rsid w:val="000B67F6"/>
    <w:rsid w:val="000B6E26"/>
    <w:rsid w:val="000B7722"/>
    <w:rsid w:val="000B7F13"/>
    <w:rsid w:val="000C014D"/>
    <w:rsid w:val="000C02B4"/>
    <w:rsid w:val="000C07B7"/>
    <w:rsid w:val="000C0829"/>
    <w:rsid w:val="000C0D9C"/>
    <w:rsid w:val="000C118F"/>
    <w:rsid w:val="000C1798"/>
    <w:rsid w:val="000C2477"/>
    <w:rsid w:val="000C2987"/>
    <w:rsid w:val="000C2B06"/>
    <w:rsid w:val="000C2D5E"/>
    <w:rsid w:val="000C3B83"/>
    <w:rsid w:val="000C5748"/>
    <w:rsid w:val="000C5A60"/>
    <w:rsid w:val="000C6475"/>
    <w:rsid w:val="000C64F8"/>
    <w:rsid w:val="000C68D7"/>
    <w:rsid w:val="000C6A6F"/>
    <w:rsid w:val="000C6F85"/>
    <w:rsid w:val="000C7745"/>
    <w:rsid w:val="000C78AB"/>
    <w:rsid w:val="000C7E03"/>
    <w:rsid w:val="000C7EA0"/>
    <w:rsid w:val="000D01A2"/>
    <w:rsid w:val="000D0343"/>
    <w:rsid w:val="000D03B2"/>
    <w:rsid w:val="000D0811"/>
    <w:rsid w:val="000D0E68"/>
    <w:rsid w:val="000D0F6D"/>
    <w:rsid w:val="000D0FCD"/>
    <w:rsid w:val="000D1851"/>
    <w:rsid w:val="000D2E93"/>
    <w:rsid w:val="000D3013"/>
    <w:rsid w:val="000D3CE4"/>
    <w:rsid w:val="000D4176"/>
    <w:rsid w:val="000D472F"/>
    <w:rsid w:val="000D4C76"/>
    <w:rsid w:val="000D50D2"/>
    <w:rsid w:val="000D51C9"/>
    <w:rsid w:val="000D683E"/>
    <w:rsid w:val="000D6C44"/>
    <w:rsid w:val="000D6CFF"/>
    <w:rsid w:val="000D78F8"/>
    <w:rsid w:val="000D7A07"/>
    <w:rsid w:val="000E036F"/>
    <w:rsid w:val="000E05FD"/>
    <w:rsid w:val="000E15EB"/>
    <w:rsid w:val="000E1B83"/>
    <w:rsid w:val="000E1C7F"/>
    <w:rsid w:val="000E1D8F"/>
    <w:rsid w:val="000E24E4"/>
    <w:rsid w:val="000E25D4"/>
    <w:rsid w:val="000E287D"/>
    <w:rsid w:val="000E37B7"/>
    <w:rsid w:val="000E4222"/>
    <w:rsid w:val="000E4C1C"/>
    <w:rsid w:val="000E4D3A"/>
    <w:rsid w:val="000E540F"/>
    <w:rsid w:val="000E54CF"/>
    <w:rsid w:val="000E5C49"/>
    <w:rsid w:val="000E5C50"/>
    <w:rsid w:val="000E5F2F"/>
    <w:rsid w:val="000E646C"/>
    <w:rsid w:val="000F0B38"/>
    <w:rsid w:val="000F23EC"/>
    <w:rsid w:val="000F2D22"/>
    <w:rsid w:val="000F2EB7"/>
    <w:rsid w:val="000F448E"/>
    <w:rsid w:val="000F455A"/>
    <w:rsid w:val="000F4C99"/>
    <w:rsid w:val="000F5234"/>
    <w:rsid w:val="000F56D8"/>
    <w:rsid w:val="000F58EA"/>
    <w:rsid w:val="000F5C99"/>
    <w:rsid w:val="000F7119"/>
    <w:rsid w:val="000F7575"/>
    <w:rsid w:val="000F7892"/>
    <w:rsid w:val="00100548"/>
    <w:rsid w:val="0010082C"/>
    <w:rsid w:val="00101E2A"/>
    <w:rsid w:val="00102D5B"/>
    <w:rsid w:val="00103052"/>
    <w:rsid w:val="00103054"/>
    <w:rsid w:val="0010309D"/>
    <w:rsid w:val="001033EC"/>
    <w:rsid w:val="001041E1"/>
    <w:rsid w:val="00104707"/>
    <w:rsid w:val="00104788"/>
    <w:rsid w:val="00104BBC"/>
    <w:rsid w:val="00104C9A"/>
    <w:rsid w:val="00105264"/>
    <w:rsid w:val="001052A3"/>
    <w:rsid w:val="001054BF"/>
    <w:rsid w:val="00105758"/>
    <w:rsid w:val="00105BB3"/>
    <w:rsid w:val="00105D26"/>
    <w:rsid w:val="00105FCB"/>
    <w:rsid w:val="001068EA"/>
    <w:rsid w:val="00106C8C"/>
    <w:rsid w:val="00107138"/>
    <w:rsid w:val="00107C5B"/>
    <w:rsid w:val="00107FE9"/>
    <w:rsid w:val="00110748"/>
    <w:rsid w:val="00110AFF"/>
    <w:rsid w:val="00110F73"/>
    <w:rsid w:val="00111755"/>
    <w:rsid w:val="00112292"/>
    <w:rsid w:val="001127F2"/>
    <w:rsid w:val="001131D0"/>
    <w:rsid w:val="00113E8B"/>
    <w:rsid w:val="0011419F"/>
    <w:rsid w:val="001151F6"/>
    <w:rsid w:val="00116169"/>
    <w:rsid w:val="0011623D"/>
    <w:rsid w:val="00117B8E"/>
    <w:rsid w:val="001209FF"/>
    <w:rsid w:val="00120B02"/>
    <w:rsid w:val="00121773"/>
    <w:rsid w:val="00121AD5"/>
    <w:rsid w:val="00121B73"/>
    <w:rsid w:val="00122AD7"/>
    <w:rsid w:val="00122BD7"/>
    <w:rsid w:val="00123141"/>
    <w:rsid w:val="00123E6E"/>
    <w:rsid w:val="0012517F"/>
    <w:rsid w:val="001258DB"/>
    <w:rsid w:val="001258EC"/>
    <w:rsid w:val="00126E9C"/>
    <w:rsid w:val="0012750F"/>
    <w:rsid w:val="00130048"/>
    <w:rsid w:val="001300DF"/>
    <w:rsid w:val="00131B1F"/>
    <w:rsid w:val="00132338"/>
    <w:rsid w:val="00132469"/>
    <w:rsid w:val="001332C5"/>
    <w:rsid w:val="001341C3"/>
    <w:rsid w:val="0013575F"/>
    <w:rsid w:val="0013637B"/>
    <w:rsid w:val="00136B69"/>
    <w:rsid w:val="00136F39"/>
    <w:rsid w:val="00137930"/>
    <w:rsid w:val="00137BD9"/>
    <w:rsid w:val="00137F91"/>
    <w:rsid w:val="0014039B"/>
    <w:rsid w:val="00140570"/>
    <w:rsid w:val="00140686"/>
    <w:rsid w:val="00140B64"/>
    <w:rsid w:val="0014113C"/>
    <w:rsid w:val="00141DAB"/>
    <w:rsid w:val="00141DBB"/>
    <w:rsid w:val="0014268B"/>
    <w:rsid w:val="0014512D"/>
    <w:rsid w:val="001451D6"/>
    <w:rsid w:val="001459F9"/>
    <w:rsid w:val="0014632B"/>
    <w:rsid w:val="001469CA"/>
    <w:rsid w:val="0014702B"/>
    <w:rsid w:val="001471C5"/>
    <w:rsid w:val="00147750"/>
    <w:rsid w:val="00150205"/>
    <w:rsid w:val="001504EE"/>
    <w:rsid w:val="001505D5"/>
    <w:rsid w:val="00153038"/>
    <w:rsid w:val="00153114"/>
    <w:rsid w:val="0015359E"/>
    <w:rsid w:val="00153CFB"/>
    <w:rsid w:val="00153D37"/>
    <w:rsid w:val="001544CB"/>
    <w:rsid w:val="0015463D"/>
    <w:rsid w:val="00155509"/>
    <w:rsid w:val="0015565C"/>
    <w:rsid w:val="00156099"/>
    <w:rsid w:val="00156198"/>
    <w:rsid w:val="00157025"/>
    <w:rsid w:val="00157576"/>
    <w:rsid w:val="001576C7"/>
    <w:rsid w:val="00157C3A"/>
    <w:rsid w:val="00157C4F"/>
    <w:rsid w:val="001607E4"/>
    <w:rsid w:val="00161201"/>
    <w:rsid w:val="001614DF"/>
    <w:rsid w:val="00161E8F"/>
    <w:rsid w:val="001624A6"/>
    <w:rsid w:val="0016264A"/>
    <w:rsid w:val="001628EF"/>
    <w:rsid w:val="00162DCB"/>
    <w:rsid w:val="0016364D"/>
    <w:rsid w:val="0016393C"/>
    <w:rsid w:val="00163940"/>
    <w:rsid w:val="0016406E"/>
    <w:rsid w:val="00165033"/>
    <w:rsid w:val="0016623A"/>
    <w:rsid w:val="001663D2"/>
    <w:rsid w:val="00166616"/>
    <w:rsid w:val="00167F4E"/>
    <w:rsid w:val="00170049"/>
    <w:rsid w:val="001706C6"/>
    <w:rsid w:val="00170BBB"/>
    <w:rsid w:val="00171A05"/>
    <w:rsid w:val="00171F11"/>
    <w:rsid w:val="00172808"/>
    <w:rsid w:val="00173D53"/>
    <w:rsid w:val="00173E35"/>
    <w:rsid w:val="001745FA"/>
    <w:rsid w:val="001748EE"/>
    <w:rsid w:val="00174D9A"/>
    <w:rsid w:val="001758AA"/>
    <w:rsid w:val="00175C84"/>
    <w:rsid w:val="001766F6"/>
    <w:rsid w:val="001767CC"/>
    <w:rsid w:val="00177476"/>
    <w:rsid w:val="00177F43"/>
    <w:rsid w:val="00180021"/>
    <w:rsid w:val="00180302"/>
    <w:rsid w:val="00180B05"/>
    <w:rsid w:val="00180E68"/>
    <w:rsid w:val="00181162"/>
    <w:rsid w:val="0018182E"/>
    <w:rsid w:val="00181B0E"/>
    <w:rsid w:val="00182309"/>
    <w:rsid w:val="001826FB"/>
    <w:rsid w:val="00183A17"/>
    <w:rsid w:val="00183F04"/>
    <w:rsid w:val="0018424E"/>
    <w:rsid w:val="001845E3"/>
    <w:rsid w:val="00185015"/>
    <w:rsid w:val="00185B7D"/>
    <w:rsid w:val="00186872"/>
    <w:rsid w:val="001871E2"/>
    <w:rsid w:val="0018731B"/>
    <w:rsid w:val="0018760A"/>
    <w:rsid w:val="00187DDF"/>
    <w:rsid w:val="00190052"/>
    <w:rsid w:val="00190483"/>
    <w:rsid w:val="00190EAC"/>
    <w:rsid w:val="00191337"/>
    <w:rsid w:val="0019186E"/>
    <w:rsid w:val="00191C97"/>
    <w:rsid w:val="00191F59"/>
    <w:rsid w:val="001920CE"/>
    <w:rsid w:val="00192E78"/>
    <w:rsid w:val="001932D5"/>
    <w:rsid w:val="001934C7"/>
    <w:rsid w:val="001949D4"/>
    <w:rsid w:val="00195179"/>
    <w:rsid w:val="00195285"/>
    <w:rsid w:val="0019538B"/>
    <w:rsid w:val="0019561B"/>
    <w:rsid w:val="00195C37"/>
    <w:rsid w:val="00195F9D"/>
    <w:rsid w:val="00196468"/>
    <w:rsid w:val="00197725"/>
    <w:rsid w:val="00197931"/>
    <w:rsid w:val="00197D8A"/>
    <w:rsid w:val="001A122E"/>
    <w:rsid w:val="001A1298"/>
    <w:rsid w:val="001A13DF"/>
    <w:rsid w:val="001A18D7"/>
    <w:rsid w:val="001A30C3"/>
    <w:rsid w:val="001A31DD"/>
    <w:rsid w:val="001A36F8"/>
    <w:rsid w:val="001A45AE"/>
    <w:rsid w:val="001A4704"/>
    <w:rsid w:val="001A4813"/>
    <w:rsid w:val="001A5EA7"/>
    <w:rsid w:val="001A67A5"/>
    <w:rsid w:val="001A704C"/>
    <w:rsid w:val="001A726B"/>
    <w:rsid w:val="001A7662"/>
    <w:rsid w:val="001B012B"/>
    <w:rsid w:val="001B03D3"/>
    <w:rsid w:val="001B0D24"/>
    <w:rsid w:val="001B10D3"/>
    <w:rsid w:val="001B1DB1"/>
    <w:rsid w:val="001B243A"/>
    <w:rsid w:val="001B2BEE"/>
    <w:rsid w:val="001B2D61"/>
    <w:rsid w:val="001B2D6F"/>
    <w:rsid w:val="001B2F18"/>
    <w:rsid w:val="001B3100"/>
    <w:rsid w:val="001B3903"/>
    <w:rsid w:val="001B3F59"/>
    <w:rsid w:val="001B413E"/>
    <w:rsid w:val="001B44CC"/>
    <w:rsid w:val="001B4949"/>
    <w:rsid w:val="001B7A02"/>
    <w:rsid w:val="001C1822"/>
    <w:rsid w:val="001C227D"/>
    <w:rsid w:val="001C2282"/>
    <w:rsid w:val="001C273B"/>
    <w:rsid w:val="001C2B0B"/>
    <w:rsid w:val="001C2B3B"/>
    <w:rsid w:val="001C40B0"/>
    <w:rsid w:val="001C5D53"/>
    <w:rsid w:val="001D0306"/>
    <w:rsid w:val="001D0623"/>
    <w:rsid w:val="001D0FE1"/>
    <w:rsid w:val="001D1193"/>
    <w:rsid w:val="001D16B7"/>
    <w:rsid w:val="001D18D0"/>
    <w:rsid w:val="001D19E7"/>
    <w:rsid w:val="001D23F0"/>
    <w:rsid w:val="001D2598"/>
    <w:rsid w:val="001D26AB"/>
    <w:rsid w:val="001D2F73"/>
    <w:rsid w:val="001D36AA"/>
    <w:rsid w:val="001D3A5B"/>
    <w:rsid w:val="001D4109"/>
    <w:rsid w:val="001D42F9"/>
    <w:rsid w:val="001D48E7"/>
    <w:rsid w:val="001D4D9B"/>
    <w:rsid w:val="001D5040"/>
    <w:rsid w:val="001D505F"/>
    <w:rsid w:val="001D5BB4"/>
    <w:rsid w:val="001D6CFA"/>
    <w:rsid w:val="001D71F4"/>
    <w:rsid w:val="001D77C5"/>
    <w:rsid w:val="001D7E56"/>
    <w:rsid w:val="001E07EB"/>
    <w:rsid w:val="001E08B3"/>
    <w:rsid w:val="001E0AB7"/>
    <w:rsid w:val="001E117E"/>
    <w:rsid w:val="001E15FF"/>
    <w:rsid w:val="001E1C4E"/>
    <w:rsid w:val="001E1CCE"/>
    <w:rsid w:val="001E265F"/>
    <w:rsid w:val="001E29AD"/>
    <w:rsid w:val="001E2E57"/>
    <w:rsid w:val="001E36B6"/>
    <w:rsid w:val="001E38F1"/>
    <w:rsid w:val="001E3EA8"/>
    <w:rsid w:val="001E3F33"/>
    <w:rsid w:val="001E4532"/>
    <w:rsid w:val="001E496C"/>
    <w:rsid w:val="001E5178"/>
    <w:rsid w:val="001E51E1"/>
    <w:rsid w:val="001E59B6"/>
    <w:rsid w:val="001E6ABC"/>
    <w:rsid w:val="001E6FED"/>
    <w:rsid w:val="001E7B13"/>
    <w:rsid w:val="001F0455"/>
    <w:rsid w:val="001F0933"/>
    <w:rsid w:val="001F11C4"/>
    <w:rsid w:val="001F14F3"/>
    <w:rsid w:val="001F18B2"/>
    <w:rsid w:val="001F1F4C"/>
    <w:rsid w:val="001F2616"/>
    <w:rsid w:val="001F297A"/>
    <w:rsid w:val="001F339F"/>
    <w:rsid w:val="001F4485"/>
    <w:rsid w:val="001F47E4"/>
    <w:rsid w:val="001F4B27"/>
    <w:rsid w:val="001F4CFF"/>
    <w:rsid w:val="001F5C9F"/>
    <w:rsid w:val="001F67E2"/>
    <w:rsid w:val="001F6A8B"/>
    <w:rsid w:val="001F6FBA"/>
    <w:rsid w:val="001F70D4"/>
    <w:rsid w:val="001F71C7"/>
    <w:rsid w:val="001F76B5"/>
    <w:rsid w:val="002009AC"/>
    <w:rsid w:val="00201071"/>
    <w:rsid w:val="00201F99"/>
    <w:rsid w:val="002021F6"/>
    <w:rsid w:val="00202289"/>
    <w:rsid w:val="00202A29"/>
    <w:rsid w:val="00202B60"/>
    <w:rsid w:val="00203A93"/>
    <w:rsid w:val="002044FB"/>
    <w:rsid w:val="0020620A"/>
    <w:rsid w:val="002074CC"/>
    <w:rsid w:val="002074EF"/>
    <w:rsid w:val="00207B91"/>
    <w:rsid w:val="00207CE5"/>
    <w:rsid w:val="00210A1D"/>
    <w:rsid w:val="00210B8B"/>
    <w:rsid w:val="0021192D"/>
    <w:rsid w:val="00211EDC"/>
    <w:rsid w:val="00212B02"/>
    <w:rsid w:val="00212C8F"/>
    <w:rsid w:val="00213389"/>
    <w:rsid w:val="00213467"/>
    <w:rsid w:val="0021368D"/>
    <w:rsid w:val="00213891"/>
    <w:rsid w:val="00214BEB"/>
    <w:rsid w:val="00214CAE"/>
    <w:rsid w:val="00214D65"/>
    <w:rsid w:val="00214DCF"/>
    <w:rsid w:val="00215865"/>
    <w:rsid w:val="002159B4"/>
    <w:rsid w:val="00216F0B"/>
    <w:rsid w:val="0021719D"/>
    <w:rsid w:val="002174F2"/>
    <w:rsid w:val="00220FA0"/>
    <w:rsid w:val="0022145F"/>
    <w:rsid w:val="00221606"/>
    <w:rsid w:val="00221B1F"/>
    <w:rsid w:val="00221B5E"/>
    <w:rsid w:val="0022370F"/>
    <w:rsid w:val="00223B8D"/>
    <w:rsid w:val="00223C8D"/>
    <w:rsid w:val="00223FD3"/>
    <w:rsid w:val="002241D5"/>
    <w:rsid w:val="002247C7"/>
    <w:rsid w:val="00224F33"/>
    <w:rsid w:val="00225A22"/>
    <w:rsid w:val="00225E0E"/>
    <w:rsid w:val="00226B9A"/>
    <w:rsid w:val="00226D82"/>
    <w:rsid w:val="00230484"/>
    <w:rsid w:val="00230DD7"/>
    <w:rsid w:val="00230E9D"/>
    <w:rsid w:val="00231C79"/>
    <w:rsid w:val="002320A5"/>
    <w:rsid w:val="0023282E"/>
    <w:rsid w:val="00232A54"/>
    <w:rsid w:val="00232E53"/>
    <w:rsid w:val="002337DD"/>
    <w:rsid w:val="0023385B"/>
    <w:rsid w:val="00235003"/>
    <w:rsid w:val="00235531"/>
    <w:rsid w:val="002356A7"/>
    <w:rsid w:val="00235A57"/>
    <w:rsid w:val="00235BD3"/>
    <w:rsid w:val="00235F0F"/>
    <w:rsid w:val="00236C5E"/>
    <w:rsid w:val="00237B04"/>
    <w:rsid w:val="00240856"/>
    <w:rsid w:val="00240E39"/>
    <w:rsid w:val="00241946"/>
    <w:rsid w:val="00243212"/>
    <w:rsid w:val="00244508"/>
    <w:rsid w:val="00244A07"/>
    <w:rsid w:val="002451B9"/>
    <w:rsid w:val="00245B03"/>
    <w:rsid w:val="00246010"/>
    <w:rsid w:val="0024641B"/>
    <w:rsid w:val="0024659E"/>
    <w:rsid w:val="00246A4B"/>
    <w:rsid w:val="00246FD9"/>
    <w:rsid w:val="00247D4A"/>
    <w:rsid w:val="00247D92"/>
    <w:rsid w:val="00251D90"/>
    <w:rsid w:val="00251EAD"/>
    <w:rsid w:val="00252966"/>
    <w:rsid w:val="00252CFE"/>
    <w:rsid w:val="0025329D"/>
    <w:rsid w:val="0025344E"/>
    <w:rsid w:val="00254F14"/>
    <w:rsid w:val="002561AF"/>
    <w:rsid w:val="00256D36"/>
    <w:rsid w:val="00257254"/>
    <w:rsid w:val="002572A7"/>
    <w:rsid w:val="0025734A"/>
    <w:rsid w:val="00257954"/>
    <w:rsid w:val="002609B3"/>
    <w:rsid w:val="0026146D"/>
    <w:rsid w:val="002615FC"/>
    <w:rsid w:val="00261D0D"/>
    <w:rsid w:val="002621AA"/>
    <w:rsid w:val="002624F9"/>
    <w:rsid w:val="002628A7"/>
    <w:rsid w:val="0026291E"/>
    <w:rsid w:val="00263154"/>
    <w:rsid w:val="00263525"/>
    <w:rsid w:val="00263E76"/>
    <w:rsid w:val="0026428B"/>
    <w:rsid w:val="00264B43"/>
    <w:rsid w:val="00264F4E"/>
    <w:rsid w:val="002658AA"/>
    <w:rsid w:val="00265A48"/>
    <w:rsid w:val="00265C6F"/>
    <w:rsid w:val="002660E6"/>
    <w:rsid w:val="002662FB"/>
    <w:rsid w:val="0026672E"/>
    <w:rsid w:val="00267C40"/>
    <w:rsid w:val="00270086"/>
    <w:rsid w:val="0027125C"/>
    <w:rsid w:val="002712F4"/>
    <w:rsid w:val="00271516"/>
    <w:rsid w:val="00271550"/>
    <w:rsid w:val="00271723"/>
    <w:rsid w:val="0027194B"/>
    <w:rsid w:val="00272272"/>
    <w:rsid w:val="00272E91"/>
    <w:rsid w:val="002739EE"/>
    <w:rsid w:val="00273C86"/>
    <w:rsid w:val="002742AE"/>
    <w:rsid w:val="00274C3D"/>
    <w:rsid w:val="00274CF6"/>
    <w:rsid w:val="00274F5C"/>
    <w:rsid w:val="00275CC5"/>
    <w:rsid w:val="00275CD6"/>
    <w:rsid w:val="002770A7"/>
    <w:rsid w:val="0027768E"/>
    <w:rsid w:val="00277AF9"/>
    <w:rsid w:val="00280A6F"/>
    <w:rsid w:val="00281E6E"/>
    <w:rsid w:val="0028238A"/>
    <w:rsid w:val="002827CF"/>
    <w:rsid w:val="00282836"/>
    <w:rsid w:val="00282860"/>
    <w:rsid w:val="00282868"/>
    <w:rsid w:val="00282E77"/>
    <w:rsid w:val="00283436"/>
    <w:rsid w:val="00283C62"/>
    <w:rsid w:val="00285C14"/>
    <w:rsid w:val="00286A69"/>
    <w:rsid w:val="0028727F"/>
    <w:rsid w:val="0028738E"/>
    <w:rsid w:val="00287CA6"/>
    <w:rsid w:val="00290AF9"/>
    <w:rsid w:val="00291739"/>
    <w:rsid w:val="00291F3B"/>
    <w:rsid w:val="002920BA"/>
    <w:rsid w:val="00292216"/>
    <w:rsid w:val="00292C73"/>
    <w:rsid w:val="00293724"/>
    <w:rsid w:val="002941FC"/>
    <w:rsid w:val="00294DB7"/>
    <w:rsid w:val="002954A5"/>
    <w:rsid w:val="00295ECF"/>
    <w:rsid w:val="0029657E"/>
    <w:rsid w:val="00296B02"/>
    <w:rsid w:val="002A066B"/>
    <w:rsid w:val="002A1180"/>
    <w:rsid w:val="002A1252"/>
    <w:rsid w:val="002A1E9A"/>
    <w:rsid w:val="002A23A1"/>
    <w:rsid w:val="002A2472"/>
    <w:rsid w:val="002A27BD"/>
    <w:rsid w:val="002A297E"/>
    <w:rsid w:val="002A31B4"/>
    <w:rsid w:val="002A3E26"/>
    <w:rsid w:val="002A3FC1"/>
    <w:rsid w:val="002A4466"/>
    <w:rsid w:val="002A45AF"/>
    <w:rsid w:val="002A4902"/>
    <w:rsid w:val="002A4CBD"/>
    <w:rsid w:val="002A4DB7"/>
    <w:rsid w:val="002A55CC"/>
    <w:rsid w:val="002A5952"/>
    <w:rsid w:val="002A6726"/>
    <w:rsid w:val="002A6BF3"/>
    <w:rsid w:val="002A7220"/>
    <w:rsid w:val="002A73D6"/>
    <w:rsid w:val="002A786C"/>
    <w:rsid w:val="002B04D1"/>
    <w:rsid w:val="002B0A72"/>
    <w:rsid w:val="002B0FCF"/>
    <w:rsid w:val="002B20F6"/>
    <w:rsid w:val="002B2537"/>
    <w:rsid w:val="002B2721"/>
    <w:rsid w:val="002B2D68"/>
    <w:rsid w:val="002B32F8"/>
    <w:rsid w:val="002B34E5"/>
    <w:rsid w:val="002B43A2"/>
    <w:rsid w:val="002B46F7"/>
    <w:rsid w:val="002B6129"/>
    <w:rsid w:val="002B7352"/>
    <w:rsid w:val="002B7BDF"/>
    <w:rsid w:val="002B7C72"/>
    <w:rsid w:val="002C113B"/>
    <w:rsid w:val="002C36B6"/>
    <w:rsid w:val="002C3957"/>
    <w:rsid w:val="002C489F"/>
    <w:rsid w:val="002C5D04"/>
    <w:rsid w:val="002C5FFE"/>
    <w:rsid w:val="002C633D"/>
    <w:rsid w:val="002C6A3C"/>
    <w:rsid w:val="002C6CAD"/>
    <w:rsid w:val="002C6D07"/>
    <w:rsid w:val="002C73EE"/>
    <w:rsid w:val="002D0B4A"/>
    <w:rsid w:val="002D0E6E"/>
    <w:rsid w:val="002D113D"/>
    <w:rsid w:val="002D1777"/>
    <w:rsid w:val="002D1FA0"/>
    <w:rsid w:val="002D24AE"/>
    <w:rsid w:val="002D2620"/>
    <w:rsid w:val="002D2C2C"/>
    <w:rsid w:val="002D39EC"/>
    <w:rsid w:val="002D4162"/>
    <w:rsid w:val="002D503C"/>
    <w:rsid w:val="002D5092"/>
    <w:rsid w:val="002D5476"/>
    <w:rsid w:val="002D5C1C"/>
    <w:rsid w:val="002D5D82"/>
    <w:rsid w:val="002D5E83"/>
    <w:rsid w:val="002D6385"/>
    <w:rsid w:val="002D63BE"/>
    <w:rsid w:val="002D6D5D"/>
    <w:rsid w:val="002D7498"/>
    <w:rsid w:val="002D7C68"/>
    <w:rsid w:val="002E0CB0"/>
    <w:rsid w:val="002E0E26"/>
    <w:rsid w:val="002E17DE"/>
    <w:rsid w:val="002E1F2E"/>
    <w:rsid w:val="002E2248"/>
    <w:rsid w:val="002E252E"/>
    <w:rsid w:val="002E2791"/>
    <w:rsid w:val="002E2B53"/>
    <w:rsid w:val="002E3D2D"/>
    <w:rsid w:val="002E433D"/>
    <w:rsid w:val="002E5AF2"/>
    <w:rsid w:val="002E5F52"/>
    <w:rsid w:val="002E61A5"/>
    <w:rsid w:val="002E6AC0"/>
    <w:rsid w:val="002E7687"/>
    <w:rsid w:val="002E791F"/>
    <w:rsid w:val="002E7AD2"/>
    <w:rsid w:val="002F011B"/>
    <w:rsid w:val="002F07A6"/>
    <w:rsid w:val="002F08B2"/>
    <w:rsid w:val="002F0D0D"/>
    <w:rsid w:val="002F17EE"/>
    <w:rsid w:val="002F1CC7"/>
    <w:rsid w:val="002F2062"/>
    <w:rsid w:val="002F2958"/>
    <w:rsid w:val="002F30D0"/>
    <w:rsid w:val="002F3E63"/>
    <w:rsid w:val="002F43D7"/>
    <w:rsid w:val="002F45D0"/>
    <w:rsid w:val="002F48D2"/>
    <w:rsid w:val="002F5F09"/>
    <w:rsid w:val="002F6056"/>
    <w:rsid w:val="002F6133"/>
    <w:rsid w:val="002F694E"/>
    <w:rsid w:val="002F6B21"/>
    <w:rsid w:val="002F6F7F"/>
    <w:rsid w:val="002F70F1"/>
    <w:rsid w:val="002F76A1"/>
    <w:rsid w:val="002F7D1A"/>
    <w:rsid w:val="00300124"/>
    <w:rsid w:val="00301B84"/>
    <w:rsid w:val="00302772"/>
    <w:rsid w:val="003027E7"/>
    <w:rsid w:val="00302AAD"/>
    <w:rsid w:val="0030473A"/>
    <w:rsid w:val="00305182"/>
    <w:rsid w:val="003052E4"/>
    <w:rsid w:val="003058E9"/>
    <w:rsid w:val="00305A97"/>
    <w:rsid w:val="00306286"/>
    <w:rsid w:val="00306969"/>
    <w:rsid w:val="00306A87"/>
    <w:rsid w:val="00306B2A"/>
    <w:rsid w:val="00306D88"/>
    <w:rsid w:val="0030709D"/>
    <w:rsid w:val="003072DA"/>
    <w:rsid w:val="00307902"/>
    <w:rsid w:val="00310328"/>
    <w:rsid w:val="0031091F"/>
    <w:rsid w:val="0031122B"/>
    <w:rsid w:val="00311B74"/>
    <w:rsid w:val="003120AA"/>
    <w:rsid w:val="003128BF"/>
    <w:rsid w:val="0031353E"/>
    <w:rsid w:val="003135F6"/>
    <w:rsid w:val="00313F76"/>
    <w:rsid w:val="00313FE9"/>
    <w:rsid w:val="00315B8A"/>
    <w:rsid w:val="00315D82"/>
    <w:rsid w:val="00315E8C"/>
    <w:rsid w:val="0031722E"/>
    <w:rsid w:val="00317479"/>
    <w:rsid w:val="00317653"/>
    <w:rsid w:val="00317666"/>
    <w:rsid w:val="003178AC"/>
    <w:rsid w:val="00317BB2"/>
    <w:rsid w:val="003203A5"/>
    <w:rsid w:val="0032105F"/>
    <w:rsid w:val="0032107B"/>
    <w:rsid w:val="003213CC"/>
    <w:rsid w:val="00322151"/>
    <w:rsid w:val="00322858"/>
    <w:rsid w:val="00323693"/>
    <w:rsid w:val="00323847"/>
    <w:rsid w:val="00324452"/>
    <w:rsid w:val="003247E8"/>
    <w:rsid w:val="00324AA2"/>
    <w:rsid w:val="00325E8D"/>
    <w:rsid w:val="003265DE"/>
    <w:rsid w:val="00327055"/>
    <w:rsid w:val="00330C41"/>
    <w:rsid w:val="00331491"/>
    <w:rsid w:val="0033152C"/>
    <w:rsid w:val="00331B89"/>
    <w:rsid w:val="00332A6F"/>
    <w:rsid w:val="00332E17"/>
    <w:rsid w:val="00333994"/>
    <w:rsid w:val="00334160"/>
    <w:rsid w:val="00334495"/>
    <w:rsid w:val="0033465D"/>
    <w:rsid w:val="00334840"/>
    <w:rsid w:val="00334AC9"/>
    <w:rsid w:val="00336184"/>
    <w:rsid w:val="00337230"/>
    <w:rsid w:val="00337ED2"/>
    <w:rsid w:val="00337EDC"/>
    <w:rsid w:val="00340114"/>
    <w:rsid w:val="00340363"/>
    <w:rsid w:val="00341282"/>
    <w:rsid w:val="00341A4C"/>
    <w:rsid w:val="0034248F"/>
    <w:rsid w:val="00342D0D"/>
    <w:rsid w:val="0034379B"/>
    <w:rsid w:val="00343AAE"/>
    <w:rsid w:val="00344A5D"/>
    <w:rsid w:val="00345731"/>
    <w:rsid w:val="00345959"/>
    <w:rsid w:val="00347065"/>
    <w:rsid w:val="00347657"/>
    <w:rsid w:val="003501F0"/>
    <w:rsid w:val="00350550"/>
    <w:rsid w:val="00350DB9"/>
    <w:rsid w:val="00351184"/>
    <w:rsid w:val="0035149B"/>
    <w:rsid w:val="00351E4D"/>
    <w:rsid w:val="00352034"/>
    <w:rsid w:val="0035303D"/>
    <w:rsid w:val="0035447A"/>
    <w:rsid w:val="003551CF"/>
    <w:rsid w:val="003556D2"/>
    <w:rsid w:val="00355E07"/>
    <w:rsid w:val="003566E5"/>
    <w:rsid w:val="00356F0E"/>
    <w:rsid w:val="00356FDD"/>
    <w:rsid w:val="00357B21"/>
    <w:rsid w:val="00360466"/>
    <w:rsid w:val="00360503"/>
    <w:rsid w:val="00360A35"/>
    <w:rsid w:val="00360B12"/>
    <w:rsid w:val="003610A2"/>
    <w:rsid w:val="00361FCE"/>
    <w:rsid w:val="00362151"/>
    <w:rsid w:val="0036316B"/>
    <w:rsid w:val="003642C2"/>
    <w:rsid w:val="003644C7"/>
    <w:rsid w:val="003645AD"/>
    <w:rsid w:val="00364F2E"/>
    <w:rsid w:val="0036525F"/>
    <w:rsid w:val="0036527E"/>
    <w:rsid w:val="00365678"/>
    <w:rsid w:val="00365CAD"/>
    <w:rsid w:val="003665F0"/>
    <w:rsid w:val="00367840"/>
    <w:rsid w:val="0036795F"/>
    <w:rsid w:val="0037138B"/>
    <w:rsid w:val="003713A1"/>
    <w:rsid w:val="0037175D"/>
    <w:rsid w:val="00371995"/>
    <w:rsid w:val="00371EAD"/>
    <w:rsid w:val="003724A2"/>
    <w:rsid w:val="003724F4"/>
    <w:rsid w:val="00372976"/>
    <w:rsid w:val="00372A83"/>
    <w:rsid w:val="00373692"/>
    <w:rsid w:val="003748DB"/>
    <w:rsid w:val="00374E04"/>
    <w:rsid w:val="0037568D"/>
    <w:rsid w:val="00375971"/>
    <w:rsid w:val="00375AB6"/>
    <w:rsid w:val="00375CD1"/>
    <w:rsid w:val="00375CEC"/>
    <w:rsid w:val="00375DC6"/>
    <w:rsid w:val="00375E2C"/>
    <w:rsid w:val="00376021"/>
    <w:rsid w:val="0037632B"/>
    <w:rsid w:val="00376BE4"/>
    <w:rsid w:val="00377745"/>
    <w:rsid w:val="00380836"/>
    <w:rsid w:val="00380E17"/>
    <w:rsid w:val="0038105D"/>
    <w:rsid w:val="00381927"/>
    <w:rsid w:val="00381B2F"/>
    <w:rsid w:val="00382208"/>
    <w:rsid w:val="00383735"/>
    <w:rsid w:val="003838BE"/>
    <w:rsid w:val="00384116"/>
    <w:rsid w:val="00384138"/>
    <w:rsid w:val="00384FEF"/>
    <w:rsid w:val="003852EC"/>
    <w:rsid w:val="003853BC"/>
    <w:rsid w:val="00385A79"/>
    <w:rsid w:val="00386A9B"/>
    <w:rsid w:val="00386CA9"/>
    <w:rsid w:val="00387D35"/>
    <w:rsid w:val="00390494"/>
    <w:rsid w:val="00390955"/>
    <w:rsid w:val="00390D1B"/>
    <w:rsid w:val="003917D3"/>
    <w:rsid w:val="003923D2"/>
    <w:rsid w:val="00392A8A"/>
    <w:rsid w:val="00392C36"/>
    <w:rsid w:val="00392D25"/>
    <w:rsid w:val="00392DF8"/>
    <w:rsid w:val="003932C5"/>
    <w:rsid w:val="003949D4"/>
    <w:rsid w:val="00394B9B"/>
    <w:rsid w:val="003958F8"/>
    <w:rsid w:val="00395B6F"/>
    <w:rsid w:val="003962F3"/>
    <w:rsid w:val="00396C03"/>
    <w:rsid w:val="00396C9C"/>
    <w:rsid w:val="0039707B"/>
    <w:rsid w:val="003975D7"/>
    <w:rsid w:val="003A116C"/>
    <w:rsid w:val="003A12D3"/>
    <w:rsid w:val="003A14AD"/>
    <w:rsid w:val="003A17CA"/>
    <w:rsid w:val="003A1DFD"/>
    <w:rsid w:val="003A2384"/>
    <w:rsid w:val="003A28B4"/>
    <w:rsid w:val="003A34AD"/>
    <w:rsid w:val="003A4237"/>
    <w:rsid w:val="003A4986"/>
    <w:rsid w:val="003A4CC8"/>
    <w:rsid w:val="003A540F"/>
    <w:rsid w:val="003A6E7A"/>
    <w:rsid w:val="003B0BF3"/>
    <w:rsid w:val="003B0C7A"/>
    <w:rsid w:val="003B2784"/>
    <w:rsid w:val="003B28E1"/>
    <w:rsid w:val="003B3C3C"/>
    <w:rsid w:val="003B3DC7"/>
    <w:rsid w:val="003B47DA"/>
    <w:rsid w:val="003B4B5E"/>
    <w:rsid w:val="003B4F90"/>
    <w:rsid w:val="003B4FF0"/>
    <w:rsid w:val="003B5008"/>
    <w:rsid w:val="003B5694"/>
    <w:rsid w:val="003B6396"/>
    <w:rsid w:val="003B69A8"/>
    <w:rsid w:val="003B6D4B"/>
    <w:rsid w:val="003B72A6"/>
    <w:rsid w:val="003B7784"/>
    <w:rsid w:val="003B7A1C"/>
    <w:rsid w:val="003B7C77"/>
    <w:rsid w:val="003C07D0"/>
    <w:rsid w:val="003C14CA"/>
    <w:rsid w:val="003C1E09"/>
    <w:rsid w:val="003C25CC"/>
    <w:rsid w:val="003C26A8"/>
    <w:rsid w:val="003C4343"/>
    <w:rsid w:val="003C460A"/>
    <w:rsid w:val="003C4B53"/>
    <w:rsid w:val="003C50D5"/>
    <w:rsid w:val="003C5EB8"/>
    <w:rsid w:val="003C6024"/>
    <w:rsid w:val="003C6562"/>
    <w:rsid w:val="003C6B63"/>
    <w:rsid w:val="003C6BF6"/>
    <w:rsid w:val="003C6C91"/>
    <w:rsid w:val="003C76EA"/>
    <w:rsid w:val="003C7D93"/>
    <w:rsid w:val="003C7F27"/>
    <w:rsid w:val="003D1169"/>
    <w:rsid w:val="003D2032"/>
    <w:rsid w:val="003D2D0C"/>
    <w:rsid w:val="003D3144"/>
    <w:rsid w:val="003D324B"/>
    <w:rsid w:val="003D449C"/>
    <w:rsid w:val="003D474F"/>
    <w:rsid w:val="003D51E4"/>
    <w:rsid w:val="003D6266"/>
    <w:rsid w:val="003D749E"/>
    <w:rsid w:val="003D79C0"/>
    <w:rsid w:val="003E016C"/>
    <w:rsid w:val="003E1319"/>
    <w:rsid w:val="003E16B6"/>
    <w:rsid w:val="003E16BD"/>
    <w:rsid w:val="003E2651"/>
    <w:rsid w:val="003E2653"/>
    <w:rsid w:val="003E2A07"/>
    <w:rsid w:val="003E3003"/>
    <w:rsid w:val="003E3569"/>
    <w:rsid w:val="003E3BCD"/>
    <w:rsid w:val="003E49FA"/>
    <w:rsid w:val="003E4C53"/>
    <w:rsid w:val="003E5CD0"/>
    <w:rsid w:val="003E5EA8"/>
    <w:rsid w:val="003E5ED0"/>
    <w:rsid w:val="003E6025"/>
    <w:rsid w:val="003E64D7"/>
    <w:rsid w:val="003E68C1"/>
    <w:rsid w:val="003E7BFC"/>
    <w:rsid w:val="003F1604"/>
    <w:rsid w:val="003F243E"/>
    <w:rsid w:val="003F2EFD"/>
    <w:rsid w:val="003F301A"/>
    <w:rsid w:val="003F34B6"/>
    <w:rsid w:val="003F3944"/>
    <w:rsid w:val="003F3FC5"/>
    <w:rsid w:val="003F409C"/>
    <w:rsid w:val="003F447E"/>
    <w:rsid w:val="003F45F3"/>
    <w:rsid w:val="003F4DE8"/>
    <w:rsid w:val="003F5130"/>
    <w:rsid w:val="003F5AAD"/>
    <w:rsid w:val="003F5FAC"/>
    <w:rsid w:val="003F66DD"/>
    <w:rsid w:val="003F69CE"/>
    <w:rsid w:val="003F7B2B"/>
    <w:rsid w:val="0040178E"/>
    <w:rsid w:val="00405DB3"/>
    <w:rsid w:val="00405F7F"/>
    <w:rsid w:val="00405FBF"/>
    <w:rsid w:val="00406220"/>
    <w:rsid w:val="00406305"/>
    <w:rsid w:val="0040642E"/>
    <w:rsid w:val="00406AE8"/>
    <w:rsid w:val="00407177"/>
    <w:rsid w:val="004072D9"/>
    <w:rsid w:val="00407630"/>
    <w:rsid w:val="00407BF1"/>
    <w:rsid w:val="00407BF9"/>
    <w:rsid w:val="00411C4F"/>
    <w:rsid w:val="00411E6E"/>
    <w:rsid w:val="0041273D"/>
    <w:rsid w:val="00413D0D"/>
    <w:rsid w:val="00414263"/>
    <w:rsid w:val="0041445D"/>
    <w:rsid w:val="00414912"/>
    <w:rsid w:val="00414E12"/>
    <w:rsid w:val="004153BB"/>
    <w:rsid w:val="00416071"/>
    <w:rsid w:val="0041676C"/>
    <w:rsid w:val="0041687F"/>
    <w:rsid w:val="004172AF"/>
    <w:rsid w:val="00417F80"/>
    <w:rsid w:val="00420A4C"/>
    <w:rsid w:val="004213E5"/>
    <w:rsid w:val="00421D5A"/>
    <w:rsid w:val="00421FDF"/>
    <w:rsid w:val="004222ED"/>
    <w:rsid w:val="00422647"/>
    <w:rsid w:val="00422A48"/>
    <w:rsid w:val="00424857"/>
    <w:rsid w:val="00424860"/>
    <w:rsid w:val="00424E41"/>
    <w:rsid w:val="0042522F"/>
    <w:rsid w:val="004257AB"/>
    <w:rsid w:val="004266BE"/>
    <w:rsid w:val="00426CE3"/>
    <w:rsid w:val="0042737D"/>
    <w:rsid w:val="00430B97"/>
    <w:rsid w:val="00430F4C"/>
    <w:rsid w:val="004311C2"/>
    <w:rsid w:val="004316B9"/>
    <w:rsid w:val="00432550"/>
    <w:rsid w:val="00432B4F"/>
    <w:rsid w:val="00432E1C"/>
    <w:rsid w:val="00433064"/>
    <w:rsid w:val="00433513"/>
    <w:rsid w:val="004348E5"/>
    <w:rsid w:val="00434ADC"/>
    <w:rsid w:val="00434B83"/>
    <w:rsid w:val="004352B5"/>
    <w:rsid w:val="0043626E"/>
    <w:rsid w:val="00436856"/>
    <w:rsid w:val="00437ABC"/>
    <w:rsid w:val="00437FF9"/>
    <w:rsid w:val="00441619"/>
    <w:rsid w:val="00441BAF"/>
    <w:rsid w:val="00441FD6"/>
    <w:rsid w:val="00442230"/>
    <w:rsid w:val="00443E9A"/>
    <w:rsid w:val="00444251"/>
    <w:rsid w:val="0044428A"/>
    <w:rsid w:val="00444412"/>
    <w:rsid w:val="00444C5B"/>
    <w:rsid w:val="00445DCE"/>
    <w:rsid w:val="00446A78"/>
    <w:rsid w:val="00446B27"/>
    <w:rsid w:val="00446CE7"/>
    <w:rsid w:val="00446F0F"/>
    <w:rsid w:val="0044784A"/>
    <w:rsid w:val="00447A1D"/>
    <w:rsid w:val="004506EB"/>
    <w:rsid w:val="0045165C"/>
    <w:rsid w:val="00452C4D"/>
    <w:rsid w:val="004533B9"/>
    <w:rsid w:val="00453758"/>
    <w:rsid w:val="00454062"/>
    <w:rsid w:val="004547AB"/>
    <w:rsid w:val="00454D43"/>
    <w:rsid w:val="00454EA5"/>
    <w:rsid w:val="004558D8"/>
    <w:rsid w:val="00455BBD"/>
    <w:rsid w:val="004564E8"/>
    <w:rsid w:val="0045738D"/>
    <w:rsid w:val="00457619"/>
    <w:rsid w:val="00457CC8"/>
    <w:rsid w:val="00457D63"/>
    <w:rsid w:val="00457E8F"/>
    <w:rsid w:val="004600AF"/>
    <w:rsid w:val="0046064C"/>
    <w:rsid w:val="0046080F"/>
    <w:rsid w:val="00461327"/>
    <w:rsid w:val="00461BF2"/>
    <w:rsid w:val="004629C0"/>
    <w:rsid w:val="004632B4"/>
    <w:rsid w:val="004638EF"/>
    <w:rsid w:val="004649A6"/>
    <w:rsid w:val="00464B39"/>
    <w:rsid w:val="00465089"/>
    <w:rsid w:val="00465ABC"/>
    <w:rsid w:val="00465ED8"/>
    <w:rsid w:val="004662B8"/>
    <w:rsid w:val="004667E1"/>
    <w:rsid w:val="00466A18"/>
    <w:rsid w:val="00466C9E"/>
    <w:rsid w:val="00466F74"/>
    <w:rsid w:val="0046778F"/>
    <w:rsid w:val="0046786A"/>
    <w:rsid w:val="004701BC"/>
    <w:rsid w:val="00470B3C"/>
    <w:rsid w:val="00471551"/>
    <w:rsid w:val="004715F2"/>
    <w:rsid w:val="00471AF2"/>
    <w:rsid w:val="00472A19"/>
    <w:rsid w:val="00473671"/>
    <w:rsid w:val="00473C8A"/>
    <w:rsid w:val="00473D20"/>
    <w:rsid w:val="00473DE1"/>
    <w:rsid w:val="00473DFD"/>
    <w:rsid w:val="004743C3"/>
    <w:rsid w:val="00474C3B"/>
    <w:rsid w:val="00475282"/>
    <w:rsid w:val="004766C7"/>
    <w:rsid w:val="004768CF"/>
    <w:rsid w:val="00476F2D"/>
    <w:rsid w:val="00477386"/>
    <w:rsid w:val="004803D8"/>
    <w:rsid w:val="00481460"/>
    <w:rsid w:val="0048177B"/>
    <w:rsid w:val="00481AD0"/>
    <w:rsid w:val="00481B0F"/>
    <w:rsid w:val="00481D6F"/>
    <w:rsid w:val="00481EA0"/>
    <w:rsid w:val="00481EA9"/>
    <w:rsid w:val="00482384"/>
    <w:rsid w:val="0048395E"/>
    <w:rsid w:val="0048426B"/>
    <w:rsid w:val="0048446B"/>
    <w:rsid w:val="0048465E"/>
    <w:rsid w:val="004846DC"/>
    <w:rsid w:val="00486149"/>
    <w:rsid w:val="0048676A"/>
    <w:rsid w:val="00486950"/>
    <w:rsid w:val="00487200"/>
    <w:rsid w:val="00487360"/>
    <w:rsid w:val="00491424"/>
    <w:rsid w:val="004936F0"/>
    <w:rsid w:val="0049399E"/>
    <w:rsid w:val="0049446B"/>
    <w:rsid w:val="0049449D"/>
    <w:rsid w:val="0049466A"/>
    <w:rsid w:val="004948FE"/>
    <w:rsid w:val="0049518A"/>
    <w:rsid w:val="004952B1"/>
    <w:rsid w:val="00495378"/>
    <w:rsid w:val="0049584F"/>
    <w:rsid w:val="00496E63"/>
    <w:rsid w:val="004977ED"/>
    <w:rsid w:val="004A09E1"/>
    <w:rsid w:val="004A1848"/>
    <w:rsid w:val="004A1CFA"/>
    <w:rsid w:val="004A2D4D"/>
    <w:rsid w:val="004A2E5E"/>
    <w:rsid w:val="004A2F1B"/>
    <w:rsid w:val="004A3130"/>
    <w:rsid w:val="004A36E5"/>
    <w:rsid w:val="004A399F"/>
    <w:rsid w:val="004A3B8B"/>
    <w:rsid w:val="004A3F42"/>
    <w:rsid w:val="004A45BE"/>
    <w:rsid w:val="004A546E"/>
    <w:rsid w:val="004A656F"/>
    <w:rsid w:val="004A7176"/>
    <w:rsid w:val="004A71E4"/>
    <w:rsid w:val="004A7404"/>
    <w:rsid w:val="004A7D57"/>
    <w:rsid w:val="004A7EED"/>
    <w:rsid w:val="004B035B"/>
    <w:rsid w:val="004B0D5E"/>
    <w:rsid w:val="004B1056"/>
    <w:rsid w:val="004B1BEA"/>
    <w:rsid w:val="004B243B"/>
    <w:rsid w:val="004B44FD"/>
    <w:rsid w:val="004B4F8C"/>
    <w:rsid w:val="004B5256"/>
    <w:rsid w:val="004B620C"/>
    <w:rsid w:val="004B787F"/>
    <w:rsid w:val="004C016B"/>
    <w:rsid w:val="004C0FDC"/>
    <w:rsid w:val="004C21BB"/>
    <w:rsid w:val="004C2348"/>
    <w:rsid w:val="004C23AC"/>
    <w:rsid w:val="004C2FAA"/>
    <w:rsid w:val="004C4133"/>
    <w:rsid w:val="004C4472"/>
    <w:rsid w:val="004C58A7"/>
    <w:rsid w:val="004C5E6A"/>
    <w:rsid w:val="004C6643"/>
    <w:rsid w:val="004C7D4D"/>
    <w:rsid w:val="004D054B"/>
    <w:rsid w:val="004D105F"/>
    <w:rsid w:val="004D11C0"/>
    <w:rsid w:val="004D11F9"/>
    <w:rsid w:val="004D19A8"/>
    <w:rsid w:val="004D2452"/>
    <w:rsid w:val="004D3714"/>
    <w:rsid w:val="004D3775"/>
    <w:rsid w:val="004D44B6"/>
    <w:rsid w:val="004D484A"/>
    <w:rsid w:val="004D4C98"/>
    <w:rsid w:val="004D4F16"/>
    <w:rsid w:val="004D5137"/>
    <w:rsid w:val="004D61CD"/>
    <w:rsid w:val="004D6636"/>
    <w:rsid w:val="004D6894"/>
    <w:rsid w:val="004D7808"/>
    <w:rsid w:val="004E0330"/>
    <w:rsid w:val="004E136E"/>
    <w:rsid w:val="004E2A3C"/>
    <w:rsid w:val="004E2A42"/>
    <w:rsid w:val="004E2CFF"/>
    <w:rsid w:val="004E31A9"/>
    <w:rsid w:val="004E3DB5"/>
    <w:rsid w:val="004E3F1F"/>
    <w:rsid w:val="004E55F3"/>
    <w:rsid w:val="004E6BD5"/>
    <w:rsid w:val="004E6C3D"/>
    <w:rsid w:val="004E6EEB"/>
    <w:rsid w:val="004E7E77"/>
    <w:rsid w:val="004F0268"/>
    <w:rsid w:val="004F075D"/>
    <w:rsid w:val="004F11FC"/>
    <w:rsid w:val="004F166A"/>
    <w:rsid w:val="004F1823"/>
    <w:rsid w:val="004F21C5"/>
    <w:rsid w:val="004F249C"/>
    <w:rsid w:val="004F2C70"/>
    <w:rsid w:val="004F2DD6"/>
    <w:rsid w:val="004F2E65"/>
    <w:rsid w:val="004F33A5"/>
    <w:rsid w:val="004F3CC5"/>
    <w:rsid w:val="004F3E9B"/>
    <w:rsid w:val="004F4AEC"/>
    <w:rsid w:val="004F4DDA"/>
    <w:rsid w:val="004F5C28"/>
    <w:rsid w:val="004F62F6"/>
    <w:rsid w:val="004F6B83"/>
    <w:rsid w:val="004F6CB1"/>
    <w:rsid w:val="004F7C46"/>
    <w:rsid w:val="00500406"/>
    <w:rsid w:val="00500E47"/>
    <w:rsid w:val="0050175C"/>
    <w:rsid w:val="0050187A"/>
    <w:rsid w:val="00501C9C"/>
    <w:rsid w:val="00501FB5"/>
    <w:rsid w:val="005027E7"/>
    <w:rsid w:val="00502D47"/>
    <w:rsid w:val="00502D4C"/>
    <w:rsid w:val="00502E15"/>
    <w:rsid w:val="00504162"/>
    <w:rsid w:val="00504909"/>
    <w:rsid w:val="00505985"/>
    <w:rsid w:val="00505B81"/>
    <w:rsid w:val="00505FBC"/>
    <w:rsid w:val="005063F0"/>
    <w:rsid w:val="0050754C"/>
    <w:rsid w:val="005078A1"/>
    <w:rsid w:val="00507ED9"/>
    <w:rsid w:val="00510087"/>
    <w:rsid w:val="00510244"/>
    <w:rsid w:val="005110EB"/>
    <w:rsid w:val="005113F5"/>
    <w:rsid w:val="005115CF"/>
    <w:rsid w:val="005122DD"/>
    <w:rsid w:val="005128A7"/>
    <w:rsid w:val="00512963"/>
    <w:rsid w:val="00512CCD"/>
    <w:rsid w:val="00513178"/>
    <w:rsid w:val="005138D7"/>
    <w:rsid w:val="00513F41"/>
    <w:rsid w:val="00514098"/>
    <w:rsid w:val="00514998"/>
    <w:rsid w:val="005150A5"/>
    <w:rsid w:val="00515651"/>
    <w:rsid w:val="00515A36"/>
    <w:rsid w:val="005165E8"/>
    <w:rsid w:val="0051687C"/>
    <w:rsid w:val="005168DE"/>
    <w:rsid w:val="00516A59"/>
    <w:rsid w:val="00516D42"/>
    <w:rsid w:val="005175D0"/>
    <w:rsid w:val="00517BFA"/>
    <w:rsid w:val="00517FCC"/>
    <w:rsid w:val="00520161"/>
    <w:rsid w:val="00521B43"/>
    <w:rsid w:val="00522D84"/>
    <w:rsid w:val="00522DCB"/>
    <w:rsid w:val="00524206"/>
    <w:rsid w:val="0052457E"/>
    <w:rsid w:val="00524B1A"/>
    <w:rsid w:val="0052651C"/>
    <w:rsid w:val="00526859"/>
    <w:rsid w:val="00530D73"/>
    <w:rsid w:val="00531339"/>
    <w:rsid w:val="0053187A"/>
    <w:rsid w:val="00531918"/>
    <w:rsid w:val="00531959"/>
    <w:rsid w:val="00531D46"/>
    <w:rsid w:val="00532668"/>
    <w:rsid w:val="00532787"/>
    <w:rsid w:val="0053285B"/>
    <w:rsid w:val="00532B7E"/>
    <w:rsid w:val="0053332C"/>
    <w:rsid w:val="0053369D"/>
    <w:rsid w:val="00533B4B"/>
    <w:rsid w:val="00534012"/>
    <w:rsid w:val="005342A2"/>
    <w:rsid w:val="0053439A"/>
    <w:rsid w:val="00534A2B"/>
    <w:rsid w:val="00536A3B"/>
    <w:rsid w:val="00536B3A"/>
    <w:rsid w:val="005373E4"/>
    <w:rsid w:val="00537444"/>
    <w:rsid w:val="005375E4"/>
    <w:rsid w:val="005400BE"/>
    <w:rsid w:val="005401D7"/>
    <w:rsid w:val="00540663"/>
    <w:rsid w:val="00540C67"/>
    <w:rsid w:val="00541EF1"/>
    <w:rsid w:val="005430A8"/>
    <w:rsid w:val="005435BC"/>
    <w:rsid w:val="0054450C"/>
    <w:rsid w:val="00545F4B"/>
    <w:rsid w:val="00546229"/>
    <w:rsid w:val="00546493"/>
    <w:rsid w:val="00546FA7"/>
    <w:rsid w:val="00547042"/>
    <w:rsid w:val="00547B88"/>
    <w:rsid w:val="00550014"/>
    <w:rsid w:val="005516E3"/>
    <w:rsid w:val="00552400"/>
    <w:rsid w:val="005527B4"/>
    <w:rsid w:val="00552CCA"/>
    <w:rsid w:val="00552D41"/>
    <w:rsid w:val="00553779"/>
    <w:rsid w:val="005539A4"/>
    <w:rsid w:val="00553BF4"/>
    <w:rsid w:val="005545EE"/>
    <w:rsid w:val="00554E89"/>
    <w:rsid w:val="00555052"/>
    <w:rsid w:val="00555302"/>
    <w:rsid w:val="00555661"/>
    <w:rsid w:val="00556074"/>
    <w:rsid w:val="005566C8"/>
    <w:rsid w:val="005569DB"/>
    <w:rsid w:val="00556B85"/>
    <w:rsid w:val="00561835"/>
    <w:rsid w:val="00561E18"/>
    <w:rsid w:val="005627C5"/>
    <w:rsid w:val="00563173"/>
    <w:rsid w:val="0056332C"/>
    <w:rsid w:val="00563696"/>
    <w:rsid w:val="00563BD3"/>
    <w:rsid w:val="00564502"/>
    <w:rsid w:val="00564D56"/>
    <w:rsid w:val="0056500A"/>
    <w:rsid w:val="00565CD2"/>
    <w:rsid w:val="00567350"/>
    <w:rsid w:val="00570001"/>
    <w:rsid w:val="005704C7"/>
    <w:rsid w:val="0057088A"/>
    <w:rsid w:val="00570F66"/>
    <w:rsid w:val="00570FED"/>
    <w:rsid w:val="005713F7"/>
    <w:rsid w:val="00571EFE"/>
    <w:rsid w:val="00572A01"/>
    <w:rsid w:val="005734C5"/>
    <w:rsid w:val="0057384E"/>
    <w:rsid w:val="00573EAC"/>
    <w:rsid w:val="00574439"/>
    <w:rsid w:val="005753C2"/>
    <w:rsid w:val="00575F73"/>
    <w:rsid w:val="00576192"/>
    <w:rsid w:val="0057711C"/>
    <w:rsid w:val="005801F7"/>
    <w:rsid w:val="00580782"/>
    <w:rsid w:val="00581952"/>
    <w:rsid w:val="00582796"/>
    <w:rsid w:val="00583E17"/>
    <w:rsid w:val="00583E1D"/>
    <w:rsid w:val="00583FDD"/>
    <w:rsid w:val="00585760"/>
    <w:rsid w:val="00586AE4"/>
    <w:rsid w:val="00586E75"/>
    <w:rsid w:val="00590562"/>
    <w:rsid w:val="0059123A"/>
    <w:rsid w:val="0059124E"/>
    <w:rsid w:val="005912CC"/>
    <w:rsid w:val="00591761"/>
    <w:rsid w:val="00592046"/>
    <w:rsid w:val="005924C9"/>
    <w:rsid w:val="00592637"/>
    <w:rsid w:val="00592B3C"/>
    <w:rsid w:val="00593258"/>
    <w:rsid w:val="0059356D"/>
    <w:rsid w:val="005947CD"/>
    <w:rsid w:val="00594906"/>
    <w:rsid w:val="005949BA"/>
    <w:rsid w:val="00594AED"/>
    <w:rsid w:val="0059574A"/>
    <w:rsid w:val="0059580C"/>
    <w:rsid w:val="0059700B"/>
    <w:rsid w:val="00597CB8"/>
    <w:rsid w:val="005A00D8"/>
    <w:rsid w:val="005A112C"/>
    <w:rsid w:val="005A2C00"/>
    <w:rsid w:val="005A40B2"/>
    <w:rsid w:val="005A4F79"/>
    <w:rsid w:val="005A5AA4"/>
    <w:rsid w:val="005A61D5"/>
    <w:rsid w:val="005A6449"/>
    <w:rsid w:val="005A67C4"/>
    <w:rsid w:val="005A6D8D"/>
    <w:rsid w:val="005A6F5B"/>
    <w:rsid w:val="005A75FC"/>
    <w:rsid w:val="005B0ECD"/>
    <w:rsid w:val="005B1CAE"/>
    <w:rsid w:val="005B22AC"/>
    <w:rsid w:val="005B2582"/>
    <w:rsid w:val="005B2727"/>
    <w:rsid w:val="005B33EE"/>
    <w:rsid w:val="005B368F"/>
    <w:rsid w:val="005B3F2E"/>
    <w:rsid w:val="005B4A74"/>
    <w:rsid w:val="005B4BBF"/>
    <w:rsid w:val="005B5027"/>
    <w:rsid w:val="005B675A"/>
    <w:rsid w:val="005B6D07"/>
    <w:rsid w:val="005B7005"/>
    <w:rsid w:val="005C1732"/>
    <w:rsid w:val="005C1E0F"/>
    <w:rsid w:val="005C25B8"/>
    <w:rsid w:val="005C268B"/>
    <w:rsid w:val="005C279B"/>
    <w:rsid w:val="005C2DBB"/>
    <w:rsid w:val="005C45DC"/>
    <w:rsid w:val="005C4B34"/>
    <w:rsid w:val="005C5397"/>
    <w:rsid w:val="005C5FEB"/>
    <w:rsid w:val="005C653F"/>
    <w:rsid w:val="005C66D5"/>
    <w:rsid w:val="005C672C"/>
    <w:rsid w:val="005C6C25"/>
    <w:rsid w:val="005C6EE7"/>
    <w:rsid w:val="005C7364"/>
    <w:rsid w:val="005C786E"/>
    <w:rsid w:val="005C78E1"/>
    <w:rsid w:val="005C7B99"/>
    <w:rsid w:val="005C7CFF"/>
    <w:rsid w:val="005D0547"/>
    <w:rsid w:val="005D0A77"/>
    <w:rsid w:val="005D0CCC"/>
    <w:rsid w:val="005D0CD1"/>
    <w:rsid w:val="005D0E8A"/>
    <w:rsid w:val="005D1599"/>
    <w:rsid w:val="005D2471"/>
    <w:rsid w:val="005D26BF"/>
    <w:rsid w:val="005D2754"/>
    <w:rsid w:val="005D2E16"/>
    <w:rsid w:val="005D2E1D"/>
    <w:rsid w:val="005D3A86"/>
    <w:rsid w:val="005D43BA"/>
    <w:rsid w:val="005D4E69"/>
    <w:rsid w:val="005D5B62"/>
    <w:rsid w:val="005D5D15"/>
    <w:rsid w:val="005D707D"/>
    <w:rsid w:val="005D72BC"/>
    <w:rsid w:val="005D7397"/>
    <w:rsid w:val="005E007F"/>
    <w:rsid w:val="005E03C7"/>
    <w:rsid w:val="005E085C"/>
    <w:rsid w:val="005E0A0A"/>
    <w:rsid w:val="005E1279"/>
    <w:rsid w:val="005E1677"/>
    <w:rsid w:val="005E1F58"/>
    <w:rsid w:val="005E256A"/>
    <w:rsid w:val="005E28C6"/>
    <w:rsid w:val="005E2C51"/>
    <w:rsid w:val="005E2D42"/>
    <w:rsid w:val="005E34DA"/>
    <w:rsid w:val="005E3ACA"/>
    <w:rsid w:val="005E4BBD"/>
    <w:rsid w:val="005E67FE"/>
    <w:rsid w:val="005E69EB"/>
    <w:rsid w:val="005E6E99"/>
    <w:rsid w:val="005F03B7"/>
    <w:rsid w:val="005F2296"/>
    <w:rsid w:val="005F255C"/>
    <w:rsid w:val="005F3184"/>
    <w:rsid w:val="005F3329"/>
    <w:rsid w:val="005F42A6"/>
    <w:rsid w:val="005F4554"/>
    <w:rsid w:val="005F48E8"/>
    <w:rsid w:val="005F4FB3"/>
    <w:rsid w:val="005F5EF8"/>
    <w:rsid w:val="006005D6"/>
    <w:rsid w:val="0060066A"/>
    <w:rsid w:val="006009B4"/>
    <w:rsid w:val="00600F05"/>
    <w:rsid w:val="00602089"/>
    <w:rsid w:val="006024F0"/>
    <w:rsid w:val="00602772"/>
    <w:rsid w:val="00602A88"/>
    <w:rsid w:val="0060422E"/>
    <w:rsid w:val="00604466"/>
    <w:rsid w:val="00604545"/>
    <w:rsid w:val="0060473C"/>
    <w:rsid w:val="00604E18"/>
    <w:rsid w:val="0060586F"/>
    <w:rsid w:val="00605A3C"/>
    <w:rsid w:val="00606623"/>
    <w:rsid w:val="00606897"/>
    <w:rsid w:val="00606C5B"/>
    <w:rsid w:val="0060706D"/>
    <w:rsid w:val="00607418"/>
    <w:rsid w:val="00610050"/>
    <w:rsid w:val="006107FA"/>
    <w:rsid w:val="00610856"/>
    <w:rsid w:val="00610B36"/>
    <w:rsid w:val="00610E0F"/>
    <w:rsid w:val="00610E74"/>
    <w:rsid w:val="00610F12"/>
    <w:rsid w:val="00611144"/>
    <w:rsid w:val="006111F7"/>
    <w:rsid w:val="00611B7C"/>
    <w:rsid w:val="00611E9F"/>
    <w:rsid w:val="00612909"/>
    <w:rsid w:val="00613676"/>
    <w:rsid w:val="00613714"/>
    <w:rsid w:val="00613C61"/>
    <w:rsid w:val="00613FE5"/>
    <w:rsid w:val="00614F18"/>
    <w:rsid w:val="00615E3B"/>
    <w:rsid w:val="00615EBC"/>
    <w:rsid w:val="0061624E"/>
    <w:rsid w:val="0061679A"/>
    <w:rsid w:val="00616BCF"/>
    <w:rsid w:val="00616C36"/>
    <w:rsid w:val="006172C3"/>
    <w:rsid w:val="0062094E"/>
    <w:rsid w:val="00621682"/>
    <w:rsid w:val="00621AE9"/>
    <w:rsid w:val="00622287"/>
    <w:rsid w:val="00622293"/>
    <w:rsid w:val="006225D4"/>
    <w:rsid w:val="0062496B"/>
    <w:rsid w:val="00624A16"/>
    <w:rsid w:val="00624AF9"/>
    <w:rsid w:val="00625393"/>
    <w:rsid w:val="006253AA"/>
    <w:rsid w:val="00625980"/>
    <w:rsid w:val="006259B1"/>
    <w:rsid w:val="00625C7B"/>
    <w:rsid w:val="00626709"/>
    <w:rsid w:val="00626B8F"/>
    <w:rsid w:val="00626B9B"/>
    <w:rsid w:val="00626E37"/>
    <w:rsid w:val="00627499"/>
    <w:rsid w:val="006301E7"/>
    <w:rsid w:val="0063076B"/>
    <w:rsid w:val="00630CA0"/>
    <w:rsid w:val="006316CC"/>
    <w:rsid w:val="00631A3A"/>
    <w:rsid w:val="00632D1F"/>
    <w:rsid w:val="0063373D"/>
    <w:rsid w:val="00634A68"/>
    <w:rsid w:val="006362F8"/>
    <w:rsid w:val="00637384"/>
    <w:rsid w:val="00637738"/>
    <w:rsid w:val="0063784C"/>
    <w:rsid w:val="0064100C"/>
    <w:rsid w:val="0064156B"/>
    <w:rsid w:val="00641C8F"/>
    <w:rsid w:val="00641D46"/>
    <w:rsid w:val="00641E77"/>
    <w:rsid w:val="0064219E"/>
    <w:rsid w:val="00643BAD"/>
    <w:rsid w:val="00645075"/>
    <w:rsid w:val="006451EA"/>
    <w:rsid w:val="0064544E"/>
    <w:rsid w:val="0064664F"/>
    <w:rsid w:val="006467CB"/>
    <w:rsid w:val="00646C16"/>
    <w:rsid w:val="00647051"/>
    <w:rsid w:val="00647348"/>
    <w:rsid w:val="00647A56"/>
    <w:rsid w:val="00647CDA"/>
    <w:rsid w:val="0065029D"/>
    <w:rsid w:val="006507D0"/>
    <w:rsid w:val="00650C4F"/>
    <w:rsid w:val="006511B8"/>
    <w:rsid w:val="00652691"/>
    <w:rsid w:val="00652A70"/>
    <w:rsid w:val="00653158"/>
    <w:rsid w:val="00653A69"/>
    <w:rsid w:val="00655AC1"/>
    <w:rsid w:val="00656656"/>
    <w:rsid w:val="00656997"/>
    <w:rsid w:val="00656CA3"/>
    <w:rsid w:val="006607F5"/>
    <w:rsid w:val="0066229E"/>
    <w:rsid w:val="00662356"/>
    <w:rsid w:val="006628F8"/>
    <w:rsid w:val="00662C4F"/>
    <w:rsid w:val="00662EEB"/>
    <w:rsid w:val="006638EA"/>
    <w:rsid w:val="006643F8"/>
    <w:rsid w:val="00664547"/>
    <w:rsid w:val="00664A91"/>
    <w:rsid w:val="00664B7B"/>
    <w:rsid w:val="0066578E"/>
    <w:rsid w:val="0066642B"/>
    <w:rsid w:val="006666B1"/>
    <w:rsid w:val="00666CC1"/>
    <w:rsid w:val="00667C7D"/>
    <w:rsid w:val="00670659"/>
    <w:rsid w:val="006709C4"/>
    <w:rsid w:val="00670C22"/>
    <w:rsid w:val="0067128C"/>
    <w:rsid w:val="00671FCB"/>
    <w:rsid w:val="006726FA"/>
    <w:rsid w:val="00672B27"/>
    <w:rsid w:val="00672C85"/>
    <w:rsid w:val="0067358E"/>
    <w:rsid w:val="0067385A"/>
    <w:rsid w:val="00674465"/>
    <w:rsid w:val="00674584"/>
    <w:rsid w:val="0067580E"/>
    <w:rsid w:val="00675CF5"/>
    <w:rsid w:val="00675FCF"/>
    <w:rsid w:val="006762AC"/>
    <w:rsid w:val="00676356"/>
    <w:rsid w:val="00676893"/>
    <w:rsid w:val="00676E62"/>
    <w:rsid w:val="00677254"/>
    <w:rsid w:val="006773D8"/>
    <w:rsid w:val="00677B35"/>
    <w:rsid w:val="00680C59"/>
    <w:rsid w:val="00681011"/>
    <w:rsid w:val="00681341"/>
    <w:rsid w:val="00681990"/>
    <w:rsid w:val="00682580"/>
    <w:rsid w:val="0068277C"/>
    <w:rsid w:val="00682DD3"/>
    <w:rsid w:val="0068347B"/>
    <w:rsid w:val="006834A2"/>
    <w:rsid w:val="00683CFA"/>
    <w:rsid w:val="006849FC"/>
    <w:rsid w:val="00685709"/>
    <w:rsid w:val="00687000"/>
    <w:rsid w:val="006878E1"/>
    <w:rsid w:val="006902D9"/>
    <w:rsid w:val="00690598"/>
    <w:rsid w:val="00690866"/>
    <w:rsid w:val="00692A55"/>
    <w:rsid w:val="006931E7"/>
    <w:rsid w:val="00693B93"/>
    <w:rsid w:val="00693DAC"/>
    <w:rsid w:val="00693E6E"/>
    <w:rsid w:val="00694136"/>
    <w:rsid w:val="00694A26"/>
    <w:rsid w:val="00694CD4"/>
    <w:rsid w:val="00695645"/>
    <w:rsid w:val="00695AED"/>
    <w:rsid w:val="00695B44"/>
    <w:rsid w:val="00695BD9"/>
    <w:rsid w:val="00695C89"/>
    <w:rsid w:val="00696154"/>
    <w:rsid w:val="00696C23"/>
    <w:rsid w:val="00696E97"/>
    <w:rsid w:val="00697222"/>
    <w:rsid w:val="006974AE"/>
    <w:rsid w:val="006A05B0"/>
    <w:rsid w:val="006A0B62"/>
    <w:rsid w:val="006A0FE3"/>
    <w:rsid w:val="006A1020"/>
    <w:rsid w:val="006A1048"/>
    <w:rsid w:val="006A1770"/>
    <w:rsid w:val="006A2347"/>
    <w:rsid w:val="006A242A"/>
    <w:rsid w:val="006A2FA0"/>
    <w:rsid w:val="006A3BC5"/>
    <w:rsid w:val="006A47FE"/>
    <w:rsid w:val="006A4F24"/>
    <w:rsid w:val="006A578E"/>
    <w:rsid w:val="006A5B3C"/>
    <w:rsid w:val="006A60DF"/>
    <w:rsid w:val="006A6563"/>
    <w:rsid w:val="006A67D4"/>
    <w:rsid w:val="006A6DC4"/>
    <w:rsid w:val="006A6F44"/>
    <w:rsid w:val="006A7E49"/>
    <w:rsid w:val="006B0B90"/>
    <w:rsid w:val="006B1458"/>
    <w:rsid w:val="006B1653"/>
    <w:rsid w:val="006B1723"/>
    <w:rsid w:val="006B1A50"/>
    <w:rsid w:val="006B2106"/>
    <w:rsid w:val="006B2597"/>
    <w:rsid w:val="006B290A"/>
    <w:rsid w:val="006B2BE0"/>
    <w:rsid w:val="006B2CE0"/>
    <w:rsid w:val="006B3247"/>
    <w:rsid w:val="006B355D"/>
    <w:rsid w:val="006B464B"/>
    <w:rsid w:val="006B472E"/>
    <w:rsid w:val="006B5481"/>
    <w:rsid w:val="006B5812"/>
    <w:rsid w:val="006B6889"/>
    <w:rsid w:val="006B736E"/>
    <w:rsid w:val="006B7B41"/>
    <w:rsid w:val="006C00DC"/>
    <w:rsid w:val="006C03C9"/>
    <w:rsid w:val="006C08DD"/>
    <w:rsid w:val="006C2506"/>
    <w:rsid w:val="006C254D"/>
    <w:rsid w:val="006C29CC"/>
    <w:rsid w:val="006C319A"/>
    <w:rsid w:val="006C3438"/>
    <w:rsid w:val="006C3CF7"/>
    <w:rsid w:val="006C417A"/>
    <w:rsid w:val="006C4754"/>
    <w:rsid w:val="006C4D31"/>
    <w:rsid w:val="006C5097"/>
    <w:rsid w:val="006C5CD5"/>
    <w:rsid w:val="006C636C"/>
    <w:rsid w:val="006C6773"/>
    <w:rsid w:val="006C76CA"/>
    <w:rsid w:val="006D009B"/>
    <w:rsid w:val="006D0DB5"/>
    <w:rsid w:val="006D0FC6"/>
    <w:rsid w:val="006D1A64"/>
    <w:rsid w:val="006D27C8"/>
    <w:rsid w:val="006D2C50"/>
    <w:rsid w:val="006D2CB3"/>
    <w:rsid w:val="006D4870"/>
    <w:rsid w:val="006D4982"/>
    <w:rsid w:val="006D544D"/>
    <w:rsid w:val="006D5D58"/>
    <w:rsid w:val="006D5DDC"/>
    <w:rsid w:val="006D7AC1"/>
    <w:rsid w:val="006E34FE"/>
    <w:rsid w:val="006E36B0"/>
    <w:rsid w:val="006E38D1"/>
    <w:rsid w:val="006E48F7"/>
    <w:rsid w:val="006E594A"/>
    <w:rsid w:val="006E5F58"/>
    <w:rsid w:val="006E6330"/>
    <w:rsid w:val="006E6763"/>
    <w:rsid w:val="006E6EDA"/>
    <w:rsid w:val="006E72F8"/>
    <w:rsid w:val="006E759F"/>
    <w:rsid w:val="006E7C47"/>
    <w:rsid w:val="006F065E"/>
    <w:rsid w:val="006F0968"/>
    <w:rsid w:val="006F0BC9"/>
    <w:rsid w:val="006F1459"/>
    <w:rsid w:val="006F214D"/>
    <w:rsid w:val="006F2D9B"/>
    <w:rsid w:val="006F3788"/>
    <w:rsid w:val="006F48C4"/>
    <w:rsid w:val="006F4CE8"/>
    <w:rsid w:val="006F51BD"/>
    <w:rsid w:val="006F528F"/>
    <w:rsid w:val="006F5E15"/>
    <w:rsid w:val="006F64A8"/>
    <w:rsid w:val="006F6605"/>
    <w:rsid w:val="006F687E"/>
    <w:rsid w:val="006F767A"/>
    <w:rsid w:val="00700A0B"/>
    <w:rsid w:val="00700D08"/>
    <w:rsid w:val="00701FAE"/>
    <w:rsid w:val="00702213"/>
    <w:rsid w:val="007027CA"/>
    <w:rsid w:val="007039FB"/>
    <w:rsid w:val="00703C4E"/>
    <w:rsid w:val="007040CE"/>
    <w:rsid w:val="007046D0"/>
    <w:rsid w:val="007052CE"/>
    <w:rsid w:val="0070565D"/>
    <w:rsid w:val="00705C7F"/>
    <w:rsid w:val="00710001"/>
    <w:rsid w:val="007106BC"/>
    <w:rsid w:val="00710E51"/>
    <w:rsid w:val="00710E60"/>
    <w:rsid w:val="007110CF"/>
    <w:rsid w:val="007112F3"/>
    <w:rsid w:val="00711A01"/>
    <w:rsid w:val="00711DDA"/>
    <w:rsid w:val="007129BF"/>
    <w:rsid w:val="00713167"/>
    <w:rsid w:val="00713696"/>
    <w:rsid w:val="00713E40"/>
    <w:rsid w:val="00714AFC"/>
    <w:rsid w:val="00714B84"/>
    <w:rsid w:val="00715862"/>
    <w:rsid w:val="0071642A"/>
    <w:rsid w:val="00717EAF"/>
    <w:rsid w:val="00720CD6"/>
    <w:rsid w:val="007213D3"/>
    <w:rsid w:val="007217F0"/>
    <w:rsid w:val="00721D5C"/>
    <w:rsid w:val="00722143"/>
    <w:rsid w:val="00722CFF"/>
    <w:rsid w:val="00723037"/>
    <w:rsid w:val="007238B3"/>
    <w:rsid w:val="00724527"/>
    <w:rsid w:val="00724E50"/>
    <w:rsid w:val="0072516A"/>
    <w:rsid w:val="00725434"/>
    <w:rsid w:val="007254B7"/>
    <w:rsid w:val="00725B18"/>
    <w:rsid w:val="00725B4A"/>
    <w:rsid w:val="00725DF4"/>
    <w:rsid w:val="00726716"/>
    <w:rsid w:val="0072687A"/>
    <w:rsid w:val="0072746E"/>
    <w:rsid w:val="00727569"/>
    <w:rsid w:val="00727DF7"/>
    <w:rsid w:val="00727F27"/>
    <w:rsid w:val="00730694"/>
    <w:rsid w:val="0073091F"/>
    <w:rsid w:val="00730EB8"/>
    <w:rsid w:val="00731452"/>
    <w:rsid w:val="00732535"/>
    <w:rsid w:val="007325CA"/>
    <w:rsid w:val="0073274D"/>
    <w:rsid w:val="0073308F"/>
    <w:rsid w:val="007331C1"/>
    <w:rsid w:val="00734510"/>
    <w:rsid w:val="00734954"/>
    <w:rsid w:val="0073539C"/>
    <w:rsid w:val="00735658"/>
    <w:rsid w:val="00736335"/>
    <w:rsid w:val="007364E5"/>
    <w:rsid w:val="00736779"/>
    <w:rsid w:val="00736C86"/>
    <w:rsid w:val="00737449"/>
    <w:rsid w:val="00740234"/>
    <w:rsid w:val="0074070A"/>
    <w:rsid w:val="00740CD5"/>
    <w:rsid w:val="00741A60"/>
    <w:rsid w:val="00741ACB"/>
    <w:rsid w:val="007431E1"/>
    <w:rsid w:val="0074515F"/>
    <w:rsid w:val="007451B0"/>
    <w:rsid w:val="00745356"/>
    <w:rsid w:val="0074585F"/>
    <w:rsid w:val="00745A29"/>
    <w:rsid w:val="00745BB0"/>
    <w:rsid w:val="00745D50"/>
    <w:rsid w:val="007462E4"/>
    <w:rsid w:val="0074652C"/>
    <w:rsid w:val="007466C4"/>
    <w:rsid w:val="00747015"/>
    <w:rsid w:val="00747061"/>
    <w:rsid w:val="00747AA1"/>
    <w:rsid w:val="007504E1"/>
    <w:rsid w:val="00750A8B"/>
    <w:rsid w:val="00750B14"/>
    <w:rsid w:val="0075119B"/>
    <w:rsid w:val="0075161B"/>
    <w:rsid w:val="00751DFD"/>
    <w:rsid w:val="0075203F"/>
    <w:rsid w:val="00753D78"/>
    <w:rsid w:val="007540BD"/>
    <w:rsid w:val="007543DD"/>
    <w:rsid w:val="007551A8"/>
    <w:rsid w:val="00755821"/>
    <w:rsid w:val="00755DD3"/>
    <w:rsid w:val="00756ECB"/>
    <w:rsid w:val="00756F53"/>
    <w:rsid w:val="007571AA"/>
    <w:rsid w:val="007576D1"/>
    <w:rsid w:val="007578C0"/>
    <w:rsid w:val="0075793E"/>
    <w:rsid w:val="00760FE9"/>
    <w:rsid w:val="00761483"/>
    <w:rsid w:val="00761F3B"/>
    <w:rsid w:val="00762051"/>
    <w:rsid w:val="00762837"/>
    <w:rsid w:val="00762897"/>
    <w:rsid w:val="00762E9F"/>
    <w:rsid w:val="0076326E"/>
    <w:rsid w:val="007632E0"/>
    <w:rsid w:val="0076346B"/>
    <w:rsid w:val="007634B1"/>
    <w:rsid w:val="0076359A"/>
    <w:rsid w:val="00764131"/>
    <w:rsid w:val="007659DA"/>
    <w:rsid w:val="00765FE1"/>
    <w:rsid w:val="00766173"/>
    <w:rsid w:val="00766BA7"/>
    <w:rsid w:val="00766E8A"/>
    <w:rsid w:val="007671B4"/>
    <w:rsid w:val="007673C2"/>
    <w:rsid w:val="0076780F"/>
    <w:rsid w:val="0077022B"/>
    <w:rsid w:val="007720BD"/>
    <w:rsid w:val="007722B6"/>
    <w:rsid w:val="00772308"/>
    <w:rsid w:val="0077241D"/>
    <w:rsid w:val="0077246A"/>
    <w:rsid w:val="0077253B"/>
    <w:rsid w:val="00773932"/>
    <w:rsid w:val="007745BA"/>
    <w:rsid w:val="00774BB0"/>
    <w:rsid w:val="0077522B"/>
    <w:rsid w:val="00775266"/>
    <w:rsid w:val="00775394"/>
    <w:rsid w:val="00775B46"/>
    <w:rsid w:val="00775B85"/>
    <w:rsid w:val="00775FC7"/>
    <w:rsid w:val="00776CA2"/>
    <w:rsid w:val="00777693"/>
    <w:rsid w:val="00780D18"/>
    <w:rsid w:val="00781568"/>
    <w:rsid w:val="00781676"/>
    <w:rsid w:val="00781E28"/>
    <w:rsid w:val="00782C4E"/>
    <w:rsid w:val="007831D4"/>
    <w:rsid w:val="00783586"/>
    <w:rsid w:val="00783E10"/>
    <w:rsid w:val="007840E4"/>
    <w:rsid w:val="0078491B"/>
    <w:rsid w:val="00784F56"/>
    <w:rsid w:val="00785E95"/>
    <w:rsid w:val="007864C8"/>
    <w:rsid w:val="0078734E"/>
    <w:rsid w:val="0079014C"/>
    <w:rsid w:val="0079021D"/>
    <w:rsid w:val="007903CE"/>
    <w:rsid w:val="007908A5"/>
    <w:rsid w:val="00791405"/>
    <w:rsid w:val="0079144E"/>
    <w:rsid w:val="00791EC9"/>
    <w:rsid w:val="00791F60"/>
    <w:rsid w:val="0079224C"/>
    <w:rsid w:val="00792600"/>
    <w:rsid w:val="00792EA4"/>
    <w:rsid w:val="00792F2F"/>
    <w:rsid w:val="00792F97"/>
    <w:rsid w:val="00793CC7"/>
    <w:rsid w:val="007944F2"/>
    <w:rsid w:val="007952B6"/>
    <w:rsid w:val="00795371"/>
    <w:rsid w:val="00796432"/>
    <w:rsid w:val="00796B8E"/>
    <w:rsid w:val="00797A64"/>
    <w:rsid w:val="00797DB3"/>
    <w:rsid w:val="007A02F5"/>
    <w:rsid w:val="007A06F7"/>
    <w:rsid w:val="007A227E"/>
    <w:rsid w:val="007A230A"/>
    <w:rsid w:val="007A3A99"/>
    <w:rsid w:val="007A3BDE"/>
    <w:rsid w:val="007A3D3A"/>
    <w:rsid w:val="007A3F0B"/>
    <w:rsid w:val="007A4CAE"/>
    <w:rsid w:val="007A4DBA"/>
    <w:rsid w:val="007A5D88"/>
    <w:rsid w:val="007A603E"/>
    <w:rsid w:val="007A638E"/>
    <w:rsid w:val="007A7498"/>
    <w:rsid w:val="007B024A"/>
    <w:rsid w:val="007B0520"/>
    <w:rsid w:val="007B0628"/>
    <w:rsid w:val="007B08A4"/>
    <w:rsid w:val="007B0DF8"/>
    <w:rsid w:val="007B119B"/>
    <w:rsid w:val="007B1541"/>
    <w:rsid w:val="007B2625"/>
    <w:rsid w:val="007B26C3"/>
    <w:rsid w:val="007B32E9"/>
    <w:rsid w:val="007B37B2"/>
    <w:rsid w:val="007B3E56"/>
    <w:rsid w:val="007B3E5E"/>
    <w:rsid w:val="007B3E84"/>
    <w:rsid w:val="007B4E9E"/>
    <w:rsid w:val="007B5C2B"/>
    <w:rsid w:val="007B63CB"/>
    <w:rsid w:val="007B6B0F"/>
    <w:rsid w:val="007B73F0"/>
    <w:rsid w:val="007B7CA9"/>
    <w:rsid w:val="007C0006"/>
    <w:rsid w:val="007C0A79"/>
    <w:rsid w:val="007C2802"/>
    <w:rsid w:val="007C3073"/>
    <w:rsid w:val="007C33AF"/>
    <w:rsid w:val="007C352A"/>
    <w:rsid w:val="007C385D"/>
    <w:rsid w:val="007C3A72"/>
    <w:rsid w:val="007C4328"/>
    <w:rsid w:val="007C471A"/>
    <w:rsid w:val="007C53B0"/>
    <w:rsid w:val="007C5808"/>
    <w:rsid w:val="007C5E51"/>
    <w:rsid w:val="007C63BA"/>
    <w:rsid w:val="007C6643"/>
    <w:rsid w:val="007C6B98"/>
    <w:rsid w:val="007C6CC7"/>
    <w:rsid w:val="007C6F3E"/>
    <w:rsid w:val="007C7D26"/>
    <w:rsid w:val="007D0C11"/>
    <w:rsid w:val="007D1989"/>
    <w:rsid w:val="007D4023"/>
    <w:rsid w:val="007D4253"/>
    <w:rsid w:val="007D474F"/>
    <w:rsid w:val="007D4996"/>
    <w:rsid w:val="007D49B9"/>
    <w:rsid w:val="007D4F92"/>
    <w:rsid w:val="007E05F2"/>
    <w:rsid w:val="007E0C79"/>
    <w:rsid w:val="007E1D77"/>
    <w:rsid w:val="007E209B"/>
    <w:rsid w:val="007E20F6"/>
    <w:rsid w:val="007E250D"/>
    <w:rsid w:val="007E2D9B"/>
    <w:rsid w:val="007E2EEB"/>
    <w:rsid w:val="007E4292"/>
    <w:rsid w:val="007E5143"/>
    <w:rsid w:val="007E52BB"/>
    <w:rsid w:val="007E5C38"/>
    <w:rsid w:val="007E61B5"/>
    <w:rsid w:val="007E6223"/>
    <w:rsid w:val="007E62EB"/>
    <w:rsid w:val="007E7335"/>
    <w:rsid w:val="007E77D9"/>
    <w:rsid w:val="007F10D3"/>
    <w:rsid w:val="007F121F"/>
    <w:rsid w:val="007F133D"/>
    <w:rsid w:val="007F1A2C"/>
    <w:rsid w:val="007F2FF9"/>
    <w:rsid w:val="007F30A9"/>
    <w:rsid w:val="007F30DF"/>
    <w:rsid w:val="007F338E"/>
    <w:rsid w:val="007F41F7"/>
    <w:rsid w:val="007F4808"/>
    <w:rsid w:val="007F485E"/>
    <w:rsid w:val="007F5DC7"/>
    <w:rsid w:val="007F5EA1"/>
    <w:rsid w:val="007F641F"/>
    <w:rsid w:val="007F735A"/>
    <w:rsid w:val="007F761C"/>
    <w:rsid w:val="007F7A58"/>
    <w:rsid w:val="007F7EDC"/>
    <w:rsid w:val="00800263"/>
    <w:rsid w:val="00800AE6"/>
    <w:rsid w:val="008010F8"/>
    <w:rsid w:val="0080226A"/>
    <w:rsid w:val="0080283C"/>
    <w:rsid w:val="008029AA"/>
    <w:rsid w:val="00802A44"/>
    <w:rsid w:val="00802E6C"/>
    <w:rsid w:val="008031A8"/>
    <w:rsid w:val="00803235"/>
    <w:rsid w:val="0080332D"/>
    <w:rsid w:val="00803908"/>
    <w:rsid w:val="008039F3"/>
    <w:rsid w:val="008047BA"/>
    <w:rsid w:val="00804817"/>
    <w:rsid w:val="0080582D"/>
    <w:rsid w:val="00805EBB"/>
    <w:rsid w:val="00806099"/>
    <w:rsid w:val="008068C0"/>
    <w:rsid w:val="008069F6"/>
    <w:rsid w:val="00806D07"/>
    <w:rsid w:val="008079B6"/>
    <w:rsid w:val="008079F9"/>
    <w:rsid w:val="00810D8C"/>
    <w:rsid w:val="008116F5"/>
    <w:rsid w:val="0081177F"/>
    <w:rsid w:val="00812123"/>
    <w:rsid w:val="00812591"/>
    <w:rsid w:val="0081315E"/>
    <w:rsid w:val="008133B6"/>
    <w:rsid w:val="008140A9"/>
    <w:rsid w:val="00814AF6"/>
    <w:rsid w:val="008151C3"/>
    <w:rsid w:val="00815AB8"/>
    <w:rsid w:val="00816873"/>
    <w:rsid w:val="00816B31"/>
    <w:rsid w:val="00816CA6"/>
    <w:rsid w:val="008171F9"/>
    <w:rsid w:val="00817435"/>
    <w:rsid w:val="00817503"/>
    <w:rsid w:val="00817B34"/>
    <w:rsid w:val="00820085"/>
    <w:rsid w:val="00820D38"/>
    <w:rsid w:val="00821A2F"/>
    <w:rsid w:val="00821AF5"/>
    <w:rsid w:val="00821D34"/>
    <w:rsid w:val="008225A5"/>
    <w:rsid w:val="00822E0D"/>
    <w:rsid w:val="0082347B"/>
    <w:rsid w:val="00823BDB"/>
    <w:rsid w:val="00824310"/>
    <w:rsid w:val="00824942"/>
    <w:rsid w:val="00825B81"/>
    <w:rsid w:val="00826268"/>
    <w:rsid w:val="008268A5"/>
    <w:rsid w:val="008268C4"/>
    <w:rsid w:val="00827318"/>
    <w:rsid w:val="0082758D"/>
    <w:rsid w:val="0082760A"/>
    <w:rsid w:val="00827945"/>
    <w:rsid w:val="008310E5"/>
    <w:rsid w:val="008310F3"/>
    <w:rsid w:val="008315B0"/>
    <w:rsid w:val="008316B7"/>
    <w:rsid w:val="008327A1"/>
    <w:rsid w:val="00832EE7"/>
    <w:rsid w:val="00833304"/>
    <w:rsid w:val="00833926"/>
    <w:rsid w:val="00834412"/>
    <w:rsid w:val="008347B8"/>
    <w:rsid w:val="008349B6"/>
    <w:rsid w:val="00834A5A"/>
    <w:rsid w:val="008353A7"/>
    <w:rsid w:val="00837B06"/>
    <w:rsid w:val="008400F4"/>
    <w:rsid w:val="008401AF"/>
    <w:rsid w:val="00840303"/>
    <w:rsid w:val="00840D2A"/>
    <w:rsid w:val="00840EB7"/>
    <w:rsid w:val="00841575"/>
    <w:rsid w:val="008421E6"/>
    <w:rsid w:val="008425D0"/>
    <w:rsid w:val="00842DD2"/>
    <w:rsid w:val="00843352"/>
    <w:rsid w:val="00843D31"/>
    <w:rsid w:val="00843D4E"/>
    <w:rsid w:val="00844552"/>
    <w:rsid w:val="008445D0"/>
    <w:rsid w:val="008447AE"/>
    <w:rsid w:val="008449E8"/>
    <w:rsid w:val="00844B47"/>
    <w:rsid w:val="00845317"/>
    <w:rsid w:val="008463DD"/>
    <w:rsid w:val="00846440"/>
    <w:rsid w:val="00846EE6"/>
    <w:rsid w:val="008477AF"/>
    <w:rsid w:val="00847CE3"/>
    <w:rsid w:val="0085048D"/>
    <w:rsid w:val="00850776"/>
    <w:rsid w:val="00850817"/>
    <w:rsid w:val="00850F9E"/>
    <w:rsid w:val="0085131D"/>
    <w:rsid w:val="008516C8"/>
    <w:rsid w:val="00851A11"/>
    <w:rsid w:val="00851F55"/>
    <w:rsid w:val="00852A2D"/>
    <w:rsid w:val="00853923"/>
    <w:rsid w:val="00853C04"/>
    <w:rsid w:val="00855E55"/>
    <w:rsid w:val="0085737A"/>
    <w:rsid w:val="00860A1D"/>
    <w:rsid w:val="0086101A"/>
    <w:rsid w:val="008611C3"/>
    <w:rsid w:val="00861B18"/>
    <w:rsid w:val="00861F67"/>
    <w:rsid w:val="00862C40"/>
    <w:rsid w:val="00862EA3"/>
    <w:rsid w:val="00863888"/>
    <w:rsid w:val="0086440C"/>
    <w:rsid w:val="00864D58"/>
    <w:rsid w:val="00865258"/>
    <w:rsid w:val="0086527B"/>
    <w:rsid w:val="008654BB"/>
    <w:rsid w:val="0086617D"/>
    <w:rsid w:val="00866D13"/>
    <w:rsid w:val="00866D63"/>
    <w:rsid w:val="008670F8"/>
    <w:rsid w:val="008673D9"/>
    <w:rsid w:val="00867464"/>
    <w:rsid w:val="008678F6"/>
    <w:rsid w:val="00870711"/>
    <w:rsid w:val="00870C27"/>
    <w:rsid w:val="00872388"/>
    <w:rsid w:val="00872DDF"/>
    <w:rsid w:val="00872E78"/>
    <w:rsid w:val="0087363F"/>
    <w:rsid w:val="00874649"/>
    <w:rsid w:val="0087476E"/>
    <w:rsid w:val="0087550F"/>
    <w:rsid w:val="00875E74"/>
    <w:rsid w:val="008769A8"/>
    <w:rsid w:val="00876A1A"/>
    <w:rsid w:val="00876B01"/>
    <w:rsid w:val="008773FA"/>
    <w:rsid w:val="00877487"/>
    <w:rsid w:val="008775AC"/>
    <w:rsid w:val="008775B9"/>
    <w:rsid w:val="0087770D"/>
    <w:rsid w:val="008777C4"/>
    <w:rsid w:val="0087787D"/>
    <w:rsid w:val="00877C3D"/>
    <w:rsid w:val="008807C7"/>
    <w:rsid w:val="00880E49"/>
    <w:rsid w:val="008817B1"/>
    <w:rsid w:val="00882C2B"/>
    <w:rsid w:val="008837A6"/>
    <w:rsid w:val="008838F3"/>
    <w:rsid w:val="00883FB3"/>
    <w:rsid w:val="00886102"/>
    <w:rsid w:val="008864DB"/>
    <w:rsid w:val="00886D12"/>
    <w:rsid w:val="00886FA8"/>
    <w:rsid w:val="0088725B"/>
    <w:rsid w:val="00887364"/>
    <w:rsid w:val="0088749B"/>
    <w:rsid w:val="008874FB"/>
    <w:rsid w:val="0088766C"/>
    <w:rsid w:val="00887824"/>
    <w:rsid w:val="00887869"/>
    <w:rsid w:val="00887C11"/>
    <w:rsid w:val="008903F2"/>
    <w:rsid w:val="008912E5"/>
    <w:rsid w:val="008913A1"/>
    <w:rsid w:val="00891D5B"/>
    <w:rsid w:val="00892753"/>
    <w:rsid w:val="00893823"/>
    <w:rsid w:val="00893834"/>
    <w:rsid w:val="008939B9"/>
    <w:rsid w:val="00893CB8"/>
    <w:rsid w:val="00893F3C"/>
    <w:rsid w:val="0089457E"/>
    <w:rsid w:val="008960C6"/>
    <w:rsid w:val="0089630F"/>
    <w:rsid w:val="00896559"/>
    <w:rsid w:val="00896751"/>
    <w:rsid w:val="00896F55"/>
    <w:rsid w:val="0089767C"/>
    <w:rsid w:val="008978FB"/>
    <w:rsid w:val="008A0379"/>
    <w:rsid w:val="008A0FDA"/>
    <w:rsid w:val="008A1FDE"/>
    <w:rsid w:val="008A2185"/>
    <w:rsid w:val="008A2793"/>
    <w:rsid w:val="008A2993"/>
    <w:rsid w:val="008A38DE"/>
    <w:rsid w:val="008A3E56"/>
    <w:rsid w:val="008A4047"/>
    <w:rsid w:val="008A470B"/>
    <w:rsid w:val="008A508F"/>
    <w:rsid w:val="008A5A72"/>
    <w:rsid w:val="008A5DBF"/>
    <w:rsid w:val="008A5DC2"/>
    <w:rsid w:val="008A6629"/>
    <w:rsid w:val="008A686C"/>
    <w:rsid w:val="008A72A6"/>
    <w:rsid w:val="008A7686"/>
    <w:rsid w:val="008A76A9"/>
    <w:rsid w:val="008B09F9"/>
    <w:rsid w:val="008B0BE6"/>
    <w:rsid w:val="008B20DE"/>
    <w:rsid w:val="008B2181"/>
    <w:rsid w:val="008B29DC"/>
    <w:rsid w:val="008B2CD4"/>
    <w:rsid w:val="008B2D3A"/>
    <w:rsid w:val="008B2F48"/>
    <w:rsid w:val="008B3650"/>
    <w:rsid w:val="008B395B"/>
    <w:rsid w:val="008B423E"/>
    <w:rsid w:val="008B449B"/>
    <w:rsid w:val="008B44FA"/>
    <w:rsid w:val="008B4F87"/>
    <w:rsid w:val="008B4FF0"/>
    <w:rsid w:val="008B616E"/>
    <w:rsid w:val="008B788D"/>
    <w:rsid w:val="008B7AED"/>
    <w:rsid w:val="008B7C3C"/>
    <w:rsid w:val="008B7EFA"/>
    <w:rsid w:val="008C065E"/>
    <w:rsid w:val="008C0D1F"/>
    <w:rsid w:val="008C1071"/>
    <w:rsid w:val="008C25C7"/>
    <w:rsid w:val="008C28F3"/>
    <w:rsid w:val="008C2D7C"/>
    <w:rsid w:val="008C4559"/>
    <w:rsid w:val="008C47F5"/>
    <w:rsid w:val="008C4ED9"/>
    <w:rsid w:val="008C505E"/>
    <w:rsid w:val="008C6BC3"/>
    <w:rsid w:val="008C71EA"/>
    <w:rsid w:val="008C762C"/>
    <w:rsid w:val="008C7A46"/>
    <w:rsid w:val="008D026F"/>
    <w:rsid w:val="008D02CF"/>
    <w:rsid w:val="008D04D7"/>
    <w:rsid w:val="008D094F"/>
    <w:rsid w:val="008D0D57"/>
    <w:rsid w:val="008D17CD"/>
    <w:rsid w:val="008D1E92"/>
    <w:rsid w:val="008D1F7E"/>
    <w:rsid w:val="008D24DD"/>
    <w:rsid w:val="008D2793"/>
    <w:rsid w:val="008D3A79"/>
    <w:rsid w:val="008D3EB4"/>
    <w:rsid w:val="008D4220"/>
    <w:rsid w:val="008D47D7"/>
    <w:rsid w:val="008D4D31"/>
    <w:rsid w:val="008D58DF"/>
    <w:rsid w:val="008D5FC2"/>
    <w:rsid w:val="008D6200"/>
    <w:rsid w:val="008D649D"/>
    <w:rsid w:val="008D79D5"/>
    <w:rsid w:val="008D7F6F"/>
    <w:rsid w:val="008E02E0"/>
    <w:rsid w:val="008E0C31"/>
    <w:rsid w:val="008E0E87"/>
    <w:rsid w:val="008E134D"/>
    <w:rsid w:val="008E1754"/>
    <w:rsid w:val="008E2800"/>
    <w:rsid w:val="008E2F37"/>
    <w:rsid w:val="008E3173"/>
    <w:rsid w:val="008E35D1"/>
    <w:rsid w:val="008E40C3"/>
    <w:rsid w:val="008E44FA"/>
    <w:rsid w:val="008E47E4"/>
    <w:rsid w:val="008E4AE8"/>
    <w:rsid w:val="008E4B70"/>
    <w:rsid w:val="008E5489"/>
    <w:rsid w:val="008E55BD"/>
    <w:rsid w:val="008E5B91"/>
    <w:rsid w:val="008E5CBB"/>
    <w:rsid w:val="008E61F3"/>
    <w:rsid w:val="008E6B54"/>
    <w:rsid w:val="008E6D12"/>
    <w:rsid w:val="008E734B"/>
    <w:rsid w:val="008F0044"/>
    <w:rsid w:val="008F061F"/>
    <w:rsid w:val="008F0E54"/>
    <w:rsid w:val="008F1668"/>
    <w:rsid w:val="008F30E1"/>
    <w:rsid w:val="008F3AA9"/>
    <w:rsid w:val="008F3D35"/>
    <w:rsid w:val="008F6941"/>
    <w:rsid w:val="008F7060"/>
    <w:rsid w:val="008F77C6"/>
    <w:rsid w:val="009008D8"/>
    <w:rsid w:val="00900A0C"/>
    <w:rsid w:val="00902F17"/>
    <w:rsid w:val="0090372F"/>
    <w:rsid w:val="0090386E"/>
    <w:rsid w:val="00903BD8"/>
    <w:rsid w:val="00903C15"/>
    <w:rsid w:val="00903FE5"/>
    <w:rsid w:val="00904011"/>
    <w:rsid w:val="009049FC"/>
    <w:rsid w:val="00905BD8"/>
    <w:rsid w:val="009061E3"/>
    <w:rsid w:val="0090674D"/>
    <w:rsid w:val="00906A93"/>
    <w:rsid w:val="00906E50"/>
    <w:rsid w:val="0090716E"/>
    <w:rsid w:val="00907267"/>
    <w:rsid w:val="0090763B"/>
    <w:rsid w:val="009077BA"/>
    <w:rsid w:val="0091021E"/>
    <w:rsid w:val="00910509"/>
    <w:rsid w:val="00911B42"/>
    <w:rsid w:val="00911F71"/>
    <w:rsid w:val="0091215C"/>
    <w:rsid w:val="00913DC1"/>
    <w:rsid w:val="00913F60"/>
    <w:rsid w:val="00913FD1"/>
    <w:rsid w:val="00914E15"/>
    <w:rsid w:val="00914F28"/>
    <w:rsid w:val="00915ABE"/>
    <w:rsid w:val="00917786"/>
    <w:rsid w:val="00917CEE"/>
    <w:rsid w:val="00917D65"/>
    <w:rsid w:val="00917E06"/>
    <w:rsid w:val="0092028D"/>
    <w:rsid w:val="0092087F"/>
    <w:rsid w:val="00920FC8"/>
    <w:rsid w:val="00921224"/>
    <w:rsid w:val="009215C5"/>
    <w:rsid w:val="0092169A"/>
    <w:rsid w:val="00921C02"/>
    <w:rsid w:val="009223FA"/>
    <w:rsid w:val="009230DE"/>
    <w:rsid w:val="00923339"/>
    <w:rsid w:val="00923466"/>
    <w:rsid w:val="00923A94"/>
    <w:rsid w:val="00923D5C"/>
    <w:rsid w:val="00924111"/>
    <w:rsid w:val="0092417B"/>
    <w:rsid w:val="009243BB"/>
    <w:rsid w:val="00924AFD"/>
    <w:rsid w:val="00925B55"/>
    <w:rsid w:val="00926CD8"/>
    <w:rsid w:val="00926CF4"/>
    <w:rsid w:val="00927689"/>
    <w:rsid w:val="00931398"/>
    <w:rsid w:val="00931F88"/>
    <w:rsid w:val="00932036"/>
    <w:rsid w:val="009320E6"/>
    <w:rsid w:val="009323BD"/>
    <w:rsid w:val="00932583"/>
    <w:rsid w:val="00932C83"/>
    <w:rsid w:val="00932EF2"/>
    <w:rsid w:val="00934053"/>
    <w:rsid w:val="00934A86"/>
    <w:rsid w:val="00935211"/>
    <w:rsid w:val="009356A6"/>
    <w:rsid w:val="00935A5F"/>
    <w:rsid w:val="00936258"/>
    <w:rsid w:val="00937530"/>
    <w:rsid w:val="00937A92"/>
    <w:rsid w:val="009418F7"/>
    <w:rsid w:val="00941D20"/>
    <w:rsid w:val="009427B4"/>
    <w:rsid w:val="00942E92"/>
    <w:rsid w:val="00943C81"/>
    <w:rsid w:val="00943D8E"/>
    <w:rsid w:val="00943EA7"/>
    <w:rsid w:val="00943EE7"/>
    <w:rsid w:val="009449A1"/>
    <w:rsid w:val="00944ABE"/>
    <w:rsid w:val="00945564"/>
    <w:rsid w:val="00945D93"/>
    <w:rsid w:val="0094640F"/>
    <w:rsid w:val="009465B4"/>
    <w:rsid w:val="0094693B"/>
    <w:rsid w:val="00947091"/>
    <w:rsid w:val="009471D5"/>
    <w:rsid w:val="00947869"/>
    <w:rsid w:val="00947CA0"/>
    <w:rsid w:val="009502D5"/>
    <w:rsid w:val="009502FB"/>
    <w:rsid w:val="00950353"/>
    <w:rsid w:val="00950E49"/>
    <w:rsid w:val="0095146A"/>
    <w:rsid w:val="00951AC4"/>
    <w:rsid w:val="00951C44"/>
    <w:rsid w:val="00951CCD"/>
    <w:rsid w:val="009520EE"/>
    <w:rsid w:val="009522D5"/>
    <w:rsid w:val="009527FF"/>
    <w:rsid w:val="0095437A"/>
    <w:rsid w:val="009548CC"/>
    <w:rsid w:val="009549AC"/>
    <w:rsid w:val="00955843"/>
    <w:rsid w:val="00955877"/>
    <w:rsid w:val="009563EE"/>
    <w:rsid w:val="00956C0B"/>
    <w:rsid w:val="009576FB"/>
    <w:rsid w:val="00957E74"/>
    <w:rsid w:val="0096049E"/>
    <w:rsid w:val="009608CC"/>
    <w:rsid w:val="00960981"/>
    <w:rsid w:val="009613E3"/>
    <w:rsid w:val="00961D40"/>
    <w:rsid w:val="009629A8"/>
    <w:rsid w:val="009629AE"/>
    <w:rsid w:val="00962F08"/>
    <w:rsid w:val="00963074"/>
    <w:rsid w:val="009637CF"/>
    <w:rsid w:val="009637DD"/>
    <w:rsid w:val="00963DF1"/>
    <w:rsid w:val="009664A0"/>
    <w:rsid w:val="00966ED3"/>
    <w:rsid w:val="009670E3"/>
    <w:rsid w:val="009673CF"/>
    <w:rsid w:val="00967461"/>
    <w:rsid w:val="00967AE5"/>
    <w:rsid w:val="0097083F"/>
    <w:rsid w:val="0097159F"/>
    <w:rsid w:val="00971B69"/>
    <w:rsid w:val="00971DC3"/>
    <w:rsid w:val="00972241"/>
    <w:rsid w:val="00972817"/>
    <w:rsid w:val="00972A3B"/>
    <w:rsid w:val="00972F42"/>
    <w:rsid w:val="00973041"/>
    <w:rsid w:val="00973D10"/>
    <w:rsid w:val="009744C5"/>
    <w:rsid w:val="009745FC"/>
    <w:rsid w:val="0097533E"/>
    <w:rsid w:val="009754EF"/>
    <w:rsid w:val="00975703"/>
    <w:rsid w:val="00975A6B"/>
    <w:rsid w:val="00975AB6"/>
    <w:rsid w:val="0097619B"/>
    <w:rsid w:val="00976CAE"/>
    <w:rsid w:val="009772D7"/>
    <w:rsid w:val="00977550"/>
    <w:rsid w:val="00977ADA"/>
    <w:rsid w:val="009806D3"/>
    <w:rsid w:val="00980737"/>
    <w:rsid w:val="009807C8"/>
    <w:rsid w:val="00980CED"/>
    <w:rsid w:val="00981EC9"/>
    <w:rsid w:val="00981F3F"/>
    <w:rsid w:val="009821FA"/>
    <w:rsid w:val="00982FEA"/>
    <w:rsid w:val="009831E6"/>
    <w:rsid w:val="009838BC"/>
    <w:rsid w:val="00983F29"/>
    <w:rsid w:val="0098402F"/>
    <w:rsid w:val="0098490B"/>
    <w:rsid w:val="00984CE4"/>
    <w:rsid w:val="00985909"/>
    <w:rsid w:val="00985D89"/>
    <w:rsid w:val="00986C78"/>
    <w:rsid w:val="00986EE2"/>
    <w:rsid w:val="00987808"/>
    <w:rsid w:val="0099009C"/>
    <w:rsid w:val="00990357"/>
    <w:rsid w:val="00990BF3"/>
    <w:rsid w:val="00990D12"/>
    <w:rsid w:val="009918C6"/>
    <w:rsid w:val="009925D2"/>
    <w:rsid w:val="0099331C"/>
    <w:rsid w:val="009934D2"/>
    <w:rsid w:val="00993979"/>
    <w:rsid w:val="00993D98"/>
    <w:rsid w:val="00994077"/>
    <w:rsid w:val="0099480C"/>
    <w:rsid w:val="00994CD7"/>
    <w:rsid w:val="00995197"/>
    <w:rsid w:val="00995BF1"/>
    <w:rsid w:val="0099600D"/>
    <w:rsid w:val="00996225"/>
    <w:rsid w:val="00996811"/>
    <w:rsid w:val="00996BCF"/>
    <w:rsid w:val="009976D8"/>
    <w:rsid w:val="00997AEF"/>
    <w:rsid w:val="00997FDE"/>
    <w:rsid w:val="009A01A0"/>
    <w:rsid w:val="009A1EA3"/>
    <w:rsid w:val="009A23B9"/>
    <w:rsid w:val="009A275E"/>
    <w:rsid w:val="009A3A78"/>
    <w:rsid w:val="009A3DA1"/>
    <w:rsid w:val="009A3E17"/>
    <w:rsid w:val="009A4C5C"/>
    <w:rsid w:val="009A5660"/>
    <w:rsid w:val="009A5A8F"/>
    <w:rsid w:val="009A662F"/>
    <w:rsid w:val="009A6AD9"/>
    <w:rsid w:val="009A72E6"/>
    <w:rsid w:val="009A7543"/>
    <w:rsid w:val="009B0393"/>
    <w:rsid w:val="009B0EC8"/>
    <w:rsid w:val="009B1593"/>
    <w:rsid w:val="009B1834"/>
    <w:rsid w:val="009B1EEC"/>
    <w:rsid w:val="009B22DC"/>
    <w:rsid w:val="009B280C"/>
    <w:rsid w:val="009B34C5"/>
    <w:rsid w:val="009B3ACE"/>
    <w:rsid w:val="009B45A9"/>
    <w:rsid w:val="009B4B7E"/>
    <w:rsid w:val="009B4EC7"/>
    <w:rsid w:val="009B6573"/>
    <w:rsid w:val="009B6662"/>
    <w:rsid w:val="009B6BDE"/>
    <w:rsid w:val="009B6ED0"/>
    <w:rsid w:val="009B7E09"/>
    <w:rsid w:val="009C0D6F"/>
    <w:rsid w:val="009C1130"/>
    <w:rsid w:val="009C1607"/>
    <w:rsid w:val="009C2B33"/>
    <w:rsid w:val="009C2DE8"/>
    <w:rsid w:val="009C3952"/>
    <w:rsid w:val="009C3A3D"/>
    <w:rsid w:val="009C3C5B"/>
    <w:rsid w:val="009C3DCE"/>
    <w:rsid w:val="009C3EBF"/>
    <w:rsid w:val="009C5D9F"/>
    <w:rsid w:val="009C615C"/>
    <w:rsid w:val="009C66C6"/>
    <w:rsid w:val="009C69A5"/>
    <w:rsid w:val="009C6D4E"/>
    <w:rsid w:val="009C6D67"/>
    <w:rsid w:val="009C7206"/>
    <w:rsid w:val="009C7629"/>
    <w:rsid w:val="009C778E"/>
    <w:rsid w:val="009C78E0"/>
    <w:rsid w:val="009D1319"/>
    <w:rsid w:val="009D1748"/>
    <w:rsid w:val="009D1F22"/>
    <w:rsid w:val="009D23CC"/>
    <w:rsid w:val="009D2941"/>
    <w:rsid w:val="009D2B31"/>
    <w:rsid w:val="009D3081"/>
    <w:rsid w:val="009D3605"/>
    <w:rsid w:val="009D3F78"/>
    <w:rsid w:val="009D3FD9"/>
    <w:rsid w:val="009D41DC"/>
    <w:rsid w:val="009D455E"/>
    <w:rsid w:val="009D4E36"/>
    <w:rsid w:val="009D4EC3"/>
    <w:rsid w:val="009D4F1A"/>
    <w:rsid w:val="009D50A8"/>
    <w:rsid w:val="009D50C8"/>
    <w:rsid w:val="009D64C2"/>
    <w:rsid w:val="009E00A7"/>
    <w:rsid w:val="009E0B79"/>
    <w:rsid w:val="009E0C18"/>
    <w:rsid w:val="009E1CD8"/>
    <w:rsid w:val="009E2B22"/>
    <w:rsid w:val="009E4BAF"/>
    <w:rsid w:val="009E4DBA"/>
    <w:rsid w:val="009E5369"/>
    <w:rsid w:val="009E55ED"/>
    <w:rsid w:val="009E570F"/>
    <w:rsid w:val="009E6048"/>
    <w:rsid w:val="009E6D33"/>
    <w:rsid w:val="009E703B"/>
    <w:rsid w:val="009F0D61"/>
    <w:rsid w:val="009F2986"/>
    <w:rsid w:val="009F37EA"/>
    <w:rsid w:val="009F3E08"/>
    <w:rsid w:val="009F3F5C"/>
    <w:rsid w:val="009F4613"/>
    <w:rsid w:val="009F4B9B"/>
    <w:rsid w:val="009F4BA4"/>
    <w:rsid w:val="009F4E1A"/>
    <w:rsid w:val="009F5038"/>
    <w:rsid w:val="009F545A"/>
    <w:rsid w:val="009F62C9"/>
    <w:rsid w:val="009F65DA"/>
    <w:rsid w:val="009F679B"/>
    <w:rsid w:val="009F6850"/>
    <w:rsid w:val="009F6917"/>
    <w:rsid w:val="009F6B53"/>
    <w:rsid w:val="009F713E"/>
    <w:rsid w:val="00A007C4"/>
    <w:rsid w:val="00A027BF"/>
    <w:rsid w:val="00A02B0C"/>
    <w:rsid w:val="00A02E44"/>
    <w:rsid w:val="00A03312"/>
    <w:rsid w:val="00A03CF5"/>
    <w:rsid w:val="00A044B6"/>
    <w:rsid w:val="00A04C12"/>
    <w:rsid w:val="00A04C2F"/>
    <w:rsid w:val="00A053CB"/>
    <w:rsid w:val="00A06A7E"/>
    <w:rsid w:val="00A071F6"/>
    <w:rsid w:val="00A07B3C"/>
    <w:rsid w:val="00A10C92"/>
    <w:rsid w:val="00A1112F"/>
    <w:rsid w:val="00A1122E"/>
    <w:rsid w:val="00A11861"/>
    <w:rsid w:val="00A138FD"/>
    <w:rsid w:val="00A146A5"/>
    <w:rsid w:val="00A1509E"/>
    <w:rsid w:val="00A15FA1"/>
    <w:rsid w:val="00A1628B"/>
    <w:rsid w:val="00A16C13"/>
    <w:rsid w:val="00A1724C"/>
    <w:rsid w:val="00A17252"/>
    <w:rsid w:val="00A1749B"/>
    <w:rsid w:val="00A17FA2"/>
    <w:rsid w:val="00A20392"/>
    <w:rsid w:val="00A20D12"/>
    <w:rsid w:val="00A21190"/>
    <w:rsid w:val="00A214A8"/>
    <w:rsid w:val="00A214D7"/>
    <w:rsid w:val="00A23031"/>
    <w:rsid w:val="00A23429"/>
    <w:rsid w:val="00A2354C"/>
    <w:rsid w:val="00A236C3"/>
    <w:rsid w:val="00A23948"/>
    <w:rsid w:val="00A2547C"/>
    <w:rsid w:val="00A25C48"/>
    <w:rsid w:val="00A25EB8"/>
    <w:rsid w:val="00A26D1B"/>
    <w:rsid w:val="00A26F5F"/>
    <w:rsid w:val="00A26FBF"/>
    <w:rsid w:val="00A273D2"/>
    <w:rsid w:val="00A27A85"/>
    <w:rsid w:val="00A307B4"/>
    <w:rsid w:val="00A30847"/>
    <w:rsid w:val="00A30AD5"/>
    <w:rsid w:val="00A30FB7"/>
    <w:rsid w:val="00A3110B"/>
    <w:rsid w:val="00A31121"/>
    <w:rsid w:val="00A31130"/>
    <w:rsid w:val="00A31199"/>
    <w:rsid w:val="00A31279"/>
    <w:rsid w:val="00A31323"/>
    <w:rsid w:val="00A3142E"/>
    <w:rsid w:val="00A31F27"/>
    <w:rsid w:val="00A32609"/>
    <w:rsid w:val="00A3325B"/>
    <w:rsid w:val="00A34190"/>
    <w:rsid w:val="00A344B2"/>
    <w:rsid w:val="00A34B67"/>
    <w:rsid w:val="00A34EB7"/>
    <w:rsid w:val="00A36604"/>
    <w:rsid w:val="00A37320"/>
    <w:rsid w:val="00A37A71"/>
    <w:rsid w:val="00A401DB"/>
    <w:rsid w:val="00A40A5A"/>
    <w:rsid w:val="00A40F02"/>
    <w:rsid w:val="00A41D51"/>
    <w:rsid w:val="00A4221B"/>
    <w:rsid w:val="00A4236E"/>
    <w:rsid w:val="00A424C3"/>
    <w:rsid w:val="00A43944"/>
    <w:rsid w:val="00A43A64"/>
    <w:rsid w:val="00A44034"/>
    <w:rsid w:val="00A44862"/>
    <w:rsid w:val="00A45332"/>
    <w:rsid w:val="00A45E9A"/>
    <w:rsid w:val="00A461A4"/>
    <w:rsid w:val="00A472CD"/>
    <w:rsid w:val="00A47D3F"/>
    <w:rsid w:val="00A50162"/>
    <w:rsid w:val="00A50468"/>
    <w:rsid w:val="00A5117A"/>
    <w:rsid w:val="00A5233D"/>
    <w:rsid w:val="00A52F7A"/>
    <w:rsid w:val="00A5486B"/>
    <w:rsid w:val="00A5577F"/>
    <w:rsid w:val="00A55953"/>
    <w:rsid w:val="00A55C1E"/>
    <w:rsid w:val="00A55D09"/>
    <w:rsid w:val="00A55E06"/>
    <w:rsid w:val="00A55F5D"/>
    <w:rsid w:val="00A565EC"/>
    <w:rsid w:val="00A56895"/>
    <w:rsid w:val="00A57629"/>
    <w:rsid w:val="00A57A31"/>
    <w:rsid w:val="00A57DEB"/>
    <w:rsid w:val="00A60B57"/>
    <w:rsid w:val="00A60BEA"/>
    <w:rsid w:val="00A615B6"/>
    <w:rsid w:val="00A62510"/>
    <w:rsid w:val="00A629A6"/>
    <w:rsid w:val="00A6372E"/>
    <w:rsid w:val="00A63A74"/>
    <w:rsid w:val="00A63D6A"/>
    <w:rsid w:val="00A64352"/>
    <w:rsid w:val="00A6488C"/>
    <w:rsid w:val="00A64975"/>
    <w:rsid w:val="00A65161"/>
    <w:rsid w:val="00A66E0E"/>
    <w:rsid w:val="00A674ED"/>
    <w:rsid w:val="00A6784E"/>
    <w:rsid w:val="00A67A36"/>
    <w:rsid w:val="00A707FD"/>
    <w:rsid w:val="00A71245"/>
    <w:rsid w:val="00A72632"/>
    <w:rsid w:val="00A73332"/>
    <w:rsid w:val="00A74194"/>
    <w:rsid w:val="00A7446B"/>
    <w:rsid w:val="00A744ED"/>
    <w:rsid w:val="00A7495A"/>
    <w:rsid w:val="00A74A67"/>
    <w:rsid w:val="00A74BB2"/>
    <w:rsid w:val="00A74EED"/>
    <w:rsid w:val="00A75461"/>
    <w:rsid w:val="00A767A3"/>
    <w:rsid w:val="00A777FB"/>
    <w:rsid w:val="00A803BD"/>
    <w:rsid w:val="00A80C4B"/>
    <w:rsid w:val="00A818F5"/>
    <w:rsid w:val="00A82245"/>
    <w:rsid w:val="00A82DEA"/>
    <w:rsid w:val="00A830DE"/>
    <w:rsid w:val="00A832FD"/>
    <w:rsid w:val="00A8455D"/>
    <w:rsid w:val="00A846A1"/>
    <w:rsid w:val="00A849BB"/>
    <w:rsid w:val="00A853F6"/>
    <w:rsid w:val="00A85F64"/>
    <w:rsid w:val="00A90D03"/>
    <w:rsid w:val="00A93770"/>
    <w:rsid w:val="00A93E0B"/>
    <w:rsid w:val="00A93E30"/>
    <w:rsid w:val="00A951A7"/>
    <w:rsid w:val="00A967A5"/>
    <w:rsid w:val="00A96CE8"/>
    <w:rsid w:val="00AA0410"/>
    <w:rsid w:val="00AA053A"/>
    <w:rsid w:val="00AA096D"/>
    <w:rsid w:val="00AA0FE1"/>
    <w:rsid w:val="00AA14D0"/>
    <w:rsid w:val="00AA2668"/>
    <w:rsid w:val="00AA2E7B"/>
    <w:rsid w:val="00AA3427"/>
    <w:rsid w:val="00AA3A92"/>
    <w:rsid w:val="00AA3F9C"/>
    <w:rsid w:val="00AA45E2"/>
    <w:rsid w:val="00AA4A10"/>
    <w:rsid w:val="00AA5766"/>
    <w:rsid w:val="00AA6241"/>
    <w:rsid w:val="00AA6C75"/>
    <w:rsid w:val="00AA6DC3"/>
    <w:rsid w:val="00AA7AB3"/>
    <w:rsid w:val="00AB04A7"/>
    <w:rsid w:val="00AB055B"/>
    <w:rsid w:val="00AB0B1C"/>
    <w:rsid w:val="00AB0E88"/>
    <w:rsid w:val="00AB13F3"/>
    <w:rsid w:val="00AB1410"/>
    <w:rsid w:val="00AB1BA5"/>
    <w:rsid w:val="00AB1E0A"/>
    <w:rsid w:val="00AB25A9"/>
    <w:rsid w:val="00AB2FA6"/>
    <w:rsid w:val="00AB333C"/>
    <w:rsid w:val="00AB3520"/>
    <w:rsid w:val="00AB3E9E"/>
    <w:rsid w:val="00AB4E0B"/>
    <w:rsid w:val="00AB4E5F"/>
    <w:rsid w:val="00AB6390"/>
    <w:rsid w:val="00AB723A"/>
    <w:rsid w:val="00AB78D2"/>
    <w:rsid w:val="00AB7B27"/>
    <w:rsid w:val="00AC04BF"/>
    <w:rsid w:val="00AC1BF5"/>
    <w:rsid w:val="00AC202D"/>
    <w:rsid w:val="00AC2255"/>
    <w:rsid w:val="00AC4145"/>
    <w:rsid w:val="00AC4F08"/>
    <w:rsid w:val="00AC51EB"/>
    <w:rsid w:val="00AC53F5"/>
    <w:rsid w:val="00AC5D59"/>
    <w:rsid w:val="00AC5DB6"/>
    <w:rsid w:val="00AC6459"/>
    <w:rsid w:val="00AC6EA6"/>
    <w:rsid w:val="00AD00CF"/>
    <w:rsid w:val="00AD0975"/>
    <w:rsid w:val="00AD0980"/>
    <w:rsid w:val="00AD09A4"/>
    <w:rsid w:val="00AD09B3"/>
    <w:rsid w:val="00AD0B73"/>
    <w:rsid w:val="00AD1137"/>
    <w:rsid w:val="00AD1399"/>
    <w:rsid w:val="00AD1DFC"/>
    <w:rsid w:val="00AD1E9B"/>
    <w:rsid w:val="00AD252F"/>
    <w:rsid w:val="00AD27EE"/>
    <w:rsid w:val="00AD2CD9"/>
    <w:rsid w:val="00AD307F"/>
    <w:rsid w:val="00AD3B49"/>
    <w:rsid w:val="00AD4B3A"/>
    <w:rsid w:val="00AD56CB"/>
    <w:rsid w:val="00AD6487"/>
    <w:rsid w:val="00AD67A1"/>
    <w:rsid w:val="00AD70EE"/>
    <w:rsid w:val="00AD7AC8"/>
    <w:rsid w:val="00AD7EF1"/>
    <w:rsid w:val="00AE0B49"/>
    <w:rsid w:val="00AE0CB9"/>
    <w:rsid w:val="00AE197F"/>
    <w:rsid w:val="00AE19BB"/>
    <w:rsid w:val="00AE2BEE"/>
    <w:rsid w:val="00AE3978"/>
    <w:rsid w:val="00AE42B8"/>
    <w:rsid w:val="00AE4436"/>
    <w:rsid w:val="00AE4F82"/>
    <w:rsid w:val="00AE5534"/>
    <w:rsid w:val="00AE56CB"/>
    <w:rsid w:val="00AE6680"/>
    <w:rsid w:val="00AE6D92"/>
    <w:rsid w:val="00AE7083"/>
    <w:rsid w:val="00AE77DE"/>
    <w:rsid w:val="00AE7B8A"/>
    <w:rsid w:val="00AF0261"/>
    <w:rsid w:val="00AF04F6"/>
    <w:rsid w:val="00AF1CD1"/>
    <w:rsid w:val="00AF2096"/>
    <w:rsid w:val="00AF238A"/>
    <w:rsid w:val="00AF2CC8"/>
    <w:rsid w:val="00AF30AD"/>
    <w:rsid w:val="00AF3CAF"/>
    <w:rsid w:val="00AF4957"/>
    <w:rsid w:val="00AF5C3C"/>
    <w:rsid w:val="00AF6224"/>
    <w:rsid w:val="00AF651B"/>
    <w:rsid w:val="00AF6C5B"/>
    <w:rsid w:val="00AF7507"/>
    <w:rsid w:val="00AF77E3"/>
    <w:rsid w:val="00AF7820"/>
    <w:rsid w:val="00AF7AB7"/>
    <w:rsid w:val="00B0039F"/>
    <w:rsid w:val="00B007E3"/>
    <w:rsid w:val="00B00CD1"/>
    <w:rsid w:val="00B0150D"/>
    <w:rsid w:val="00B01AF0"/>
    <w:rsid w:val="00B03085"/>
    <w:rsid w:val="00B030F6"/>
    <w:rsid w:val="00B03388"/>
    <w:rsid w:val="00B03AB4"/>
    <w:rsid w:val="00B04511"/>
    <w:rsid w:val="00B05956"/>
    <w:rsid w:val="00B05A50"/>
    <w:rsid w:val="00B05CEB"/>
    <w:rsid w:val="00B05EB5"/>
    <w:rsid w:val="00B063D7"/>
    <w:rsid w:val="00B0721B"/>
    <w:rsid w:val="00B07774"/>
    <w:rsid w:val="00B1078C"/>
    <w:rsid w:val="00B10D6B"/>
    <w:rsid w:val="00B11130"/>
    <w:rsid w:val="00B116FE"/>
    <w:rsid w:val="00B11739"/>
    <w:rsid w:val="00B11BDD"/>
    <w:rsid w:val="00B12A29"/>
    <w:rsid w:val="00B1358B"/>
    <w:rsid w:val="00B13622"/>
    <w:rsid w:val="00B1414C"/>
    <w:rsid w:val="00B16BF5"/>
    <w:rsid w:val="00B17D52"/>
    <w:rsid w:val="00B20334"/>
    <w:rsid w:val="00B205AF"/>
    <w:rsid w:val="00B20B2E"/>
    <w:rsid w:val="00B20F16"/>
    <w:rsid w:val="00B220E1"/>
    <w:rsid w:val="00B2238B"/>
    <w:rsid w:val="00B2277D"/>
    <w:rsid w:val="00B22D6D"/>
    <w:rsid w:val="00B233F2"/>
    <w:rsid w:val="00B2476D"/>
    <w:rsid w:val="00B24EFE"/>
    <w:rsid w:val="00B24FC4"/>
    <w:rsid w:val="00B25465"/>
    <w:rsid w:val="00B25625"/>
    <w:rsid w:val="00B25B7E"/>
    <w:rsid w:val="00B27008"/>
    <w:rsid w:val="00B27926"/>
    <w:rsid w:val="00B27A5E"/>
    <w:rsid w:val="00B27DD6"/>
    <w:rsid w:val="00B30643"/>
    <w:rsid w:val="00B30651"/>
    <w:rsid w:val="00B310BB"/>
    <w:rsid w:val="00B31A6A"/>
    <w:rsid w:val="00B31D2D"/>
    <w:rsid w:val="00B31E1F"/>
    <w:rsid w:val="00B320E3"/>
    <w:rsid w:val="00B3236F"/>
    <w:rsid w:val="00B3244F"/>
    <w:rsid w:val="00B329E8"/>
    <w:rsid w:val="00B32B2E"/>
    <w:rsid w:val="00B332C0"/>
    <w:rsid w:val="00B33A84"/>
    <w:rsid w:val="00B33B4B"/>
    <w:rsid w:val="00B33D8C"/>
    <w:rsid w:val="00B34009"/>
    <w:rsid w:val="00B34378"/>
    <w:rsid w:val="00B344E0"/>
    <w:rsid w:val="00B354D5"/>
    <w:rsid w:val="00B360AF"/>
    <w:rsid w:val="00B36912"/>
    <w:rsid w:val="00B374E8"/>
    <w:rsid w:val="00B37A4E"/>
    <w:rsid w:val="00B37E6C"/>
    <w:rsid w:val="00B40705"/>
    <w:rsid w:val="00B41B1C"/>
    <w:rsid w:val="00B41B23"/>
    <w:rsid w:val="00B41BF0"/>
    <w:rsid w:val="00B42041"/>
    <w:rsid w:val="00B423FD"/>
    <w:rsid w:val="00B42973"/>
    <w:rsid w:val="00B43EB7"/>
    <w:rsid w:val="00B441B8"/>
    <w:rsid w:val="00B455F2"/>
    <w:rsid w:val="00B45834"/>
    <w:rsid w:val="00B47893"/>
    <w:rsid w:val="00B47C0D"/>
    <w:rsid w:val="00B50949"/>
    <w:rsid w:val="00B50FD0"/>
    <w:rsid w:val="00B51110"/>
    <w:rsid w:val="00B51766"/>
    <w:rsid w:val="00B527F8"/>
    <w:rsid w:val="00B53358"/>
    <w:rsid w:val="00B54355"/>
    <w:rsid w:val="00B54893"/>
    <w:rsid w:val="00B55C0C"/>
    <w:rsid w:val="00B55D32"/>
    <w:rsid w:val="00B5673D"/>
    <w:rsid w:val="00B56E27"/>
    <w:rsid w:val="00B577E5"/>
    <w:rsid w:val="00B603B2"/>
    <w:rsid w:val="00B60648"/>
    <w:rsid w:val="00B60885"/>
    <w:rsid w:val="00B608A9"/>
    <w:rsid w:val="00B608E3"/>
    <w:rsid w:val="00B60BAD"/>
    <w:rsid w:val="00B60CB1"/>
    <w:rsid w:val="00B618D9"/>
    <w:rsid w:val="00B61B13"/>
    <w:rsid w:val="00B62346"/>
    <w:rsid w:val="00B6304D"/>
    <w:rsid w:val="00B644E1"/>
    <w:rsid w:val="00B64F77"/>
    <w:rsid w:val="00B65176"/>
    <w:rsid w:val="00B65992"/>
    <w:rsid w:val="00B663DF"/>
    <w:rsid w:val="00B666E0"/>
    <w:rsid w:val="00B66AB5"/>
    <w:rsid w:val="00B66C82"/>
    <w:rsid w:val="00B66D01"/>
    <w:rsid w:val="00B671D1"/>
    <w:rsid w:val="00B67767"/>
    <w:rsid w:val="00B67875"/>
    <w:rsid w:val="00B67FC5"/>
    <w:rsid w:val="00B7009A"/>
    <w:rsid w:val="00B700E5"/>
    <w:rsid w:val="00B702FA"/>
    <w:rsid w:val="00B707AC"/>
    <w:rsid w:val="00B709E5"/>
    <w:rsid w:val="00B71408"/>
    <w:rsid w:val="00B71443"/>
    <w:rsid w:val="00B71666"/>
    <w:rsid w:val="00B7226F"/>
    <w:rsid w:val="00B72838"/>
    <w:rsid w:val="00B73550"/>
    <w:rsid w:val="00B736CF"/>
    <w:rsid w:val="00B74BE7"/>
    <w:rsid w:val="00B75293"/>
    <w:rsid w:val="00B75AA9"/>
    <w:rsid w:val="00B762BC"/>
    <w:rsid w:val="00B7767D"/>
    <w:rsid w:val="00B77B47"/>
    <w:rsid w:val="00B77EFF"/>
    <w:rsid w:val="00B80440"/>
    <w:rsid w:val="00B80D21"/>
    <w:rsid w:val="00B839AA"/>
    <w:rsid w:val="00B83ED0"/>
    <w:rsid w:val="00B842DA"/>
    <w:rsid w:val="00B844BB"/>
    <w:rsid w:val="00B845EB"/>
    <w:rsid w:val="00B846B1"/>
    <w:rsid w:val="00B85340"/>
    <w:rsid w:val="00B85476"/>
    <w:rsid w:val="00B85CAB"/>
    <w:rsid w:val="00B85ECC"/>
    <w:rsid w:val="00B86F95"/>
    <w:rsid w:val="00B87262"/>
    <w:rsid w:val="00B87360"/>
    <w:rsid w:val="00B876D3"/>
    <w:rsid w:val="00B87AC5"/>
    <w:rsid w:val="00B87C5E"/>
    <w:rsid w:val="00B87DC1"/>
    <w:rsid w:val="00B9292F"/>
    <w:rsid w:val="00B936A6"/>
    <w:rsid w:val="00B93A72"/>
    <w:rsid w:val="00B94DA4"/>
    <w:rsid w:val="00B9538C"/>
    <w:rsid w:val="00B9541C"/>
    <w:rsid w:val="00B95B2D"/>
    <w:rsid w:val="00B95F5E"/>
    <w:rsid w:val="00B95F87"/>
    <w:rsid w:val="00B969AB"/>
    <w:rsid w:val="00B96AE5"/>
    <w:rsid w:val="00B96C3F"/>
    <w:rsid w:val="00B96EA9"/>
    <w:rsid w:val="00B979D1"/>
    <w:rsid w:val="00B97FD3"/>
    <w:rsid w:val="00B97FD6"/>
    <w:rsid w:val="00BA0626"/>
    <w:rsid w:val="00BA1DF4"/>
    <w:rsid w:val="00BA1E5F"/>
    <w:rsid w:val="00BA1F45"/>
    <w:rsid w:val="00BA2B73"/>
    <w:rsid w:val="00BA2EF0"/>
    <w:rsid w:val="00BA383B"/>
    <w:rsid w:val="00BA4182"/>
    <w:rsid w:val="00BA4746"/>
    <w:rsid w:val="00BA47C8"/>
    <w:rsid w:val="00BA507A"/>
    <w:rsid w:val="00BA5DAF"/>
    <w:rsid w:val="00BA6A7D"/>
    <w:rsid w:val="00BA706C"/>
    <w:rsid w:val="00BA7222"/>
    <w:rsid w:val="00BA784B"/>
    <w:rsid w:val="00BB0B6E"/>
    <w:rsid w:val="00BB13BD"/>
    <w:rsid w:val="00BB1744"/>
    <w:rsid w:val="00BB24BF"/>
    <w:rsid w:val="00BB27B0"/>
    <w:rsid w:val="00BB290F"/>
    <w:rsid w:val="00BB2D97"/>
    <w:rsid w:val="00BB319C"/>
    <w:rsid w:val="00BB3CE7"/>
    <w:rsid w:val="00BB3DB1"/>
    <w:rsid w:val="00BB4336"/>
    <w:rsid w:val="00BB485E"/>
    <w:rsid w:val="00BB4E37"/>
    <w:rsid w:val="00BB526D"/>
    <w:rsid w:val="00BB56E9"/>
    <w:rsid w:val="00BB6BDA"/>
    <w:rsid w:val="00BB7A82"/>
    <w:rsid w:val="00BC091E"/>
    <w:rsid w:val="00BC0AF7"/>
    <w:rsid w:val="00BC1A64"/>
    <w:rsid w:val="00BC29A4"/>
    <w:rsid w:val="00BC29D8"/>
    <w:rsid w:val="00BC3229"/>
    <w:rsid w:val="00BC44AE"/>
    <w:rsid w:val="00BC636F"/>
    <w:rsid w:val="00BC646F"/>
    <w:rsid w:val="00BC7CAA"/>
    <w:rsid w:val="00BD055F"/>
    <w:rsid w:val="00BD065B"/>
    <w:rsid w:val="00BD0843"/>
    <w:rsid w:val="00BD14A5"/>
    <w:rsid w:val="00BD19BC"/>
    <w:rsid w:val="00BD23F9"/>
    <w:rsid w:val="00BD2499"/>
    <w:rsid w:val="00BD2BE0"/>
    <w:rsid w:val="00BD2EAB"/>
    <w:rsid w:val="00BD381D"/>
    <w:rsid w:val="00BD39AB"/>
    <w:rsid w:val="00BD3D49"/>
    <w:rsid w:val="00BD3D98"/>
    <w:rsid w:val="00BD3E1D"/>
    <w:rsid w:val="00BD42F9"/>
    <w:rsid w:val="00BD455F"/>
    <w:rsid w:val="00BD50BC"/>
    <w:rsid w:val="00BD5673"/>
    <w:rsid w:val="00BD56D9"/>
    <w:rsid w:val="00BD57B0"/>
    <w:rsid w:val="00BD6447"/>
    <w:rsid w:val="00BD657E"/>
    <w:rsid w:val="00BD65AA"/>
    <w:rsid w:val="00BD6F62"/>
    <w:rsid w:val="00BD72EE"/>
    <w:rsid w:val="00BD796D"/>
    <w:rsid w:val="00BD7A31"/>
    <w:rsid w:val="00BD7E0F"/>
    <w:rsid w:val="00BE0003"/>
    <w:rsid w:val="00BE089C"/>
    <w:rsid w:val="00BE0DBB"/>
    <w:rsid w:val="00BE151C"/>
    <w:rsid w:val="00BE17E9"/>
    <w:rsid w:val="00BE180D"/>
    <w:rsid w:val="00BE193D"/>
    <w:rsid w:val="00BE1D63"/>
    <w:rsid w:val="00BE2D27"/>
    <w:rsid w:val="00BE3695"/>
    <w:rsid w:val="00BE3CDE"/>
    <w:rsid w:val="00BE3D31"/>
    <w:rsid w:val="00BE4DB1"/>
    <w:rsid w:val="00BE4E6E"/>
    <w:rsid w:val="00BE4FFB"/>
    <w:rsid w:val="00BE5299"/>
    <w:rsid w:val="00BE667C"/>
    <w:rsid w:val="00BE6AA3"/>
    <w:rsid w:val="00BE7252"/>
    <w:rsid w:val="00BE72B5"/>
    <w:rsid w:val="00BE7E12"/>
    <w:rsid w:val="00BF00D4"/>
    <w:rsid w:val="00BF148F"/>
    <w:rsid w:val="00BF151B"/>
    <w:rsid w:val="00BF157F"/>
    <w:rsid w:val="00BF2FD3"/>
    <w:rsid w:val="00BF3562"/>
    <w:rsid w:val="00BF3703"/>
    <w:rsid w:val="00BF399E"/>
    <w:rsid w:val="00BF44ED"/>
    <w:rsid w:val="00BF605C"/>
    <w:rsid w:val="00BF619C"/>
    <w:rsid w:val="00BF6274"/>
    <w:rsid w:val="00BF7024"/>
    <w:rsid w:val="00BF74B4"/>
    <w:rsid w:val="00BF7951"/>
    <w:rsid w:val="00BF7B45"/>
    <w:rsid w:val="00BF7E12"/>
    <w:rsid w:val="00BF7F41"/>
    <w:rsid w:val="00C008BC"/>
    <w:rsid w:val="00C01BB0"/>
    <w:rsid w:val="00C02CAA"/>
    <w:rsid w:val="00C03488"/>
    <w:rsid w:val="00C03DC8"/>
    <w:rsid w:val="00C05FC1"/>
    <w:rsid w:val="00C0619C"/>
    <w:rsid w:val="00C06DAA"/>
    <w:rsid w:val="00C07225"/>
    <w:rsid w:val="00C0727F"/>
    <w:rsid w:val="00C10943"/>
    <w:rsid w:val="00C120FA"/>
    <w:rsid w:val="00C12F6F"/>
    <w:rsid w:val="00C135AB"/>
    <w:rsid w:val="00C13B89"/>
    <w:rsid w:val="00C13BFB"/>
    <w:rsid w:val="00C13FE5"/>
    <w:rsid w:val="00C14AC8"/>
    <w:rsid w:val="00C15031"/>
    <w:rsid w:val="00C151AE"/>
    <w:rsid w:val="00C1529C"/>
    <w:rsid w:val="00C1551E"/>
    <w:rsid w:val="00C156C8"/>
    <w:rsid w:val="00C1575A"/>
    <w:rsid w:val="00C16294"/>
    <w:rsid w:val="00C16445"/>
    <w:rsid w:val="00C16A4A"/>
    <w:rsid w:val="00C17080"/>
    <w:rsid w:val="00C17D35"/>
    <w:rsid w:val="00C20FF2"/>
    <w:rsid w:val="00C213CD"/>
    <w:rsid w:val="00C21916"/>
    <w:rsid w:val="00C21B8E"/>
    <w:rsid w:val="00C21E92"/>
    <w:rsid w:val="00C225BE"/>
    <w:rsid w:val="00C22658"/>
    <w:rsid w:val="00C22E4A"/>
    <w:rsid w:val="00C230D8"/>
    <w:rsid w:val="00C23B33"/>
    <w:rsid w:val="00C23D22"/>
    <w:rsid w:val="00C24AD8"/>
    <w:rsid w:val="00C25235"/>
    <w:rsid w:val="00C258C5"/>
    <w:rsid w:val="00C25FF6"/>
    <w:rsid w:val="00C268C1"/>
    <w:rsid w:val="00C27265"/>
    <w:rsid w:val="00C27322"/>
    <w:rsid w:val="00C31392"/>
    <w:rsid w:val="00C31644"/>
    <w:rsid w:val="00C31756"/>
    <w:rsid w:val="00C31A4A"/>
    <w:rsid w:val="00C31C4B"/>
    <w:rsid w:val="00C31EC5"/>
    <w:rsid w:val="00C32C50"/>
    <w:rsid w:val="00C33FEE"/>
    <w:rsid w:val="00C343E7"/>
    <w:rsid w:val="00C345A1"/>
    <w:rsid w:val="00C34DA8"/>
    <w:rsid w:val="00C34DB8"/>
    <w:rsid w:val="00C34F28"/>
    <w:rsid w:val="00C35B80"/>
    <w:rsid w:val="00C363B3"/>
    <w:rsid w:val="00C37B59"/>
    <w:rsid w:val="00C37C97"/>
    <w:rsid w:val="00C405C6"/>
    <w:rsid w:val="00C40858"/>
    <w:rsid w:val="00C408E5"/>
    <w:rsid w:val="00C409BB"/>
    <w:rsid w:val="00C40B8A"/>
    <w:rsid w:val="00C41412"/>
    <w:rsid w:val="00C41858"/>
    <w:rsid w:val="00C41918"/>
    <w:rsid w:val="00C41D50"/>
    <w:rsid w:val="00C44499"/>
    <w:rsid w:val="00C44D7D"/>
    <w:rsid w:val="00C45536"/>
    <w:rsid w:val="00C458EB"/>
    <w:rsid w:val="00C45B34"/>
    <w:rsid w:val="00C46137"/>
    <w:rsid w:val="00C461C1"/>
    <w:rsid w:val="00C4634F"/>
    <w:rsid w:val="00C4644B"/>
    <w:rsid w:val="00C46DC9"/>
    <w:rsid w:val="00C4725C"/>
    <w:rsid w:val="00C47BE8"/>
    <w:rsid w:val="00C47E84"/>
    <w:rsid w:val="00C50F22"/>
    <w:rsid w:val="00C512B8"/>
    <w:rsid w:val="00C5142D"/>
    <w:rsid w:val="00C51AB1"/>
    <w:rsid w:val="00C51C5B"/>
    <w:rsid w:val="00C52392"/>
    <w:rsid w:val="00C524BC"/>
    <w:rsid w:val="00C52A2B"/>
    <w:rsid w:val="00C5365F"/>
    <w:rsid w:val="00C53C45"/>
    <w:rsid w:val="00C55667"/>
    <w:rsid w:val="00C55878"/>
    <w:rsid w:val="00C55D9B"/>
    <w:rsid w:val="00C56032"/>
    <w:rsid w:val="00C56935"/>
    <w:rsid w:val="00C569C7"/>
    <w:rsid w:val="00C56C6D"/>
    <w:rsid w:val="00C56F48"/>
    <w:rsid w:val="00C57264"/>
    <w:rsid w:val="00C57682"/>
    <w:rsid w:val="00C576B8"/>
    <w:rsid w:val="00C57D8E"/>
    <w:rsid w:val="00C60F05"/>
    <w:rsid w:val="00C61DEF"/>
    <w:rsid w:val="00C6224B"/>
    <w:rsid w:val="00C625EF"/>
    <w:rsid w:val="00C635CE"/>
    <w:rsid w:val="00C63BCD"/>
    <w:rsid w:val="00C63EA4"/>
    <w:rsid w:val="00C64017"/>
    <w:rsid w:val="00C642A1"/>
    <w:rsid w:val="00C6518C"/>
    <w:rsid w:val="00C65756"/>
    <w:rsid w:val="00C65779"/>
    <w:rsid w:val="00C65884"/>
    <w:rsid w:val="00C65A43"/>
    <w:rsid w:val="00C65E26"/>
    <w:rsid w:val="00C65FF9"/>
    <w:rsid w:val="00C66090"/>
    <w:rsid w:val="00C66540"/>
    <w:rsid w:val="00C6663D"/>
    <w:rsid w:val="00C66E54"/>
    <w:rsid w:val="00C675E6"/>
    <w:rsid w:val="00C703D7"/>
    <w:rsid w:val="00C7053F"/>
    <w:rsid w:val="00C71590"/>
    <w:rsid w:val="00C719D0"/>
    <w:rsid w:val="00C71C40"/>
    <w:rsid w:val="00C71E1E"/>
    <w:rsid w:val="00C722E3"/>
    <w:rsid w:val="00C73928"/>
    <w:rsid w:val="00C76BE1"/>
    <w:rsid w:val="00C800AD"/>
    <w:rsid w:val="00C80E71"/>
    <w:rsid w:val="00C81C97"/>
    <w:rsid w:val="00C82472"/>
    <w:rsid w:val="00C82C04"/>
    <w:rsid w:val="00C82E55"/>
    <w:rsid w:val="00C82F77"/>
    <w:rsid w:val="00C83AA3"/>
    <w:rsid w:val="00C842AB"/>
    <w:rsid w:val="00C84537"/>
    <w:rsid w:val="00C84FE7"/>
    <w:rsid w:val="00C852D7"/>
    <w:rsid w:val="00C8593B"/>
    <w:rsid w:val="00C85BBE"/>
    <w:rsid w:val="00C86475"/>
    <w:rsid w:val="00C86618"/>
    <w:rsid w:val="00C8687D"/>
    <w:rsid w:val="00C872B5"/>
    <w:rsid w:val="00C875A5"/>
    <w:rsid w:val="00C875D9"/>
    <w:rsid w:val="00C8785C"/>
    <w:rsid w:val="00C87C22"/>
    <w:rsid w:val="00C87E23"/>
    <w:rsid w:val="00C90230"/>
    <w:rsid w:val="00C90390"/>
    <w:rsid w:val="00C90E6D"/>
    <w:rsid w:val="00C91388"/>
    <w:rsid w:val="00C916EB"/>
    <w:rsid w:val="00C91BED"/>
    <w:rsid w:val="00C9329C"/>
    <w:rsid w:val="00C94E2B"/>
    <w:rsid w:val="00C95592"/>
    <w:rsid w:val="00C9611B"/>
    <w:rsid w:val="00C963EB"/>
    <w:rsid w:val="00C96B4A"/>
    <w:rsid w:val="00C97ADE"/>
    <w:rsid w:val="00C97CFB"/>
    <w:rsid w:val="00C97FF2"/>
    <w:rsid w:val="00CA0490"/>
    <w:rsid w:val="00CA0547"/>
    <w:rsid w:val="00CA157C"/>
    <w:rsid w:val="00CA35F7"/>
    <w:rsid w:val="00CA3615"/>
    <w:rsid w:val="00CA3885"/>
    <w:rsid w:val="00CA3DBA"/>
    <w:rsid w:val="00CA403A"/>
    <w:rsid w:val="00CA4C02"/>
    <w:rsid w:val="00CA689C"/>
    <w:rsid w:val="00CA6980"/>
    <w:rsid w:val="00CA69A9"/>
    <w:rsid w:val="00CA6A9F"/>
    <w:rsid w:val="00CA6DA0"/>
    <w:rsid w:val="00CA7138"/>
    <w:rsid w:val="00CA7308"/>
    <w:rsid w:val="00CA76CB"/>
    <w:rsid w:val="00CA7C15"/>
    <w:rsid w:val="00CB057E"/>
    <w:rsid w:val="00CB06BD"/>
    <w:rsid w:val="00CB119C"/>
    <w:rsid w:val="00CB16FB"/>
    <w:rsid w:val="00CB2893"/>
    <w:rsid w:val="00CB2D32"/>
    <w:rsid w:val="00CB2D59"/>
    <w:rsid w:val="00CB2F44"/>
    <w:rsid w:val="00CB4CDA"/>
    <w:rsid w:val="00CB50B3"/>
    <w:rsid w:val="00CB51EA"/>
    <w:rsid w:val="00CB5707"/>
    <w:rsid w:val="00CB642B"/>
    <w:rsid w:val="00CB65DA"/>
    <w:rsid w:val="00CB680F"/>
    <w:rsid w:val="00CB6A38"/>
    <w:rsid w:val="00CB7061"/>
    <w:rsid w:val="00CB7783"/>
    <w:rsid w:val="00CB7D21"/>
    <w:rsid w:val="00CB7FBD"/>
    <w:rsid w:val="00CC021A"/>
    <w:rsid w:val="00CC18DD"/>
    <w:rsid w:val="00CC33BC"/>
    <w:rsid w:val="00CC405B"/>
    <w:rsid w:val="00CC4408"/>
    <w:rsid w:val="00CC4684"/>
    <w:rsid w:val="00CC56CC"/>
    <w:rsid w:val="00CC7793"/>
    <w:rsid w:val="00CD105F"/>
    <w:rsid w:val="00CD11B4"/>
    <w:rsid w:val="00CD1F62"/>
    <w:rsid w:val="00CD233B"/>
    <w:rsid w:val="00CD3388"/>
    <w:rsid w:val="00CD34DD"/>
    <w:rsid w:val="00CD39BB"/>
    <w:rsid w:val="00CD4422"/>
    <w:rsid w:val="00CD49D0"/>
    <w:rsid w:val="00CD5212"/>
    <w:rsid w:val="00CD56F1"/>
    <w:rsid w:val="00CD5774"/>
    <w:rsid w:val="00CD6847"/>
    <w:rsid w:val="00CD6CF9"/>
    <w:rsid w:val="00CD73FD"/>
    <w:rsid w:val="00CD7946"/>
    <w:rsid w:val="00CE0576"/>
    <w:rsid w:val="00CE065E"/>
    <w:rsid w:val="00CE0FFF"/>
    <w:rsid w:val="00CE2D82"/>
    <w:rsid w:val="00CE2F9B"/>
    <w:rsid w:val="00CE354E"/>
    <w:rsid w:val="00CE382F"/>
    <w:rsid w:val="00CE3B84"/>
    <w:rsid w:val="00CE3CC7"/>
    <w:rsid w:val="00CE4B9B"/>
    <w:rsid w:val="00CE7755"/>
    <w:rsid w:val="00CF090B"/>
    <w:rsid w:val="00CF0DCD"/>
    <w:rsid w:val="00CF1441"/>
    <w:rsid w:val="00CF1A2F"/>
    <w:rsid w:val="00CF2236"/>
    <w:rsid w:val="00CF28FB"/>
    <w:rsid w:val="00CF2B71"/>
    <w:rsid w:val="00CF2CD3"/>
    <w:rsid w:val="00CF2D6F"/>
    <w:rsid w:val="00CF34C2"/>
    <w:rsid w:val="00CF449D"/>
    <w:rsid w:val="00CF5151"/>
    <w:rsid w:val="00CF7694"/>
    <w:rsid w:val="00CF7918"/>
    <w:rsid w:val="00D0045D"/>
    <w:rsid w:val="00D0077E"/>
    <w:rsid w:val="00D00D97"/>
    <w:rsid w:val="00D00DDA"/>
    <w:rsid w:val="00D00E05"/>
    <w:rsid w:val="00D01F24"/>
    <w:rsid w:val="00D0253F"/>
    <w:rsid w:val="00D02593"/>
    <w:rsid w:val="00D025EC"/>
    <w:rsid w:val="00D026CE"/>
    <w:rsid w:val="00D026F8"/>
    <w:rsid w:val="00D02EBB"/>
    <w:rsid w:val="00D0386D"/>
    <w:rsid w:val="00D04244"/>
    <w:rsid w:val="00D04C9B"/>
    <w:rsid w:val="00D050E5"/>
    <w:rsid w:val="00D0572F"/>
    <w:rsid w:val="00D067A2"/>
    <w:rsid w:val="00D06823"/>
    <w:rsid w:val="00D06F5B"/>
    <w:rsid w:val="00D10C3E"/>
    <w:rsid w:val="00D11516"/>
    <w:rsid w:val="00D11C53"/>
    <w:rsid w:val="00D123E2"/>
    <w:rsid w:val="00D12818"/>
    <w:rsid w:val="00D12FC3"/>
    <w:rsid w:val="00D130D2"/>
    <w:rsid w:val="00D1326B"/>
    <w:rsid w:val="00D1328C"/>
    <w:rsid w:val="00D1378F"/>
    <w:rsid w:val="00D137E5"/>
    <w:rsid w:val="00D1576B"/>
    <w:rsid w:val="00D15A93"/>
    <w:rsid w:val="00D15D93"/>
    <w:rsid w:val="00D16025"/>
    <w:rsid w:val="00D1647D"/>
    <w:rsid w:val="00D16A9E"/>
    <w:rsid w:val="00D16BAB"/>
    <w:rsid w:val="00D1756E"/>
    <w:rsid w:val="00D17B2F"/>
    <w:rsid w:val="00D202B5"/>
    <w:rsid w:val="00D205EC"/>
    <w:rsid w:val="00D20758"/>
    <w:rsid w:val="00D210DE"/>
    <w:rsid w:val="00D21C7D"/>
    <w:rsid w:val="00D21CEE"/>
    <w:rsid w:val="00D22360"/>
    <w:rsid w:val="00D226BE"/>
    <w:rsid w:val="00D22BB2"/>
    <w:rsid w:val="00D22FF1"/>
    <w:rsid w:val="00D24FCE"/>
    <w:rsid w:val="00D25478"/>
    <w:rsid w:val="00D25C57"/>
    <w:rsid w:val="00D26092"/>
    <w:rsid w:val="00D263D3"/>
    <w:rsid w:val="00D26C26"/>
    <w:rsid w:val="00D26E90"/>
    <w:rsid w:val="00D26F00"/>
    <w:rsid w:val="00D270D3"/>
    <w:rsid w:val="00D277C4"/>
    <w:rsid w:val="00D27E4B"/>
    <w:rsid w:val="00D30C93"/>
    <w:rsid w:val="00D31CCE"/>
    <w:rsid w:val="00D31D63"/>
    <w:rsid w:val="00D31F7B"/>
    <w:rsid w:val="00D3378D"/>
    <w:rsid w:val="00D33872"/>
    <w:rsid w:val="00D33C5E"/>
    <w:rsid w:val="00D348ED"/>
    <w:rsid w:val="00D3502C"/>
    <w:rsid w:val="00D350E3"/>
    <w:rsid w:val="00D35141"/>
    <w:rsid w:val="00D358EE"/>
    <w:rsid w:val="00D35CDB"/>
    <w:rsid w:val="00D35DB6"/>
    <w:rsid w:val="00D35E8A"/>
    <w:rsid w:val="00D36AFB"/>
    <w:rsid w:val="00D371EF"/>
    <w:rsid w:val="00D37C29"/>
    <w:rsid w:val="00D40118"/>
    <w:rsid w:val="00D4091B"/>
    <w:rsid w:val="00D40A11"/>
    <w:rsid w:val="00D41CC5"/>
    <w:rsid w:val="00D4248B"/>
    <w:rsid w:val="00D4448A"/>
    <w:rsid w:val="00D44ACB"/>
    <w:rsid w:val="00D4528F"/>
    <w:rsid w:val="00D454F2"/>
    <w:rsid w:val="00D46887"/>
    <w:rsid w:val="00D46A6E"/>
    <w:rsid w:val="00D46DD0"/>
    <w:rsid w:val="00D46ED3"/>
    <w:rsid w:val="00D47129"/>
    <w:rsid w:val="00D473AB"/>
    <w:rsid w:val="00D47B06"/>
    <w:rsid w:val="00D47F2B"/>
    <w:rsid w:val="00D50A01"/>
    <w:rsid w:val="00D50EB9"/>
    <w:rsid w:val="00D517AF"/>
    <w:rsid w:val="00D52831"/>
    <w:rsid w:val="00D52A84"/>
    <w:rsid w:val="00D52E8F"/>
    <w:rsid w:val="00D539CA"/>
    <w:rsid w:val="00D55CD1"/>
    <w:rsid w:val="00D56F66"/>
    <w:rsid w:val="00D620A6"/>
    <w:rsid w:val="00D634D8"/>
    <w:rsid w:val="00D6568B"/>
    <w:rsid w:val="00D65CE6"/>
    <w:rsid w:val="00D65F36"/>
    <w:rsid w:val="00D6638C"/>
    <w:rsid w:val="00D66475"/>
    <w:rsid w:val="00D70647"/>
    <w:rsid w:val="00D70CFE"/>
    <w:rsid w:val="00D70D49"/>
    <w:rsid w:val="00D7125B"/>
    <w:rsid w:val="00D712C7"/>
    <w:rsid w:val="00D71634"/>
    <w:rsid w:val="00D7164D"/>
    <w:rsid w:val="00D729D1"/>
    <w:rsid w:val="00D739A2"/>
    <w:rsid w:val="00D74158"/>
    <w:rsid w:val="00D749C7"/>
    <w:rsid w:val="00D74A88"/>
    <w:rsid w:val="00D74B26"/>
    <w:rsid w:val="00D755B0"/>
    <w:rsid w:val="00D76759"/>
    <w:rsid w:val="00D76C52"/>
    <w:rsid w:val="00D77312"/>
    <w:rsid w:val="00D775AA"/>
    <w:rsid w:val="00D80155"/>
    <w:rsid w:val="00D802D7"/>
    <w:rsid w:val="00D80358"/>
    <w:rsid w:val="00D803F7"/>
    <w:rsid w:val="00D80F24"/>
    <w:rsid w:val="00D81062"/>
    <w:rsid w:val="00D81818"/>
    <w:rsid w:val="00D81FAC"/>
    <w:rsid w:val="00D82CC0"/>
    <w:rsid w:val="00D846F8"/>
    <w:rsid w:val="00D849A6"/>
    <w:rsid w:val="00D8581E"/>
    <w:rsid w:val="00D85EC7"/>
    <w:rsid w:val="00D860EF"/>
    <w:rsid w:val="00D861E1"/>
    <w:rsid w:val="00D8695D"/>
    <w:rsid w:val="00D87012"/>
    <w:rsid w:val="00D87375"/>
    <w:rsid w:val="00D8766C"/>
    <w:rsid w:val="00D876EA"/>
    <w:rsid w:val="00D90307"/>
    <w:rsid w:val="00D90EB6"/>
    <w:rsid w:val="00D91426"/>
    <w:rsid w:val="00D9293F"/>
    <w:rsid w:val="00D92F44"/>
    <w:rsid w:val="00D9540F"/>
    <w:rsid w:val="00D95CB3"/>
    <w:rsid w:val="00D95D4F"/>
    <w:rsid w:val="00D960EB"/>
    <w:rsid w:val="00D96143"/>
    <w:rsid w:val="00D96978"/>
    <w:rsid w:val="00D975EF"/>
    <w:rsid w:val="00D97771"/>
    <w:rsid w:val="00D977F0"/>
    <w:rsid w:val="00DA01BB"/>
    <w:rsid w:val="00DA114D"/>
    <w:rsid w:val="00DA1AE6"/>
    <w:rsid w:val="00DA1C71"/>
    <w:rsid w:val="00DA1D8A"/>
    <w:rsid w:val="00DA2175"/>
    <w:rsid w:val="00DA2926"/>
    <w:rsid w:val="00DA2CFF"/>
    <w:rsid w:val="00DA2EA0"/>
    <w:rsid w:val="00DA3851"/>
    <w:rsid w:val="00DA4660"/>
    <w:rsid w:val="00DA560D"/>
    <w:rsid w:val="00DA599A"/>
    <w:rsid w:val="00DA5BD8"/>
    <w:rsid w:val="00DA6DFE"/>
    <w:rsid w:val="00DA7EC3"/>
    <w:rsid w:val="00DB010D"/>
    <w:rsid w:val="00DB016D"/>
    <w:rsid w:val="00DB02FE"/>
    <w:rsid w:val="00DB0613"/>
    <w:rsid w:val="00DB0CC3"/>
    <w:rsid w:val="00DB1200"/>
    <w:rsid w:val="00DB2031"/>
    <w:rsid w:val="00DB2BCF"/>
    <w:rsid w:val="00DB57E3"/>
    <w:rsid w:val="00DB6F66"/>
    <w:rsid w:val="00DB6FA6"/>
    <w:rsid w:val="00DC0FF0"/>
    <w:rsid w:val="00DC1376"/>
    <w:rsid w:val="00DC14D7"/>
    <w:rsid w:val="00DC15B1"/>
    <w:rsid w:val="00DC198D"/>
    <w:rsid w:val="00DC199A"/>
    <w:rsid w:val="00DC2C9F"/>
    <w:rsid w:val="00DC2ECB"/>
    <w:rsid w:val="00DC3B91"/>
    <w:rsid w:val="00DC40DC"/>
    <w:rsid w:val="00DC42CD"/>
    <w:rsid w:val="00DC5499"/>
    <w:rsid w:val="00DC5B0D"/>
    <w:rsid w:val="00DC5C33"/>
    <w:rsid w:val="00DC6564"/>
    <w:rsid w:val="00DC695A"/>
    <w:rsid w:val="00DC7443"/>
    <w:rsid w:val="00DC752D"/>
    <w:rsid w:val="00DC7825"/>
    <w:rsid w:val="00DC7AF0"/>
    <w:rsid w:val="00DC7E08"/>
    <w:rsid w:val="00DC7F81"/>
    <w:rsid w:val="00DD0082"/>
    <w:rsid w:val="00DD047D"/>
    <w:rsid w:val="00DD0708"/>
    <w:rsid w:val="00DD0889"/>
    <w:rsid w:val="00DD17DA"/>
    <w:rsid w:val="00DD3AD2"/>
    <w:rsid w:val="00DD5970"/>
    <w:rsid w:val="00DD5B55"/>
    <w:rsid w:val="00DD6A51"/>
    <w:rsid w:val="00DD6BA7"/>
    <w:rsid w:val="00DD74F7"/>
    <w:rsid w:val="00DD7CE8"/>
    <w:rsid w:val="00DD7E4F"/>
    <w:rsid w:val="00DD7EA0"/>
    <w:rsid w:val="00DE02C6"/>
    <w:rsid w:val="00DE06D6"/>
    <w:rsid w:val="00DE0882"/>
    <w:rsid w:val="00DE09B7"/>
    <w:rsid w:val="00DE112B"/>
    <w:rsid w:val="00DE132E"/>
    <w:rsid w:val="00DE14C6"/>
    <w:rsid w:val="00DE1802"/>
    <w:rsid w:val="00DE2121"/>
    <w:rsid w:val="00DE2483"/>
    <w:rsid w:val="00DE3813"/>
    <w:rsid w:val="00DE3A39"/>
    <w:rsid w:val="00DE4099"/>
    <w:rsid w:val="00DE40C1"/>
    <w:rsid w:val="00DE4835"/>
    <w:rsid w:val="00DE4C13"/>
    <w:rsid w:val="00DE523D"/>
    <w:rsid w:val="00DE5D98"/>
    <w:rsid w:val="00DE6E7E"/>
    <w:rsid w:val="00DE7D56"/>
    <w:rsid w:val="00DF0095"/>
    <w:rsid w:val="00DF02CB"/>
    <w:rsid w:val="00DF04F9"/>
    <w:rsid w:val="00DF10E7"/>
    <w:rsid w:val="00DF1426"/>
    <w:rsid w:val="00DF194A"/>
    <w:rsid w:val="00DF20FA"/>
    <w:rsid w:val="00DF2462"/>
    <w:rsid w:val="00DF2AAA"/>
    <w:rsid w:val="00DF3E26"/>
    <w:rsid w:val="00DF459F"/>
    <w:rsid w:val="00DF4601"/>
    <w:rsid w:val="00DF4AC8"/>
    <w:rsid w:val="00DF503D"/>
    <w:rsid w:val="00DF5450"/>
    <w:rsid w:val="00DF575B"/>
    <w:rsid w:val="00DF6514"/>
    <w:rsid w:val="00DF6889"/>
    <w:rsid w:val="00DF73EF"/>
    <w:rsid w:val="00DF745E"/>
    <w:rsid w:val="00DF7A20"/>
    <w:rsid w:val="00E01328"/>
    <w:rsid w:val="00E0250D"/>
    <w:rsid w:val="00E0273A"/>
    <w:rsid w:val="00E02958"/>
    <w:rsid w:val="00E038AE"/>
    <w:rsid w:val="00E03CEB"/>
    <w:rsid w:val="00E03D7C"/>
    <w:rsid w:val="00E03DC0"/>
    <w:rsid w:val="00E03FD9"/>
    <w:rsid w:val="00E04027"/>
    <w:rsid w:val="00E044AC"/>
    <w:rsid w:val="00E04837"/>
    <w:rsid w:val="00E0534B"/>
    <w:rsid w:val="00E0583C"/>
    <w:rsid w:val="00E05A73"/>
    <w:rsid w:val="00E05E56"/>
    <w:rsid w:val="00E10762"/>
    <w:rsid w:val="00E10827"/>
    <w:rsid w:val="00E1106A"/>
    <w:rsid w:val="00E11A3C"/>
    <w:rsid w:val="00E11B33"/>
    <w:rsid w:val="00E13424"/>
    <w:rsid w:val="00E13B66"/>
    <w:rsid w:val="00E1438A"/>
    <w:rsid w:val="00E14B35"/>
    <w:rsid w:val="00E14C34"/>
    <w:rsid w:val="00E15011"/>
    <w:rsid w:val="00E1519C"/>
    <w:rsid w:val="00E152F3"/>
    <w:rsid w:val="00E15594"/>
    <w:rsid w:val="00E208C7"/>
    <w:rsid w:val="00E20CD2"/>
    <w:rsid w:val="00E2163B"/>
    <w:rsid w:val="00E225BC"/>
    <w:rsid w:val="00E22FF3"/>
    <w:rsid w:val="00E2333C"/>
    <w:rsid w:val="00E2359B"/>
    <w:rsid w:val="00E24C32"/>
    <w:rsid w:val="00E24D83"/>
    <w:rsid w:val="00E24F37"/>
    <w:rsid w:val="00E25132"/>
    <w:rsid w:val="00E255B7"/>
    <w:rsid w:val="00E25642"/>
    <w:rsid w:val="00E259B5"/>
    <w:rsid w:val="00E25DD5"/>
    <w:rsid w:val="00E2689C"/>
    <w:rsid w:val="00E26970"/>
    <w:rsid w:val="00E26CDA"/>
    <w:rsid w:val="00E273CC"/>
    <w:rsid w:val="00E315AB"/>
    <w:rsid w:val="00E32075"/>
    <w:rsid w:val="00E3241B"/>
    <w:rsid w:val="00E338A4"/>
    <w:rsid w:val="00E339FA"/>
    <w:rsid w:val="00E33DA0"/>
    <w:rsid w:val="00E342D1"/>
    <w:rsid w:val="00E3451B"/>
    <w:rsid w:val="00E34DDE"/>
    <w:rsid w:val="00E35152"/>
    <w:rsid w:val="00E3568C"/>
    <w:rsid w:val="00E35A60"/>
    <w:rsid w:val="00E35C3B"/>
    <w:rsid w:val="00E35C5E"/>
    <w:rsid w:val="00E36008"/>
    <w:rsid w:val="00E36176"/>
    <w:rsid w:val="00E36210"/>
    <w:rsid w:val="00E36839"/>
    <w:rsid w:val="00E37121"/>
    <w:rsid w:val="00E374C0"/>
    <w:rsid w:val="00E37E41"/>
    <w:rsid w:val="00E41086"/>
    <w:rsid w:val="00E42187"/>
    <w:rsid w:val="00E422C8"/>
    <w:rsid w:val="00E4231C"/>
    <w:rsid w:val="00E42972"/>
    <w:rsid w:val="00E4313B"/>
    <w:rsid w:val="00E432FC"/>
    <w:rsid w:val="00E435D7"/>
    <w:rsid w:val="00E43EED"/>
    <w:rsid w:val="00E4405A"/>
    <w:rsid w:val="00E4405C"/>
    <w:rsid w:val="00E45B69"/>
    <w:rsid w:val="00E45F6A"/>
    <w:rsid w:val="00E46A59"/>
    <w:rsid w:val="00E508C0"/>
    <w:rsid w:val="00E50F53"/>
    <w:rsid w:val="00E50F96"/>
    <w:rsid w:val="00E515FD"/>
    <w:rsid w:val="00E517B7"/>
    <w:rsid w:val="00E52ED1"/>
    <w:rsid w:val="00E537FB"/>
    <w:rsid w:val="00E54D12"/>
    <w:rsid w:val="00E54EDE"/>
    <w:rsid w:val="00E5617C"/>
    <w:rsid w:val="00E56854"/>
    <w:rsid w:val="00E56FA2"/>
    <w:rsid w:val="00E56FB9"/>
    <w:rsid w:val="00E57FC3"/>
    <w:rsid w:val="00E60727"/>
    <w:rsid w:val="00E61095"/>
    <w:rsid w:val="00E61A05"/>
    <w:rsid w:val="00E61A2D"/>
    <w:rsid w:val="00E61ECF"/>
    <w:rsid w:val="00E62BF7"/>
    <w:rsid w:val="00E62EB7"/>
    <w:rsid w:val="00E63017"/>
    <w:rsid w:val="00E63C0C"/>
    <w:rsid w:val="00E64555"/>
    <w:rsid w:val="00E649D1"/>
    <w:rsid w:val="00E661C5"/>
    <w:rsid w:val="00E668F4"/>
    <w:rsid w:val="00E67239"/>
    <w:rsid w:val="00E70281"/>
    <w:rsid w:val="00E70589"/>
    <w:rsid w:val="00E70B70"/>
    <w:rsid w:val="00E71FE6"/>
    <w:rsid w:val="00E721BA"/>
    <w:rsid w:val="00E734CD"/>
    <w:rsid w:val="00E73824"/>
    <w:rsid w:val="00E73D3E"/>
    <w:rsid w:val="00E748A0"/>
    <w:rsid w:val="00E74CDF"/>
    <w:rsid w:val="00E76009"/>
    <w:rsid w:val="00E76BD5"/>
    <w:rsid w:val="00E76F26"/>
    <w:rsid w:val="00E77295"/>
    <w:rsid w:val="00E80257"/>
    <w:rsid w:val="00E803D3"/>
    <w:rsid w:val="00E816CD"/>
    <w:rsid w:val="00E81F2A"/>
    <w:rsid w:val="00E825D0"/>
    <w:rsid w:val="00E8290E"/>
    <w:rsid w:val="00E8296A"/>
    <w:rsid w:val="00E83A4A"/>
    <w:rsid w:val="00E8509E"/>
    <w:rsid w:val="00E85DB0"/>
    <w:rsid w:val="00E861B0"/>
    <w:rsid w:val="00E8691C"/>
    <w:rsid w:val="00E9019B"/>
    <w:rsid w:val="00E90629"/>
    <w:rsid w:val="00E92D3F"/>
    <w:rsid w:val="00E92DC6"/>
    <w:rsid w:val="00E941C6"/>
    <w:rsid w:val="00E942CA"/>
    <w:rsid w:val="00E94557"/>
    <w:rsid w:val="00E947C4"/>
    <w:rsid w:val="00E94B29"/>
    <w:rsid w:val="00E95399"/>
    <w:rsid w:val="00E958A1"/>
    <w:rsid w:val="00E96634"/>
    <w:rsid w:val="00E968D0"/>
    <w:rsid w:val="00E96AB6"/>
    <w:rsid w:val="00E96CF8"/>
    <w:rsid w:val="00E97DDC"/>
    <w:rsid w:val="00E97FF6"/>
    <w:rsid w:val="00EA04B0"/>
    <w:rsid w:val="00EA087A"/>
    <w:rsid w:val="00EA1864"/>
    <w:rsid w:val="00EA244A"/>
    <w:rsid w:val="00EA30AC"/>
    <w:rsid w:val="00EA422B"/>
    <w:rsid w:val="00EA6275"/>
    <w:rsid w:val="00EA65DE"/>
    <w:rsid w:val="00EA7683"/>
    <w:rsid w:val="00EA7CB9"/>
    <w:rsid w:val="00EA7D97"/>
    <w:rsid w:val="00EB0BD7"/>
    <w:rsid w:val="00EB179C"/>
    <w:rsid w:val="00EB1C64"/>
    <w:rsid w:val="00EB2BD8"/>
    <w:rsid w:val="00EB3621"/>
    <w:rsid w:val="00EB5968"/>
    <w:rsid w:val="00EB669F"/>
    <w:rsid w:val="00EB68B6"/>
    <w:rsid w:val="00EB6AAE"/>
    <w:rsid w:val="00EB6FAA"/>
    <w:rsid w:val="00EB7241"/>
    <w:rsid w:val="00EB7979"/>
    <w:rsid w:val="00EB7FE4"/>
    <w:rsid w:val="00EC1E50"/>
    <w:rsid w:val="00EC20E7"/>
    <w:rsid w:val="00EC22EA"/>
    <w:rsid w:val="00EC2803"/>
    <w:rsid w:val="00EC304B"/>
    <w:rsid w:val="00EC3765"/>
    <w:rsid w:val="00EC481F"/>
    <w:rsid w:val="00EC4B08"/>
    <w:rsid w:val="00EC4F0C"/>
    <w:rsid w:val="00EC5AA6"/>
    <w:rsid w:val="00EC6064"/>
    <w:rsid w:val="00EC69D0"/>
    <w:rsid w:val="00EC75AE"/>
    <w:rsid w:val="00EC7DF9"/>
    <w:rsid w:val="00ED01DB"/>
    <w:rsid w:val="00ED0665"/>
    <w:rsid w:val="00ED0DE6"/>
    <w:rsid w:val="00ED0FAF"/>
    <w:rsid w:val="00ED20E6"/>
    <w:rsid w:val="00ED217C"/>
    <w:rsid w:val="00ED38A3"/>
    <w:rsid w:val="00ED3CB9"/>
    <w:rsid w:val="00ED4ECE"/>
    <w:rsid w:val="00ED4EEF"/>
    <w:rsid w:val="00ED5279"/>
    <w:rsid w:val="00ED5843"/>
    <w:rsid w:val="00ED5C60"/>
    <w:rsid w:val="00ED67B6"/>
    <w:rsid w:val="00ED67C2"/>
    <w:rsid w:val="00ED7181"/>
    <w:rsid w:val="00ED725F"/>
    <w:rsid w:val="00ED7267"/>
    <w:rsid w:val="00ED7379"/>
    <w:rsid w:val="00EE1A50"/>
    <w:rsid w:val="00EE1B29"/>
    <w:rsid w:val="00EE24A0"/>
    <w:rsid w:val="00EE2EC8"/>
    <w:rsid w:val="00EE31D3"/>
    <w:rsid w:val="00EE3473"/>
    <w:rsid w:val="00EE36E7"/>
    <w:rsid w:val="00EE40E1"/>
    <w:rsid w:val="00EE506B"/>
    <w:rsid w:val="00EE5A7A"/>
    <w:rsid w:val="00EE5D36"/>
    <w:rsid w:val="00EE622B"/>
    <w:rsid w:val="00EE66E0"/>
    <w:rsid w:val="00EE6806"/>
    <w:rsid w:val="00EE76DB"/>
    <w:rsid w:val="00EF0445"/>
    <w:rsid w:val="00EF1AD0"/>
    <w:rsid w:val="00EF1E7C"/>
    <w:rsid w:val="00EF29E8"/>
    <w:rsid w:val="00EF2E10"/>
    <w:rsid w:val="00EF4329"/>
    <w:rsid w:val="00EF53D9"/>
    <w:rsid w:val="00EF544C"/>
    <w:rsid w:val="00EF57C7"/>
    <w:rsid w:val="00EF615A"/>
    <w:rsid w:val="00EF68E7"/>
    <w:rsid w:val="00EF6A84"/>
    <w:rsid w:val="00F0074B"/>
    <w:rsid w:val="00F00FC9"/>
    <w:rsid w:val="00F00FF9"/>
    <w:rsid w:val="00F02F80"/>
    <w:rsid w:val="00F03449"/>
    <w:rsid w:val="00F036AA"/>
    <w:rsid w:val="00F04427"/>
    <w:rsid w:val="00F04567"/>
    <w:rsid w:val="00F05B83"/>
    <w:rsid w:val="00F066C2"/>
    <w:rsid w:val="00F077C7"/>
    <w:rsid w:val="00F078D8"/>
    <w:rsid w:val="00F07A4B"/>
    <w:rsid w:val="00F10141"/>
    <w:rsid w:val="00F1016B"/>
    <w:rsid w:val="00F104C3"/>
    <w:rsid w:val="00F10A11"/>
    <w:rsid w:val="00F11417"/>
    <w:rsid w:val="00F12C4B"/>
    <w:rsid w:val="00F12D28"/>
    <w:rsid w:val="00F12DA2"/>
    <w:rsid w:val="00F12F45"/>
    <w:rsid w:val="00F1384A"/>
    <w:rsid w:val="00F13F2B"/>
    <w:rsid w:val="00F14AA3"/>
    <w:rsid w:val="00F14C16"/>
    <w:rsid w:val="00F1555E"/>
    <w:rsid w:val="00F15A1A"/>
    <w:rsid w:val="00F15E13"/>
    <w:rsid w:val="00F1645C"/>
    <w:rsid w:val="00F16707"/>
    <w:rsid w:val="00F16724"/>
    <w:rsid w:val="00F16E90"/>
    <w:rsid w:val="00F172FF"/>
    <w:rsid w:val="00F17520"/>
    <w:rsid w:val="00F17A58"/>
    <w:rsid w:val="00F17DFA"/>
    <w:rsid w:val="00F20372"/>
    <w:rsid w:val="00F20C03"/>
    <w:rsid w:val="00F21866"/>
    <w:rsid w:val="00F21893"/>
    <w:rsid w:val="00F21D73"/>
    <w:rsid w:val="00F2202D"/>
    <w:rsid w:val="00F22244"/>
    <w:rsid w:val="00F2297B"/>
    <w:rsid w:val="00F229F5"/>
    <w:rsid w:val="00F22D29"/>
    <w:rsid w:val="00F24463"/>
    <w:rsid w:val="00F244AA"/>
    <w:rsid w:val="00F24CC4"/>
    <w:rsid w:val="00F2562C"/>
    <w:rsid w:val="00F25BF3"/>
    <w:rsid w:val="00F2651D"/>
    <w:rsid w:val="00F277BD"/>
    <w:rsid w:val="00F277D4"/>
    <w:rsid w:val="00F27D51"/>
    <w:rsid w:val="00F27E5F"/>
    <w:rsid w:val="00F27EC8"/>
    <w:rsid w:val="00F3011A"/>
    <w:rsid w:val="00F3064E"/>
    <w:rsid w:val="00F30B6C"/>
    <w:rsid w:val="00F31326"/>
    <w:rsid w:val="00F3153B"/>
    <w:rsid w:val="00F3297A"/>
    <w:rsid w:val="00F329DA"/>
    <w:rsid w:val="00F32CEA"/>
    <w:rsid w:val="00F32DF8"/>
    <w:rsid w:val="00F33054"/>
    <w:rsid w:val="00F33139"/>
    <w:rsid w:val="00F33782"/>
    <w:rsid w:val="00F33A39"/>
    <w:rsid w:val="00F34B9E"/>
    <w:rsid w:val="00F351E8"/>
    <w:rsid w:val="00F35216"/>
    <w:rsid w:val="00F35F5F"/>
    <w:rsid w:val="00F35FD0"/>
    <w:rsid w:val="00F36165"/>
    <w:rsid w:val="00F36E29"/>
    <w:rsid w:val="00F37A3A"/>
    <w:rsid w:val="00F405EF"/>
    <w:rsid w:val="00F40752"/>
    <w:rsid w:val="00F41CB0"/>
    <w:rsid w:val="00F42BBA"/>
    <w:rsid w:val="00F437B1"/>
    <w:rsid w:val="00F43BCC"/>
    <w:rsid w:val="00F44DC5"/>
    <w:rsid w:val="00F46266"/>
    <w:rsid w:val="00F46794"/>
    <w:rsid w:val="00F46BC2"/>
    <w:rsid w:val="00F47564"/>
    <w:rsid w:val="00F50751"/>
    <w:rsid w:val="00F509B4"/>
    <w:rsid w:val="00F50B34"/>
    <w:rsid w:val="00F50C27"/>
    <w:rsid w:val="00F50D7E"/>
    <w:rsid w:val="00F5157B"/>
    <w:rsid w:val="00F51665"/>
    <w:rsid w:val="00F524F4"/>
    <w:rsid w:val="00F532A1"/>
    <w:rsid w:val="00F53E1E"/>
    <w:rsid w:val="00F54D3A"/>
    <w:rsid w:val="00F5500A"/>
    <w:rsid w:val="00F55231"/>
    <w:rsid w:val="00F552A2"/>
    <w:rsid w:val="00F552E0"/>
    <w:rsid w:val="00F553E3"/>
    <w:rsid w:val="00F5592F"/>
    <w:rsid w:val="00F55BAF"/>
    <w:rsid w:val="00F568D8"/>
    <w:rsid w:val="00F56A21"/>
    <w:rsid w:val="00F57079"/>
    <w:rsid w:val="00F6007F"/>
    <w:rsid w:val="00F60701"/>
    <w:rsid w:val="00F60C65"/>
    <w:rsid w:val="00F60D64"/>
    <w:rsid w:val="00F60F87"/>
    <w:rsid w:val="00F61C5A"/>
    <w:rsid w:val="00F63277"/>
    <w:rsid w:val="00F638CF"/>
    <w:rsid w:val="00F63FEF"/>
    <w:rsid w:val="00F64FC3"/>
    <w:rsid w:val="00F65B7B"/>
    <w:rsid w:val="00F65F23"/>
    <w:rsid w:val="00F660A9"/>
    <w:rsid w:val="00F660AE"/>
    <w:rsid w:val="00F66114"/>
    <w:rsid w:val="00F661F0"/>
    <w:rsid w:val="00F668F2"/>
    <w:rsid w:val="00F66DC3"/>
    <w:rsid w:val="00F66F20"/>
    <w:rsid w:val="00F672BB"/>
    <w:rsid w:val="00F67861"/>
    <w:rsid w:val="00F67A24"/>
    <w:rsid w:val="00F700F6"/>
    <w:rsid w:val="00F70623"/>
    <w:rsid w:val="00F70B33"/>
    <w:rsid w:val="00F716C5"/>
    <w:rsid w:val="00F729D5"/>
    <w:rsid w:val="00F72F5C"/>
    <w:rsid w:val="00F72F85"/>
    <w:rsid w:val="00F733B5"/>
    <w:rsid w:val="00F754E4"/>
    <w:rsid w:val="00F75F77"/>
    <w:rsid w:val="00F7621A"/>
    <w:rsid w:val="00F76334"/>
    <w:rsid w:val="00F76E33"/>
    <w:rsid w:val="00F76FBB"/>
    <w:rsid w:val="00F777A8"/>
    <w:rsid w:val="00F8038A"/>
    <w:rsid w:val="00F8080B"/>
    <w:rsid w:val="00F8172B"/>
    <w:rsid w:val="00F81974"/>
    <w:rsid w:val="00F81D88"/>
    <w:rsid w:val="00F81E3F"/>
    <w:rsid w:val="00F81E54"/>
    <w:rsid w:val="00F82BEF"/>
    <w:rsid w:val="00F83ABE"/>
    <w:rsid w:val="00F83AE5"/>
    <w:rsid w:val="00F83CC6"/>
    <w:rsid w:val="00F83CE3"/>
    <w:rsid w:val="00F845E8"/>
    <w:rsid w:val="00F853E7"/>
    <w:rsid w:val="00F8649C"/>
    <w:rsid w:val="00F8655C"/>
    <w:rsid w:val="00F879B9"/>
    <w:rsid w:val="00F87B15"/>
    <w:rsid w:val="00F87F4D"/>
    <w:rsid w:val="00F90AD1"/>
    <w:rsid w:val="00F90F89"/>
    <w:rsid w:val="00F912A8"/>
    <w:rsid w:val="00F913B1"/>
    <w:rsid w:val="00F91D85"/>
    <w:rsid w:val="00F9313F"/>
    <w:rsid w:val="00F93714"/>
    <w:rsid w:val="00F93D1D"/>
    <w:rsid w:val="00F94155"/>
    <w:rsid w:val="00F94212"/>
    <w:rsid w:val="00F94B43"/>
    <w:rsid w:val="00F950C5"/>
    <w:rsid w:val="00F95386"/>
    <w:rsid w:val="00F959A4"/>
    <w:rsid w:val="00F95AA7"/>
    <w:rsid w:val="00F96072"/>
    <w:rsid w:val="00F96344"/>
    <w:rsid w:val="00F968A4"/>
    <w:rsid w:val="00F968B7"/>
    <w:rsid w:val="00F971F6"/>
    <w:rsid w:val="00F9798A"/>
    <w:rsid w:val="00FA02C7"/>
    <w:rsid w:val="00FA0648"/>
    <w:rsid w:val="00FA0D65"/>
    <w:rsid w:val="00FA1602"/>
    <w:rsid w:val="00FA19A5"/>
    <w:rsid w:val="00FA207F"/>
    <w:rsid w:val="00FA40F4"/>
    <w:rsid w:val="00FA4ED7"/>
    <w:rsid w:val="00FA4F99"/>
    <w:rsid w:val="00FA55E5"/>
    <w:rsid w:val="00FA6257"/>
    <w:rsid w:val="00FA66F2"/>
    <w:rsid w:val="00FA7F20"/>
    <w:rsid w:val="00FB0096"/>
    <w:rsid w:val="00FB0B93"/>
    <w:rsid w:val="00FB0D3A"/>
    <w:rsid w:val="00FB20E5"/>
    <w:rsid w:val="00FB2119"/>
    <w:rsid w:val="00FB2501"/>
    <w:rsid w:val="00FB2B07"/>
    <w:rsid w:val="00FB35D2"/>
    <w:rsid w:val="00FB4F2C"/>
    <w:rsid w:val="00FB5B85"/>
    <w:rsid w:val="00FB6747"/>
    <w:rsid w:val="00FB6BBC"/>
    <w:rsid w:val="00FC00A4"/>
    <w:rsid w:val="00FC0206"/>
    <w:rsid w:val="00FC0326"/>
    <w:rsid w:val="00FC0554"/>
    <w:rsid w:val="00FC070A"/>
    <w:rsid w:val="00FC08A9"/>
    <w:rsid w:val="00FC0E00"/>
    <w:rsid w:val="00FC0F83"/>
    <w:rsid w:val="00FC149E"/>
    <w:rsid w:val="00FC14D0"/>
    <w:rsid w:val="00FC212F"/>
    <w:rsid w:val="00FC3492"/>
    <w:rsid w:val="00FC38AD"/>
    <w:rsid w:val="00FC38D5"/>
    <w:rsid w:val="00FC3ED9"/>
    <w:rsid w:val="00FC417E"/>
    <w:rsid w:val="00FC47DC"/>
    <w:rsid w:val="00FC57B2"/>
    <w:rsid w:val="00FC5A50"/>
    <w:rsid w:val="00FC5EDF"/>
    <w:rsid w:val="00FC7218"/>
    <w:rsid w:val="00FC7C5D"/>
    <w:rsid w:val="00FD0F50"/>
    <w:rsid w:val="00FD18AE"/>
    <w:rsid w:val="00FD1DE9"/>
    <w:rsid w:val="00FD2565"/>
    <w:rsid w:val="00FD2944"/>
    <w:rsid w:val="00FD34AE"/>
    <w:rsid w:val="00FD3E59"/>
    <w:rsid w:val="00FD4070"/>
    <w:rsid w:val="00FD479A"/>
    <w:rsid w:val="00FD4CCF"/>
    <w:rsid w:val="00FD4EA3"/>
    <w:rsid w:val="00FD5BCC"/>
    <w:rsid w:val="00FD65C4"/>
    <w:rsid w:val="00FD6F91"/>
    <w:rsid w:val="00FD75C0"/>
    <w:rsid w:val="00FD78FD"/>
    <w:rsid w:val="00FD7A34"/>
    <w:rsid w:val="00FD7B08"/>
    <w:rsid w:val="00FE0410"/>
    <w:rsid w:val="00FE04CC"/>
    <w:rsid w:val="00FE04E8"/>
    <w:rsid w:val="00FE0CC1"/>
    <w:rsid w:val="00FE0CE6"/>
    <w:rsid w:val="00FE0E6D"/>
    <w:rsid w:val="00FE1C9A"/>
    <w:rsid w:val="00FE2254"/>
    <w:rsid w:val="00FE237C"/>
    <w:rsid w:val="00FE27C3"/>
    <w:rsid w:val="00FE2BBB"/>
    <w:rsid w:val="00FE3395"/>
    <w:rsid w:val="00FE3A80"/>
    <w:rsid w:val="00FE3B4E"/>
    <w:rsid w:val="00FE4021"/>
    <w:rsid w:val="00FE41AF"/>
    <w:rsid w:val="00FE4547"/>
    <w:rsid w:val="00FE47AA"/>
    <w:rsid w:val="00FE4A2E"/>
    <w:rsid w:val="00FE50F1"/>
    <w:rsid w:val="00FE6789"/>
    <w:rsid w:val="00FE6CED"/>
    <w:rsid w:val="00FE7142"/>
    <w:rsid w:val="00FE7166"/>
    <w:rsid w:val="00FE73AA"/>
    <w:rsid w:val="00FE744F"/>
    <w:rsid w:val="00FE78F0"/>
    <w:rsid w:val="00FE79D6"/>
    <w:rsid w:val="00FE7A49"/>
    <w:rsid w:val="00FF0BBA"/>
    <w:rsid w:val="00FF16F5"/>
    <w:rsid w:val="00FF1FF0"/>
    <w:rsid w:val="00FF3195"/>
    <w:rsid w:val="00FF3D43"/>
    <w:rsid w:val="00FF4844"/>
    <w:rsid w:val="00FF4E6B"/>
    <w:rsid w:val="00FF4F1F"/>
    <w:rsid w:val="00FF556E"/>
    <w:rsid w:val="00FF5E0E"/>
    <w:rsid w:val="00FF62DB"/>
    <w:rsid w:val="00FF70E8"/>
    <w:rsid w:val="00FF756B"/>
    <w:rsid w:val="00FF7A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317AA85E"/>
  <w15:chartTrackingRefBased/>
  <w15:docId w15:val="{9F3795AE-5FB6-4AE7-864F-FE17B957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0D"/>
  </w:style>
  <w:style w:type="paragraph" w:styleId="Heading1">
    <w:name w:val="heading 1"/>
    <w:basedOn w:val="Normal"/>
    <w:link w:val="Heading1Char"/>
    <w:uiPriority w:val="9"/>
    <w:qFormat/>
    <w:rsid w:val="00671FCB"/>
    <w:pPr>
      <w:spacing w:before="100" w:beforeAutospacing="1" w:after="100" w:afterAutospacing="1"/>
      <w:outlineLvl w:val="0"/>
    </w:pPr>
    <w:rPr>
      <w:rFonts w:eastAsia="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E24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2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8A7686"/>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8A7686"/>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unhideWhenUsed/>
    <w:rsid w:val="005D2E1D"/>
    <w:rPr>
      <w:sz w:val="20"/>
      <w:szCs w:val="20"/>
    </w:rPr>
  </w:style>
  <w:style w:type="character" w:customStyle="1" w:styleId="CommentTextChar">
    <w:name w:val="Comment Text Char"/>
    <w:basedOn w:val="DefaultParagraphFont"/>
    <w:link w:val="CommentText"/>
    <w:uiPriority w:val="99"/>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nhideWhenUsed/>
    <w:rsid w:val="00020833"/>
    <w:pPr>
      <w:tabs>
        <w:tab w:val="center" w:pos="4153"/>
        <w:tab w:val="right" w:pos="8306"/>
      </w:tabs>
    </w:pPr>
  </w:style>
  <w:style w:type="character" w:customStyle="1" w:styleId="HeaderChar">
    <w:name w:val="Header Char"/>
    <w:basedOn w:val="DefaultParagraphFont"/>
    <w:link w:val="Header"/>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styleId="Hyperlink">
    <w:name w:val="Hyperlink"/>
    <w:basedOn w:val="DefaultParagraphFont"/>
    <w:uiPriority w:val="99"/>
    <w:unhideWhenUsed/>
    <w:rsid w:val="005342A2"/>
    <w:rPr>
      <w:color w:val="0563C1" w:themeColor="hyperlink"/>
      <w:u w:val="single"/>
    </w:rPr>
  </w:style>
  <w:style w:type="paragraph" w:customStyle="1" w:styleId="CharCharCharChar">
    <w:name w:val="Char Char Char Char"/>
    <w:aliases w:val="Char2"/>
    <w:basedOn w:val="Normal"/>
    <w:next w:val="Normal"/>
    <w:link w:val="FootnoteReference"/>
    <w:uiPriority w:val="99"/>
    <w:rsid w:val="00780D18"/>
    <w:pPr>
      <w:spacing w:after="160" w:line="240" w:lineRule="exact"/>
      <w:jc w:val="both"/>
      <w:textAlignment w:val="baseline"/>
    </w:pPr>
    <w:rPr>
      <w:vertAlign w:val="superscript"/>
    </w:rPr>
  </w:style>
  <w:style w:type="character" w:styleId="Strong">
    <w:name w:val="Strong"/>
    <w:basedOn w:val="DefaultParagraphFont"/>
    <w:uiPriority w:val="22"/>
    <w:qFormat/>
    <w:rsid w:val="007B37B2"/>
    <w:rPr>
      <w:b/>
      <w:bCs/>
    </w:rPr>
  </w:style>
  <w:style w:type="character" w:customStyle="1" w:styleId="Heading1Char">
    <w:name w:val="Heading 1 Char"/>
    <w:basedOn w:val="DefaultParagraphFont"/>
    <w:link w:val="Heading1"/>
    <w:uiPriority w:val="9"/>
    <w:rsid w:val="00671FCB"/>
    <w:rPr>
      <w:rFonts w:eastAsia="Times New Roman" w:cs="Times New Roman"/>
      <w:b/>
      <w:bCs/>
      <w:kern w:val="36"/>
      <w:sz w:val="48"/>
      <w:szCs w:val="48"/>
      <w:lang w:val="en-GB" w:eastAsia="en-GB"/>
    </w:rPr>
  </w:style>
  <w:style w:type="paragraph" w:styleId="NormalWeb">
    <w:name w:val="Normal (Web)"/>
    <w:basedOn w:val="Normal"/>
    <w:uiPriority w:val="99"/>
    <w:unhideWhenUsed/>
    <w:rsid w:val="00671FCB"/>
    <w:pPr>
      <w:spacing w:before="100" w:beforeAutospacing="1" w:after="100" w:afterAutospacing="1"/>
    </w:pPr>
    <w:rPr>
      <w:rFonts w:eastAsia="Times New Roman" w:cs="Times New Roman"/>
      <w:szCs w:val="24"/>
      <w:lang w:val="en-GB" w:eastAsia="en-GB"/>
    </w:rPr>
  </w:style>
  <w:style w:type="paragraph" w:customStyle="1" w:styleId="tvhtml">
    <w:name w:val="tv_html"/>
    <w:basedOn w:val="Normal"/>
    <w:rsid w:val="00610E0F"/>
    <w:pPr>
      <w:spacing w:before="100" w:beforeAutospacing="1" w:after="100" w:afterAutospacing="1"/>
    </w:pPr>
    <w:rPr>
      <w:rFonts w:eastAsia="Times New Roman" w:cs="Times New Roman"/>
      <w:szCs w:val="24"/>
      <w:lang w:eastAsia="lv-LV"/>
    </w:rPr>
  </w:style>
  <w:style w:type="paragraph" w:styleId="NoSpacing">
    <w:name w:val="No Spacing"/>
    <w:link w:val="NoSpacingChar"/>
    <w:uiPriority w:val="1"/>
    <w:qFormat/>
    <w:rsid w:val="00A3142E"/>
    <w:rPr>
      <w:rFonts w:asciiTheme="minorHAnsi" w:hAnsiTheme="minorHAnsi"/>
      <w:sz w:val="22"/>
    </w:rPr>
  </w:style>
  <w:style w:type="character" w:customStyle="1" w:styleId="NoSpacingChar">
    <w:name w:val="No Spacing Char"/>
    <w:basedOn w:val="DefaultParagraphFont"/>
    <w:link w:val="NoSpacing"/>
    <w:uiPriority w:val="1"/>
    <w:locked/>
    <w:rsid w:val="00A3142E"/>
    <w:rPr>
      <w:rFonts w:asciiTheme="minorHAnsi" w:hAnsiTheme="minorHAnsi"/>
      <w:sz w:val="22"/>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A3142E"/>
  </w:style>
  <w:style w:type="paragraph" w:styleId="TOCHeading">
    <w:name w:val="TOC Heading"/>
    <w:basedOn w:val="Heading1"/>
    <w:next w:val="Normal"/>
    <w:uiPriority w:val="39"/>
    <w:unhideWhenUsed/>
    <w:qFormat/>
    <w:rsid w:val="00B95F8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95F87"/>
    <w:pPr>
      <w:spacing w:after="100"/>
    </w:pPr>
  </w:style>
  <w:style w:type="character" w:customStyle="1" w:styleId="Heading2Char">
    <w:name w:val="Heading 2 Char"/>
    <w:basedOn w:val="DefaultParagraphFont"/>
    <w:link w:val="Heading2"/>
    <w:uiPriority w:val="9"/>
    <w:rsid w:val="00E24F3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B0D3A"/>
    <w:pPr>
      <w:spacing w:after="100"/>
      <w:ind w:left="240"/>
    </w:pPr>
  </w:style>
  <w:style w:type="paragraph" w:customStyle="1" w:styleId="naisf">
    <w:name w:val="naisf"/>
    <w:basedOn w:val="Normal"/>
    <w:rsid w:val="008B2CD4"/>
    <w:pPr>
      <w:spacing w:before="75" w:after="75"/>
      <w:ind w:firstLine="375"/>
      <w:jc w:val="both"/>
    </w:pPr>
    <w:rPr>
      <w:rFonts w:eastAsia="Times New Roman" w:cs="Times New Roman"/>
      <w:szCs w:val="24"/>
      <w:lang w:eastAsia="lv-LV"/>
    </w:rPr>
  </w:style>
  <w:style w:type="character" w:customStyle="1" w:styleId="Bodytext3">
    <w:name w:val="Body text3"/>
    <w:rsid w:val="007659DA"/>
    <w:rPr>
      <w:rFonts w:cs="Times New Roman"/>
      <w:spacing w:val="0"/>
      <w:sz w:val="21"/>
      <w:szCs w:val="21"/>
    </w:rPr>
  </w:style>
  <w:style w:type="paragraph" w:customStyle="1" w:styleId="Body">
    <w:name w:val="Body"/>
    <w:rsid w:val="006E6EDA"/>
    <w:pPr>
      <w:pBdr>
        <w:top w:val="nil"/>
        <w:left w:val="nil"/>
        <w:bottom w:val="nil"/>
        <w:right w:val="nil"/>
        <w:between w:val="nil"/>
        <w:bar w:val="nil"/>
      </w:pBdr>
    </w:pPr>
    <w:rPr>
      <w:rFonts w:eastAsia="Arial Unicode MS" w:cs="Arial Unicode MS"/>
      <w:color w:val="000000"/>
      <w:szCs w:val="24"/>
      <w:u w:color="000000"/>
      <w:bdr w:val="nil"/>
      <w:lang w:eastAsia="lv-LV"/>
    </w:rPr>
  </w:style>
  <w:style w:type="paragraph" w:customStyle="1" w:styleId="Default">
    <w:name w:val="Default"/>
    <w:rsid w:val="006E6EDA"/>
    <w:pPr>
      <w:pBdr>
        <w:top w:val="nil"/>
        <w:left w:val="nil"/>
        <w:bottom w:val="nil"/>
        <w:right w:val="nil"/>
        <w:between w:val="nil"/>
        <w:bar w:val="nil"/>
      </w:pBdr>
    </w:pPr>
    <w:rPr>
      <w:rFonts w:ascii="Helvetica Neue" w:eastAsia="Arial Unicode MS" w:hAnsi="Helvetica Neue" w:cs="Arial Unicode MS"/>
      <w:color w:val="000000"/>
      <w:sz w:val="22"/>
      <w:bdr w:val="nil"/>
      <w:lang w:eastAsia="lv-LV"/>
    </w:rPr>
  </w:style>
  <w:style w:type="table" w:customStyle="1" w:styleId="TableNormal1">
    <w:name w:val="Table Normal1"/>
    <w:rsid w:val="004547AB"/>
    <w:pPr>
      <w:pBdr>
        <w:top w:val="nil"/>
        <w:left w:val="nil"/>
        <w:bottom w:val="nil"/>
        <w:right w:val="nil"/>
        <w:between w:val="nil"/>
        <w:bar w:val="nil"/>
      </w:pBdr>
    </w:pPr>
    <w:rPr>
      <w:rFonts w:eastAsia="Arial Unicode MS" w:cs="Times New Roman"/>
      <w:sz w:val="20"/>
      <w:szCs w:val="20"/>
      <w:bdr w:val="nil"/>
      <w:lang w:eastAsia="lv-LV"/>
    </w:rPr>
    <w:tblPr>
      <w:tblInd w:w="0" w:type="dxa"/>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621682"/>
    <w:rPr>
      <w:rFonts w:asciiTheme="majorHAnsi" w:eastAsiaTheme="majorEastAsia" w:hAnsiTheme="majorHAnsi" w:cstheme="majorBidi"/>
      <w:i/>
      <w:iCs/>
      <w:color w:val="2E74B5" w:themeColor="accent1" w:themeShade="BF"/>
    </w:rPr>
  </w:style>
  <w:style w:type="character" w:styleId="PageNumber">
    <w:name w:val="page number"/>
    <w:semiHidden/>
    <w:rsid w:val="002742AE"/>
  </w:style>
  <w:style w:type="paragraph" w:styleId="BodyText">
    <w:name w:val="Body Text"/>
    <w:basedOn w:val="Normal"/>
    <w:link w:val="BodyTextChar"/>
    <w:uiPriority w:val="1"/>
    <w:qFormat/>
    <w:rsid w:val="00F46794"/>
    <w:pPr>
      <w:widowControl w:val="0"/>
      <w:ind w:left="120"/>
    </w:pPr>
    <w:rPr>
      <w:rFonts w:eastAsia="Times New Roman"/>
      <w:sz w:val="21"/>
      <w:szCs w:val="21"/>
      <w:lang w:val="en-US"/>
    </w:rPr>
  </w:style>
  <w:style w:type="character" w:customStyle="1" w:styleId="BodyTextChar">
    <w:name w:val="Body Text Char"/>
    <w:basedOn w:val="DefaultParagraphFont"/>
    <w:link w:val="BodyText"/>
    <w:uiPriority w:val="1"/>
    <w:rsid w:val="00F46794"/>
    <w:rPr>
      <w:rFonts w:eastAsia="Times New Roman"/>
      <w:sz w:val="21"/>
      <w:szCs w:val="21"/>
      <w:lang w:val="en-US"/>
    </w:rPr>
  </w:style>
  <w:style w:type="paragraph" w:styleId="EndnoteText">
    <w:name w:val="endnote text"/>
    <w:basedOn w:val="Normal"/>
    <w:link w:val="EndnoteTextChar"/>
    <w:uiPriority w:val="99"/>
    <w:semiHidden/>
    <w:unhideWhenUsed/>
    <w:rsid w:val="00EB6FAA"/>
    <w:rPr>
      <w:sz w:val="20"/>
      <w:szCs w:val="20"/>
    </w:rPr>
  </w:style>
  <w:style w:type="character" w:customStyle="1" w:styleId="EndnoteTextChar">
    <w:name w:val="Endnote Text Char"/>
    <w:basedOn w:val="DefaultParagraphFont"/>
    <w:link w:val="EndnoteText"/>
    <w:uiPriority w:val="99"/>
    <w:semiHidden/>
    <w:rsid w:val="00EB6FAA"/>
    <w:rPr>
      <w:sz w:val="20"/>
      <w:szCs w:val="20"/>
    </w:rPr>
  </w:style>
  <w:style w:type="character" w:styleId="EndnoteReference">
    <w:name w:val="endnote reference"/>
    <w:basedOn w:val="DefaultParagraphFont"/>
    <w:uiPriority w:val="99"/>
    <w:semiHidden/>
    <w:unhideWhenUsed/>
    <w:rsid w:val="00EB6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8493">
      <w:bodyDiv w:val="1"/>
      <w:marLeft w:val="0"/>
      <w:marRight w:val="0"/>
      <w:marTop w:val="0"/>
      <w:marBottom w:val="0"/>
      <w:divBdr>
        <w:top w:val="none" w:sz="0" w:space="0" w:color="auto"/>
        <w:left w:val="none" w:sz="0" w:space="0" w:color="auto"/>
        <w:bottom w:val="none" w:sz="0" w:space="0" w:color="auto"/>
        <w:right w:val="none" w:sz="0" w:space="0" w:color="auto"/>
      </w:divBdr>
    </w:div>
    <w:div w:id="86730445">
      <w:bodyDiv w:val="1"/>
      <w:marLeft w:val="0"/>
      <w:marRight w:val="0"/>
      <w:marTop w:val="0"/>
      <w:marBottom w:val="0"/>
      <w:divBdr>
        <w:top w:val="none" w:sz="0" w:space="0" w:color="auto"/>
        <w:left w:val="none" w:sz="0" w:space="0" w:color="auto"/>
        <w:bottom w:val="none" w:sz="0" w:space="0" w:color="auto"/>
        <w:right w:val="none" w:sz="0" w:space="0" w:color="auto"/>
      </w:divBdr>
    </w:div>
    <w:div w:id="116877452">
      <w:bodyDiv w:val="1"/>
      <w:marLeft w:val="0"/>
      <w:marRight w:val="0"/>
      <w:marTop w:val="0"/>
      <w:marBottom w:val="0"/>
      <w:divBdr>
        <w:top w:val="none" w:sz="0" w:space="0" w:color="auto"/>
        <w:left w:val="none" w:sz="0" w:space="0" w:color="auto"/>
        <w:bottom w:val="none" w:sz="0" w:space="0" w:color="auto"/>
        <w:right w:val="none" w:sz="0" w:space="0" w:color="auto"/>
      </w:divBdr>
    </w:div>
    <w:div w:id="220749312">
      <w:bodyDiv w:val="1"/>
      <w:marLeft w:val="0"/>
      <w:marRight w:val="0"/>
      <w:marTop w:val="0"/>
      <w:marBottom w:val="0"/>
      <w:divBdr>
        <w:top w:val="none" w:sz="0" w:space="0" w:color="auto"/>
        <w:left w:val="none" w:sz="0" w:space="0" w:color="auto"/>
        <w:bottom w:val="none" w:sz="0" w:space="0" w:color="auto"/>
        <w:right w:val="none" w:sz="0" w:space="0" w:color="auto"/>
      </w:divBdr>
    </w:div>
    <w:div w:id="260840770">
      <w:bodyDiv w:val="1"/>
      <w:marLeft w:val="0"/>
      <w:marRight w:val="0"/>
      <w:marTop w:val="0"/>
      <w:marBottom w:val="0"/>
      <w:divBdr>
        <w:top w:val="none" w:sz="0" w:space="0" w:color="auto"/>
        <w:left w:val="none" w:sz="0" w:space="0" w:color="auto"/>
        <w:bottom w:val="none" w:sz="0" w:space="0" w:color="auto"/>
        <w:right w:val="none" w:sz="0" w:space="0" w:color="auto"/>
      </w:divBdr>
    </w:div>
    <w:div w:id="268507950">
      <w:bodyDiv w:val="1"/>
      <w:marLeft w:val="0"/>
      <w:marRight w:val="0"/>
      <w:marTop w:val="0"/>
      <w:marBottom w:val="0"/>
      <w:divBdr>
        <w:top w:val="none" w:sz="0" w:space="0" w:color="auto"/>
        <w:left w:val="none" w:sz="0" w:space="0" w:color="auto"/>
        <w:bottom w:val="none" w:sz="0" w:space="0" w:color="auto"/>
        <w:right w:val="none" w:sz="0" w:space="0" w:color="auto"/>
      </w:divBdr>
      <w:divsChild>
        <w:div w:id="189268355">
          <w:marLeft w:val="0"/>
          <w:marRight w:val="0"/>
          <w:marTop w:val="0"/>
          <w:marBottom w:val="0"/>
          <w:divBdr>
            <w:top w:val="none" w:sz="0" w:space="0" w:color="auto"/>
            <w:left w:val="none" w:sz="0" w:space="0" w:color="auto"/>
            <w:bottom w:val="none" w:sz="0" w:space="0" w:color="auto"/>
            <w:right w:val="none" w:sz="0" w:space="0" w:color="auto"/>
          </w:divBdr>
          <w:divsChild>
            <w:div w:id="1541824199">
              <w:marLeft w:val="0"/>
              <w:marRight w:val="0"/>
              <w:marTop w:val="0"/>
              <w:marBottom w:val="0"/>
              <w:divBdr>
                <w:top w:val="none" w:sz="0" w:space="0" w:color="auto"/>
                <w:left w:val="none" w:sz="0" w:space="0" w:color="auto"/>
                <w:bottom w:val="none" w:sz="0" w:space="0" w:color="auto"/>
                <w:right w:val="none" w:sz="0" w:space="0" w:color="auto"/>
              </w:divBdr>
              <w:divsChild>
                <w:div w:id="4730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4179">
      <w:bodyDiv w:val="1"/>
      <w:marLeft w:val="0"/>
      <w:marRight w:val="0"/>
      <w:marTop w:val="0"/>
      <w:marBottom w:val="0"/>
      <w:divBdr>
        <w:top w:val="none" w:sz="0" w:space="0" w:color="auto"/>
        <w:left w:val="none" w:sz="0" w:space="0" w:color="auto"/>
        <w:bottom w:val="none" w:sz="0" w:space="0" w:color="auto"/>
        <w:right w:val="none" w:sz="0" w:space="0" w:color="auto"/>
      </w:divBdr>
    </w:div>
    <w:div w:id="410737858">
      <w:bodyDiv w:val="1"/>
      <w:marLeft w:val="0"/>
      <w:marRight w:val="0"/>
      <w:marTop w:val="0"/>
      <w:marBottom w:val="0"/>
      <w:divBdr>
        <w:top w:val="none" w:sz="0" w:space="0" w:color="auto"/>
        <w:left w:val="none" w:sz="0" w:space="0" w:color="auto"/>
        <w:bottom w:val="none" w:sz="0" w:space="0" w:color="auto"/>
        <w:right w:val="none" w:sz="0" w:space="0" w:color="auto"/>
      </w:divBdr>
    </w:div>
    <w:div w:id="418257970">
      <w:bodyDiv w:val="1"/>
      <w:marLeft w:val="0"/>
      <w:marRight w:val="0"/>
      <w:marTop w:val="0"/>
      <w:marBottom w:val="0"/>
      <w:divBdr>
        <w:top w:val="none" w:sz="0" w:space="0" w:color="auto"/>
        <w:left w:val="none" w:sz="0" w:space="0" w:color="auto"/>
        <w:bottom w:val="none" w:sz="0" w:space="0" w:color="auto"/>
        <w:right w:val="none" w:sz="0" w:space="0" w:color="auto"/>
      </w:divBdr>
    </w:div>
    <w:div w:id="489953325">
      <w:bodyDiv w:val="1"/>
      <w:marLeft w:val="0"/>
      <w:marRight w:val="0"/>
      <w:marTop w:val="0"/>
      <w:marBottom w:val="0"/>
      <w:divBdr>
        <w:top w:val="none" w:sz="0" w:space="0" w:color="auto"/>
        <w:left w:val="none" w:sz="0" w:space="0" w:color="auto"/>
        <w:bottom w:val="none" w:sz="0" w:space="0" w:color="auto"/>
        <w:right w:val="none" w:sz="0" w:space="0" w:color="auto"/>
      </w:divBdr>
    </w:div>
    <w:div w:id="501895791">
      <w:bodyDiv w:val="1"/>
      <w:marLeft w:val="0"/>
      <w:marRight w:val="0"/>
      <w:marTop w:val="0"/>
      <w:marBottom w:val="0"/>
      <w:divBdr>
        <w:top w:val="none" w:sz="0" w:space="0" w:color="auto"/>
        <w:left w:val="none" w:sz="0" w:space="0" w:color="auto"/>
        <w:bottom w:val="none" w:sz="0" w:space="0" w:color="auto"/>
        <w:right w:val="none" w:sz="0" w:space="0" w:color="auto"/>
      </w:divBdr>
    </w:div>
    <w:div w:id="522478633">
      <w:bodyDiv w:val="1"/>
      <w:marLeft w:val="0"/>
      <w:marRight w:val="0"/>
      <w:marTop w:val="0"/>
      <w:marBottom w:val="0"/>
      <w:divBdr>
        <w:top w:val="none" w:sz="0" w:space="0" w:color="auto"/>
        <w:left w:val="none" w:sz="0" w:space="0" w:color="auto"/>
        <w:bottom w:val="none" w:sz="0" w:space="0" w:color="auto"/>
        <w:right w:val="none" w:sz="0" w:space="0" w:color="auto"/>
      </w:divBdr>
    </w:div>
    <w:div w:id="576598302">
      <w:bodyDiv w:val="1"/>
      <w:marLeft w:val="0"/>
      <w:marRight w:val="0"/>
      <w:marTop w:val="0"/>
      <w:marBottom w:val="0"/>
      <w:divBdr>
        <w:top w:val="none" w:sz="0" w:space="0" w:color="auto"/>
        <w:left w:val="none" w:sz="0" w:space="0" w:color="auto"/>
        <w:bottom w:val="none" w:sz="0" w:space="0" w:color="auto"/>
        <w:right w:val="none" w:sz="0" w:space="0" w:color="auto"/>
      </w:divBdr>
    </w:div>
    <w:div w:id="628702648">
      <w:bodyDiv w:val="1"/>
      <w:marLeft w:val="0"/>
      <w:marRight w:val="0"/>
      <w:marTop w:val="0"/>
      <w:marBottom w:val="0"/>
      <w:divBdr>
        <w:top w:val="none" w:sz="0" w:space="0" w:color="auto"/>
        <w:left w:val="none" w:sz="0" w:space="0" w:color="auto"/>
        <w:bottom w:val="none" w:sz="0" w:space="0" w:color="auto"/>
        <w:right w:val="none" w:sz="0" w:space="0" w:color="auto"/>
      </w:divBdr>
    </w:div>
    <w:div w:id="704403679">
      <w:bodyDiv w:val="1"/>
      <w:marLeft w:val="0"/>
      <w:marRight w:val="0"/>
      <w:marTop w:val="0"/>
      <w:marBottom w:val="0"/>
      <w:divBdr>
        <w:top w:val="none" w:sz="0" w:space="0" w:color="auto"/>
        <w:left w:val="none" w:sz="0" w:space="0" w:color="auto"/>
        <w:bottom w:val="none" w:sz="0" w:space="0" w:color="auto"/>
        <w:right w:val="none" w:sz="0" w:space="0" w:color="auto"/>
      </w:divBdr>
    </w:div>
    <w:div w:id="788357557">
      <w:bodyDiv w:val="1"/>
      <w:marLeft w:val="0"/>
      <w:marRight w:val="0"/>
      <w:marTop w:val="0"/>
      <w:marBottom w:val="0"/>
      <w:divBdr>
        <w:top w:val="none" w:sz="0" w:space="0" w:color="auto"/>
        <w:left w:val="none" w:sz="0" w:space="0" w:color="auto"/>
        <w:bottom w:val="none" w:sz="0" w:space="0" w:color="auto"/>
        <w:right w:val="none" w:sz="0" w:space="0" w:color="auto"/>
      </w:divBdr>
      <w:divsChild>
        <w:div w:id="1445034013">
          <w:marLeft w:val="0"/>
          <w:marRight w:val="0"/>
          <w:marTop w:val="0"/>
          <w:marBottom w:val="567"/>
          <w:divBdr>
            <w:top w:val="none" w:sz="0" w:space="0" w:color="auto"/>
            <w:left w:val="none" w:sz="0" w:space="0" w:color="auto"/>
            <w:bottom w:val="none" w:sz="0" w:space="0" w:color="auto"/>
            <w:right w:val="none" w:sz="0" w:space="0" w:color="auto"/>
          </w:divBdr>
        </w:div>
        <w:div w:id="1763530890">
          <w:marLeft w:val="0"/>
          <w:marRight w:val="0"/>
          <w:marTop w:val="480"/>
          <w:marBottom w:val="240"/>
          <w:divBdr>
            <w:top w:val="none" w:sz="0" w:space="0" w:color="auto"/>
            <w:left w:val="none" w:sz="0" w:space="0" w:color="auto"/>
            <w:bottom w:val="none" w:sz="0" w:space="0" w:color="auto"/>
            <w:right w:val="none" w:sz="0" w:space="0" w:color="auto"/>
          </w:divBdr>
        </w:div>
      </w:divsChild>
    </w:div>
    <w:div w:id="790440443">
      <w:bodyDiv w:val="1"/>
      <w:marLeft w:val="0"/>
      <w:marRight w:val="0"/>
      <w:marTop w:val="0"/>
      <w:marBottom w:val="0"/>
      <w:divBdr>
        <w:top w:val="none" w:sz="0" w:space="0" w:color="auto"/>
        <w:left w:val="none" w:sz="0" w:space="0" w:color="auto"/>
        <w:bottom w:val="none" w:sz="0" w:space="0" w:color="auto"/>
        <w:right w:val="none" w:sz="0" w:space="0" w:color="auto"/>
      </w:divBdr>
    </w:div>
    <w:div w:id="803234804">
      <w:bodyDiv w:val="1"/>
      <w:marLeft w:val="0"/>
      <w:marRight w:val="0"/>
      <w:marTop w:val="0"/>
      <w:marBottom w:val="0"/>
      <w:divBdr>
        <w:top w:val="none" w:sz="0" w:space="0" w:color="auto"/>
        <w:left w:val="none" w:sz="0" w:space="0" w:color="auto"/>
        <w:bottom w:val="none" w:sz="0" w:space="0" w:color="auto"/>
        <w:right w:val="none" w:sz="0" w:space="0" w:color="auto"/>
      </w:divBdr>
    </w:div>
    <w:div w:id="847796055">
      <w:bodyDiv w:val="1"/>
      <w:marLeft w:val="0"/>
      <w:marRight w:val="0"/>
      <w:marTop w:val="0"/>
      <w:marBottom w:val="0"/>
      <w:divBdr>
        <w:top w:val="none" w:sz="0" w:space="0" w:color="auto"/>
        <w:left w:val="none" w:sz="0" w:space="0" w:color="auto"/>
        <w:bottom w:val="none" w:sz="0" w:space="0" w:color="auto"/>
        <w:right w:val="none" w:sz="0" w:space="0" w:color="auto"/>
      </w:divBdr>
    </w:div>
    <w:div w:id="849217977">
      <w:bodyDiv w:val="1"/>
      <w:marLeft w:val="0"/>
      <w:marRight w:val="0"/>
      <w:marTop w:val="0"/>
      <w:marBottom w:val="0"/>
      <w:divBdr>
        <w:top w:val="none" w:sz="0" w:space="0" w:color="auto"/>
        <w:left w:val="none" w:sz="0" w:space="0" w:color="auto"/>
        <w:bottom w:val="none" w:sz="0" w:space="0" w:color="auto"/>
        <w:right w:val="none" w:sz="0" w:space="0" w:color="auto"/>
      </w:divBdr>
    </w:div>
    <w:div w:id="851066482">
      <w:bodyDiv w:val="1"/>
      <w:marLeft w:val="0"/>
      <w:marRight w:val="0"/>
      <w:marTop w:val="0"/>
      <w:marBottom w:val="0"/>
      <w:divBdr>
        <w:top w:val="none" w:sz="0" w:space="0" w:color="auto"/>
        <w:left w:val="none" w:sz="0" w:space="0" w:color="auto"/>
        <w:bottom w:val="none" w:sz="0" w:space="0" w:color="auto"/>
        <w:right w:val="none" w:sz="0" w:space="0" w:color="auto"/>
      </w:divBdr>
    </w:div>
    <w:div w:id="854073450">
      <w:bodyDiv w:val="1"/>
      <w:marLeft w:val="0"/>
      <w:marRight w:val="0"/>
      <w:marTop w:val="0"/>
      <w:marBottom w:val="0"/>
      <w:divBdr>
        <w:top w:val="none" w:sz="0" w:space="0" w:color="auto"/>
        <w:left w:val="none" w:sz="0" w:space="0" w:color="auto"/>
        <w:bottom w:val="none" w:sz="0" w:space="0" w:color="auto"/>
        <w:right w:val="none" w:sz="0" w:space="0" w:color="auto"/>
      </w:divBdr>
    </w:div>
    <w:div w:id="1103574402">
      <w:bodyDiv w:val="1"/>
      <w:marLeft w:val="0"/>
      <w:marRight w:val="0"/>
      <w:marTop w:val="0"/>
      <w:marBottom w:val="0"/>
      <w:divBdr>
        <w:top w:val="none" w:sz="0" w:space="0" w:color="auto"/>
        <w:left w:val="none" w:sz="0" w:space="0" w:color="auto"/>
        <w:bottom w:val="none" w:sz="0" w:space="0" w:color="auto"/>
        <w:right w:val="none" w:sz="0" w:space="0" w:color="auto"/>
      </w:divBdr>
    </w:div>
    <w:div w:id="1103845852">
      <w:bodyDiv w:val="1"/>
      <w:marLeft w:val="0"/>
      <w:marRight w:val="0"/>
      <w:marTop w:val="0"/>
      <w:marBottom w:val="0"/>
      <w:divBdr>
        <w:top w:val="none" w:sz="0" w:space="0" w:color="auto"/>
        <w:left w:val="none" w:sz="0" w:space="0" w:color="auto"/>
        <w:bottom w:val="none" w:sz="0" w:space="0" w:color="auto"/>
        <w:right w:val="none" w:sz="0" w:space="0" w:color="auto"/>
      </w:divBdr>
    </w:div>
    <w:div w:id="1120950708">
      <w:bodyDiv w:val="1"/>
      <w:marLeft w:val="0"/>
      <w:marRight w:val="0"/>
      <w:marTop w:val="0"/>
      <w:marBottom w:val="0"/>
      <w:divBdr>
        <w:top w:val="none" w:sz="0" w:space="0" w:color="auto"/>
        <w:left w:val="none" w:sz="0" w:space="0" w:color="auto"/>
        <w:bottom w:val="none" w:sz="0" w:space="0" w:color="auto"/>
        <w:right w:val="none" w:sz="0" w:space="0" w:color="auto"/>
      </w:divBdr>
    </w:div>
    <w:div w:id="1139609502">
      <w:bodyDiv w:val="1"/>
      <w:marLeft w:val="0"/>
      <w:marRight w:val="0"/>
      <w:marTop w:val="0"/>
      <w:marBottom w:val="0"/>
      <w:divBdr>
        <w:top w:val="none" w:sz="0" w:space="0" w:color="auto"/>
        <w:left w:val="none" w:sz="0" w:space="0" w:color="auto"/>
        <w:bottom w:val="none" w:sz="0" w:space="0" w:color="auto"/>
        <w:right w:val="none" w:sz="0" w:space="0" w:color="auto"/>
      </w:divBdr>
    </w:div>
    <w:div w:id="1143156921">
      <w:bodyDiv w:val="1"/>
      <w:marLeft w:val="0"/>
      <w:marRight w:val="0"/>
      <w:marTop w:val="0"/>
      <w:marBottom w:val="0"/>
      <w:divBdr>
        <w:top w:val="none" w:sz="0" w:space="0" w:color="auto"/>
        <w:left w:val="none" w:sz="0" w:space="0" w:color="auto"/>
        <w:bottom w:val="none" w:sz="0" w:space="0" w:color="auto"/>
        <w:right w:val="none" w:sz="0" w:space="0" w:color="auto"/>
      </w:divBdr>
    </w:div>
    <w:div w:id="1384332142">
      <w:bodyDiv w:val="1"/>
      <w:marLeft w:val="0"/>
      <w:marRight w:val="0"/>
      <w:marTop w:val="0"/>
      <w:marBottom w:val="0"/>
      <w:divBdr>
        <w:top w:val="none" w:sz="0" w:space="0" w:color="auto"/>
        <w:left w:val="none" w:sz="0" w:space="0" w:color="auto"/>
        <w:bottom w:val="none" w:sz="0" w:space="0" w:color="auto"/>
        <w:right w:val="none" w:sz="0" w:space="0" w:color="auto"/>
      </w:divBdr>
    </w:div>
    <w:div w:id="1477064829">
      <w:bodyDiv w:val="1"/>
      <w:marLeft w:val="0"/>
      <w:marRight w:val="0"/>
      <w:marTop w:val="0"/>
      <w:marBottom w:val="0"/>
      <w:divBdr>
        <w:top w:val="none" w:sz="0" w:space="0" w:color="auto"/>
        <w:left w:val="none" w:sz="0" w:space="0" w:color="auto"/>
        <w:bottom w:val="none" w:sz="0" w:space="0" w:color="auto"/>
        <w:right w:val="none" w:sz="0" w:space="0" w:color="auto"/>
      </w:divBdr>
    </w:div>
    <w:div w:id="1542282717">
      <w:bodyDiv w:val="1"/>
      <w:marLeft w:val="0"/>
      <w:marRight w:val="0"/>
      <w:marTop w:val="0"/>
      <w:marBottom w:val="0"/>
      <w:divBdr>
        <w:top w:val="none" w:sz="0" w:space="0" w:color="auto"/>
        <w:left w:val="none" w:sz="0" w:space="0" w:color="auto"/>
        <w:bottom w:val="none" w:sz="0" w:space="0" w:color="auto"/>
        <w:right w:val="none" w:sz="0" w:space="0" w:color="auto"/>
      </w:divBdr>
    </w:div>
    <w:div w:id="1557350217">
      <w:bodyDiv w:val="1"/>
      <w:marLeft w:val="0"/>
      <w:marRight w:val="0"/>
      <w:marTop w:val="0"/>
      <w:marBottom w:val="0"/>
      <w:divBdr>
        <w:top w:val="none" w:sz="0" w:space="0" w:color="auto"/>
        <w:left w:val="none" w:sz="0" w:space="0" w:color="auto"/>
        <w:bottom w:val="none" w:sz="0" w:space="0" w:color="auto"/>
        <w:right w:val="none" w:sz="0" w:space="0" w:color="auto"/>
      </w:divBdr>
    </w:div>
    <w:div w:id="1561208157">
      <w:bodyDiv w:val="1"/>
      <w:marLeft w:val="0"/>
      <w:marRight w:val="0"/>
      <w:marTop w:val="0"/>
      <w:marBottom w:val="0"/>
      <w:divBdr>
        <w:top w:val="none" w:sz="0" w:space="0" w:color="auto"/>
        <w:left w:val="none" w:sz="0" w:space="0" w:color="auto"/>
        <w:bottom w:val="none" w:sz="0" w:space="0" w:color="auto"/>
        <w:right w:val="none" w:sz="0" w:space="0" w:color="auto"/>
      </w:divBdr>
    </w:div>
    <w:div w:id="1614752934">
      <w:bodyDiv w:val="1"/>
      <w:marLeft w:val="0"/>
      <w:marRight w:val="0"/>
      <w:marTop w:val="0"/>
      <w:marBottom w:val="0"/>
      <w:divBdr>
        <w:top w:val="none" w:sz="0" w:space="0" w:color="auto"/>
        <w:left w:val="none" w:sz="0" w:space="0" w:color="auto"/>
        <w:bottom w:val="none" w:sz="0" w:space="0" w:color="auto"/>
        <w:right w:val="none" w:sz="0" w:space="0" w:color="auto"/>
      </w:divBdr>
    </w:div>
    <w:div w:id="1625966918">
      <w:bodyDiv w:val="1"/>
      <w:marLeft w:val="0"/>
      <w:marRight w:val="0"/>
      <w:marTop w:val="0"/>
      <w:marBottom w:val="0"/>
      <w:divBdr>
        <w:top w:val="none" w:sz="0" w:space="0" w:color="auto"/>
        <w:left w:val="none" w:sz="0" w:space="0" w:color="auto"/>
        <w:bottom w:val="none" w:sz="0" w:space="0" w:color="auto"/>
        <w:right w:val="none" w:sz="0" w:space="0" w:color="auto"/>
      </w:divBdr>
    </w:div>
    <w:div w:id="1745101976">
      <w:bodyDiv w:val="1"/>
      <w:marLeft w:val="0"/>
      <w:marRight w:val="0"/>
      <w:marTop w:val="0"/>
      <w:marBottom w:val="0"/>
      <w:divBdr>
        <w:top w:val="none" w:sz="0" w:space="0" w:color="auto"/>
        <w:left w:val="none" w:sz="0" w:space="0" w:color="auto"/>
        <w:bottom w:val="none" w:sz="0" w:space="0" w:color="auto"/>
        <w:right w:val="none" w:sz="0" w:space="0" w:color="auto"/>
      </w:divBdr>
    </w:div>
    <w:div w:id="1759253294">
      <w:bodyDiv w:val="1"/>
      <w:marLeft w:val="0"/>
      <w:marRight w:val="0"/>
      <w:marTop w:val="0"/>
      <w:marBottom w:val="0"/>
      <w:divBdr>
        <w:top w:val="none" w:sz="0" w:space="0" w:color="auto"/>
        <w:left w:val="none" w:sz="0" w:space="0" w:color="auto"/>
        <w:bottom w:val="none" w:sz="0" w:space="0" w:color="auto"/>
        <w:right w:val="none" w:sz="0" w:space="0" w:color="auto"/>
      </w:divBdr>
    </w:div>
    <w:div w:id="1772508169">
      <w:bodyDiv w:val="1"/>
      <w:marLeft w:val="0"/>
      <w:marRight w:val="0"/>
      <w:marTop w:val="0"/>
      <w:marBottom w:val="0"/>
      <w:divBdr>
        <w:top w:val="none" w:sz="0" w:space="0" w:color="auto"/>
        <w:left w:val="none" w:sz="0" w:space="0" w:color="auto"/>
        <w:bottom w:val="none" w:sz="0" w:space="0" w:color="auto"/>
        <w:right w:val="none" w:sz="0" w:space="0" w:color="auto"/>
      </w:divBdr>
    </w:div>
    <w:div w:id="1890451930">
      <w:bodyDiv w:val="1"/>
      <w:marLeft w:val="0"/>
      <w:marRight w:val="0"/>
      <w:marTop w:val="0"/>
      <w:marBottom w:val="0"/>
      <w:divBdr>
        <w:top w:val="none" w:sz="0" w:space="0" w:color="auto"/>
        <w:left w:val="none" w:sz="0" w:space="0" w:color="auto"/>
        <w:bottom w:val="none" w:sz="0" w:space="0" w:color="auto"/>
        <w:right w:val="none" w:sz="0" w:space="0" w:color="auto"/>
      </w:divBdr>
    </w:div>
    <w:div w:id="1910341442">
      <w:bodyDiv w:val="1"/>
      <w:marLeft w:val="0"/>
      <w:marRight w:val="0"/>
      <w:marTop w:val="0"/>
      <w:marBottom w:val="0"/>
      <w:divBdr>
        <w:top w:val="none" w:sz="0" w:space="0" w:color="auto"/>
        <w:left w:val="none" w:sz="0" w:space="0" w:color="auto"/>
        <w:bottom w:val="none" w:sz="0" w:space="0" w:color="auto"/>
        <w:right w:val="none" w:sz="0" w:space="0" w:color="auto"/>
      </w:divBdr>
    </w:div>
    <w:div w:id="1972326549">
      <w:bodyDiv w:val="1"/>
      <w:marLeft w:val="0"/>
      <w:marRight w:val="0"/>
      <w:marTop w:val="0"/>
      <w:marBottom w:val="0"/>
      <w:divBdr>
        <w:top w:val="none" w:sz="0" w:space="0" w:color="auto"/>
        <w:left w:val="none" w:sz="0" w:space="0" w:color="auto"/>
        <w:bottom w:val="none" w:sz="0" w:space="0" w:color="auto"/>
        <w:right w:val="none" w:sz="0" w:space="0" w:color="auto"/>
      </w:divBdr>
    </w:div>
    <w:div w:id="1977374753">
      <w:bodyDiv w:val="1"/>
      <w:marLeft w:val="0"/>
      <w:marRight w:val="0"/>
      <w:marTop w:val="0"/>
      <w:marBottom w:val="0"/>
      <w:divBdr>
        <w:top w:val="none" w:sz="0" w:space="0" w:color="auto"/>
        <w:left w:val="none" w:sz="0" w:space="0" w:color="auto"/>
        <w:bottom w:val="none" w:sz="0" w:space="0" w:color="auto"/>
        <w:right w:val="none" w:sz="0" w:space="0" w:color="auto"/>
      </w:divBdr>
    </w:div>
    <w:div w:id="2059812302">
      <w:bodyDiv w:val="1"/>
      <w:marLeft w:val="0"/>
      <w:marRight w:val="0"/>
      <w:marTop w:val="0"/>
      <w:marBottom w:val="0"/>
      <w:divBdr>
        <w:top w:val="none" w:sz="0" w:space="0" w:color="auto"/>
        <w:left w:val="none" w:sz="0" w:space="0" w:color="auto"/>
        <w:bottom w:val="none" w:sz="0" w:space="0" w:color="auto"/>
        <w:right w:val="none" w:sz="0" w:space="0" w:color="auto"/>
      </w:divBdr>
    </w:div>
    <w:div w:id="2069379364">
      <w:bodyDiv w:val="1"/>
      <w:marLeft w:val="0"/>
      <w:marRight w:val="0"/>
      <w:marTop w:val="0"/>
      <w:marBottom w:val="0"/>
      <w:divBdr>
        <w:top w:val="none" w:sz="0" w:space="0" w:color="auto"/>
        <w:left w:val="none" w:sz="0" w:space="0" w:color="auto"/>
        <w:bottom w:val="none" w:sz="0" w:space="0" w:color="auto"/>
        <w:right w:val="none" w:sz="0" w:space="0" w:color="auto"/>
      </w:divBdr>
    </w:div>
    <w:div w:id="2072801801">
      <w:bodyDiv w:val="1"/>
      <w:marLeft w:val="0"/>
      <w:marRight w:val="0"/>
      <w:marTop w:val="0"/>
      <w:marBottom w:val="0"/>
      <w:divBdr>
        <w:top w:val="none" w:sz="0" w:space="0" w:color="auto"/>
        <w:left w:val="none" w:sz="0" w:space="0" w:color="auto"/>
        <w:bottom w:val="none" w:sz="0" w:space="0" w:color="auto"/>
        <w:right w:val="none" w:sz="0" w:space="0" w:color="auto"/>
      </w:divBdr>
    </w:div>
    <w:div w:id="2121758450">
      <w:bodyDiv w:val="1"/>
      <w:marLeft w:val="0"/>
      <w:marRight w:val="0"/>
      <w:marTop w:val="0"/>
      <w:marBottom w:val="0"/>
      <w:divBdr>
        <w:top w:val="none" w:sz="0" w:space="0" w:color="auto"/>
        <w:left w:val="none" w:sz="0" w:space="0" w:color="auto"/>
        <w:bottom w:val="none" w:sz="0" w:space="0" w:color="auto"/>
        <w:right w:val="none" w:sz="0" w:space="0" w:color="auto"/>
      </w:divBdr>
    </w:div>
    <w:div w:id="21401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2A92-BEE1-4618-885D-4DCBC55B7D95}">
  <ds:schemaRefs>
    <ds:schemaRef ds:uri="http://schemas.openxmlformats.org/officeDocument/2006/bibliography"/>
  </ds:schemaRefs>
</ds:datastoreItem>
</file>

<file path=customXml/itemProps2.xml><?xml version="1.0" encoding="utf-8"?>
<ds:datastoreItem xmlns:ds="http://schemas.openxmlformats.org/officeDocument/2006/customXml" ds:itemID="{389F60EB-F2F5-40D5-8365-4ABB2042B1D7}">
  <ds:schemaRefs>
    <ds:schemaRef ds:uri="http://schemas.openxmlformats.org/officeDocument/2006/bibliography"/>
  </ds:schemaRefs>
</ds:datastoreItem>
</file>

<file path=customXml/itemProps3.xml><?xml version="1.0" encoding="utf-8"?>
<ds:datastoreItem xmlns:ds="http://schemas.openxmlformats.org/officeDocument/2006/customXml" ds:itemID="{893F6D76-47D3-4509-A78A-D582F11F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20495</Words>
  <Characters>11683</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Pasākumu plāns noziedzīgi iegūtu līdzekļu legalizācijas, terorisma un proliferācijas finansēšanas novēršanai laikposmam no 2020. līdz 2022. gadam</vt:lpstr>
    </vt:vector>
  </TitlesOfParts>
  <Company>Finanšu ministrija</Company>
  <LinksUpToDate>false</LinksUpToDate>
  <CharactersWithSpaces>32114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noziedzīgi iegūtu līdzekļu legalizācijas, terorisma un proliferācijas finansēšanas novēršanai laikposmam no 2020. līdz 2022. gadam</dc:title>
  <dc:subject>Pasākumu plāns</dc:subject>
  <dc:creator>Raimonds Grīnbergs</dc:creator>
  <cp:keywords>Pasākumu plāns</cp:keywords>
  <dc:description/>
  <cp:lastModifiedBy>Laimonis Rozenbaums</cp:lastModifiedBy>
  <cp:revision>4</cp:revision>
  <cp:lastPrinted>2020-09-15T12:10:00Z</cp:lastPrinted>
  <dcterms:created xsi:type="dcterms:W3CDTF">2021-08-12T12:22:00Z</dcterms:created>
  <dcterms:modified xsi:type="dcterms:W3CDTF">2021-08-12T12:45:00Z</dcterms:modified>
</cp:coreProperties>
</file>