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A568" w14:textId="77777777" w:rsidR="007116C7" w:rsidRDefault="007116C7" w:rsidP="00771F7D">
      <w:pPr>
        <w:pStyle w:val="naislab"/>
        <w:spacing w:before="0" w:after="0"/>
        <w:jc w:val="center"/>
        <w:rPr>
          <w:b/>
          <w:bCs/>
          <w:sz w:val="28"/>
          <w:szCs w:val="28"/>
        </w:rPr>
      </w:pPr>
      <w:bookmarkStart w:id="0" w:name="_GoBack"/>
      <w:bookmarkEnd w:id="0"/>
      <w:r w:rsidRPr="00771F7D">
        <w:rPr>
          <w:b/>
          <w:bCs/>
          <w:sz w:val="28"/>
          <w:szCs w:val="28"/>
        </w:rPr>
        <w:t>Izziņa par atzinumos sniegtajiem iebildumiem</w:t>
      </w:r>
    </w:p>
    <w:p w14:paraId="0EC1A569" w14:textId="77777777" w:rsidR="007265B9" w:rsidRPr="00771F7D" w:rsidRDefault="007265B9" w:rsidP="00771F7D">
      <w:pPr>
        <w:pStyle w:val="naislab"/>
        <w:spacing w:before="0" w:after="0"/>
        <w:jc w:val="center"/>
        <w:rPr>
          <w:b/>
          <w:bCs/>
          <w:sz w:val="28"/>
          <w:szCs w:val="28"/>
        </w:rPr>
      </w:pPr>
    </w:p>
    <w:tbl>
      <w:tblPr>
        <w:tblW w:w="0" w:type="auto"/>
        <w:jc w:val="center"/>
        <w:tblLook w:val="00A0" w:firstRow="1" w:lastRow="0" w:firstColumn="1" w:lastColumn="0" w:noHBand="0" w:noVBand="0"/>
      </w:tblPr>
      <w:tblGrid>
        <w:gridCol w:w="10188"/>
      </w:tblGrid>
      <w:tr w:rsidR="007116C7" w:rsidRPr="00712B66" w14:paraId="0EC1A56B" w14:textId="77777777">
        <w:trPr>
          <w:jc w:val="center"/>
        </w:trPr>
        <w:tc>
          <w:tcPr>
            <w:tcW w:w="10188" w:type="dxa"/>
            <w:tcBorders>
              <w:bottom w:val="single" w:sz="6" w:space="0" w:color="000000"/>
            </w:tcBorders>
          </w:tcPr>
          <w:p w14:paraId="0EC1A56A" w14:textId="77777777" w:rsidR="007116C7" w:rsidRPr="007265B9" w:rsidRDefault="007265B9" w:rsidP="00146671">
            <w:pPr>
              <w:jc w:val="center"/>
              <w:rPr>
                <w:b/>
              </w:rPr>
            </w:pPr>
            <w:r w:rsidRPr="007265B9">
              <w:rPr>
                <w:b/>
              </w:rPr>
              <w:t>Par Ministru kabineta noteikumu projektu "</w:t>
            </w:r>
            <w:r w:rsidR="00146671" w:rsidRPr="00146671">
              <w:rPr>
                <w:b/>
              </w:rPr>
              <w:t xml:space="preserve">Grozījumi Ministru kabineta 2016. gada 5. jūlija noteikumos Nr. 447 </w:t>
            </w:r>
            <w:r w:rsidR="00146671">
              <w:rPr>
                <w:b/>
              </w:rPr>
              <w:t>"</w:t>
            </w:r>
            <w:r w:rsidR="00146671" w:rsidRPr="00146671">
              <w:rPr>
                <w:b/>
              </w:rPr>
              <w:t>Par valsts budžeta mērķdotāciju pedagogu darba samaksai pašvaldību vispārējās izglītības iestādēs un valsts augstskolu vispārē</w:t>
            </w:r>
            <w:r w:rsidR="00146671">
              <w:rPr>
                <w:b/>
              </w:rPr>
              <w:t>jās vidējās izglītības iestādēs"</w:t>
            </w:r>
            <w:r w:rsidRPr="007265B9">
              <w:rPr>
                <w:b/>
              </w:rPr>
              <w:t>"</w:t>
            </w:r>
          </w:p>
        </w:tc>
      </w:tr>
    </w:tbl>
    <w:p w14:paraId="0EC1A56C" w14:textId="77777777" w:rsidR="007116C7" w:rsidRPr="00712B66" w:rsidRDefault="007116C7" w:rsidP="009623BC">
      <w:pPr>
        <w:pStyle w:val="naisc"/>
        <w:spacing w:before="0" w:after="0"/>
        <w:ind w:firstLine="1080"/>
      </w:pPr>
      <w:r w:rsidRPr="00712B66">
        <w:t>(dokumenta veids un nosaukums)</w:t>
      </w:r>
    </w:p>
    <w:p w14:paraId="0EC1A56D" w14:textId="77777777" w:rsidR="007B4C0F" w:rsidRPr="00712B66" w:rsidRDefault="007B4C0F" w:rsidP="00DB7395">
      <w:pPr>
        <w:pStyle w:val="naisf"/>
        <w:spacing w:before="0" w:after="0"/>
        <w:ind w:firstLine="720"/>
      </w:pPr>
    </w:p>
    <w:p w14:paraId="0EC1A56E"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0EC1A56F"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0EC1A57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EC1A570"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EC1A571"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EC1A572"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EC1A573"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EC1A574"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EC1A575" w14:textId="77777777" w:rsidR="005F4BFD" w:rsidRPr="00712B66" w:rsidRDefault="005F4BFD" w:rsidP="00364BB6">
            <w:pPr>
              <w:jc w:val="center"/>
            </w:pPr>
            <w:r w:rsidRPr="00712B66">
              <w:t>Projekta attiecīgā punkta (panta) galīgā redakcija</w:t>
            </w:r>
          </w:p>
        </w:tc>
      </w:tr>
      <w:tr w:rsidR="005F4BFD" w:rsidRPr="008A36C9" w14:paraId="0EC1A57D" w14:textId="77777777">
        <w:tc>
          <w:tcPr>
            <w:tcW w:w="708" w:type="dxa"/>
            <w:tcBorders>
              <w:top w:val="single" w:sz="6" w:space="0" w:color="000000"/>
              <w:left w:val="single" w:sz="6" w:space="0" w:color="000000"/>
              <w:bottom w:val="single" w:sz="6" w:space="0" w:color="000000"/>
              <w:right w:val="single" w:sz="6" w:space="0" w:color="000000"/>
            </w:tcBorders>
          </w:tcPr>
          <w:p w14:paraId="0EC1A577" w14:textId="77777777" w:rsidR="0020622C" w:rsidRPr="008A36C9" w:rsidRDefault="008A36C9" w:rsidP="0020622C">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EC1A578"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EC1A579"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EC1A57A"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EC1A57B"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EC1A57C" w14:textId="77777777" w:rsidR="005F4BFD" w:rsidRPr="008A36C9" w:rsidRDefault="008A36C9" w:rsidP="008A36C9">
            <w:pPr>
              <w:jc w:val="center"/>
              <w:rPr>
                <w:sz w:val="20"/>
                <w:szCs w:val="20"/>
              </w:rPr>
            </w:pPr>
            <w:r w:rsidRPr="008A36C9">
              <w:rPr>
                <w:sz w:val="20"/>
                <w:szCs w:val="20"/>
              </w:rPr>
              <w:t>6</w:t>
            </w:r>
          </w:p>
        </w:tc>
      </w:tr>
      <w:tr w:rsidR="00DC4CB4" w:rsidRPr="00712B66" w14:paraId="0EC1A57F" w14:textId="77777777" w:rsidTr="009D6EB8">
        <w:tc>
          <w:tcPr>
            <w:tcW w:w="14268" w:type="dxa"/>
            <w:gridSpan w:val="6"/>
            <w:tcBorders>
              <w:left w:val="single" w:sz="6" w:space="0" w:color="000000"/>
              <w:bottom w:val="single" w:sz="4" w:space="0" w:color="auto"/>
            </w:tcBorders>
          </w:tcPr>
          <w:p w14:paraId="0EC1A57E" w14:textId="77777777" w:rsidR="00DC4CB4" w:rsidRPr="00DC4CB4" w:rsidRDefault="00DC4CB4" w:rsidP="008D3C3C">
            <w:pPr>
              <w:jc w:val="center"/>
              <w:rPr>
                <w:b/>
                <w:bCs/>
              </w:rPr>
            </w:pPr>
            <w:r>
              <w:rPr>
                <w:b/>
              </w:rPr>
              <w:t xml:space="preserve">Latvijas Izglītības un zinātnes darbinieku </w:t>
            </w:r>
            <w:r w:rsidR="008D3C3C">
              <w:rPr>
                <w:b/>
              </w:rPr>
              <w:t>arodbiedrība</w:t>
            </w:r>
          </w:p>
        </w:tc>
      </w:tr>
      <w:tr w:rsidR="00AE50F7" w:rsidRPr="00712B66" w14:paraId="0EC1A5AB" w14:textId="77777777">
        <w:tc>
          <w:tcPr>
            <w:tcW w:w="708" w:type="dxa"/>
            <w:tcBorders>
              <w:left w:val="single" w:sz="6" w:space="0" w:color="000000"/>
              <w:bottom w:val="single" w:sz="4" w:space="0" w:color="auto"/>
              <w:right w:val="single" w:sz="6" w:space="0" w:color="000000"/>
            </w:tcBorders>
          </w:tcPr>
          <w:p w14:paraId="0EC1A580" w14:textId="77777777" w:rsidR="00AE50F7" w:rsidRDefault="00AE50F7" w:rsidP="00AE50F7">
            <w:pPr>
              <w:pStyle w:val="naisc"/>
              <w:spacing w:before="0" w:after="0"/>
              <w:jc w:val="left"/>
              <w:rPr>
                <w:lang w:val="en-US"/>
              </w:rPr>
            </w:pPr>
            <w:r>
              <w:rPr>
                <w:lang w:val="en-US"/>
              </w:rPr>
              <w:t xml:space="preserve">2. </w:t>
            </w:r>
          </w:p>
        </w:tc>
        <w:tc>
          <w:tcPr>
            <w:tcW w:w="3086" w:type="dxa"/>
            <w:tcBorders>
              <w:left w:val="single" w:sz="6" w:space="0" w:color="000000"/>
              <w:bottom w:val="single" w:sz="4" w:space="0" w:color="auto"/>
              <w:right w:val="single" w:sz="6" w:space="0" w:color="000000"/>
            </w:tcBorders>
          </w:tcPr>
          <w:p w14:paraId="0EC1A581" w14:textId="77777777" w:rsidR="00AD1CCD" w:rsidRPr="00AD1CCD" w:rsidRDefault="00AD1CCD" w:rsidP="00AD1CCD">
            <w:pPr>
              <w:shd w:val="clear" w:color="auto" w:fill="FFFFFF"/>
              <w:jc w:val="both"/>
              <w:rPr>
                <w:color w:val="000000" w:themeColor="text1"/>
                <w:szCs w:val="28"/>
              </w:rPr>
            </w:pPr>
            <w:r w:rsidRPr="00AD1CCD">
              <w:rPr>
                <w:color w:val="000000" w:themeColor="text1"/>
                <w:szCs w:val="28"/>
              </w:rPr>
              <w:t>1.6.</w:t>
            </w:r>
            <w:r w:rsidRPr="00AD1CCD">
              <w:t xml:space="preserve"> </w:t>
            </w:r>
            <w:r w:rsidRPr="00AD1CCD">
              <w:rPr>
                <w:color w:val="000000" w:themeColor="text1"/>
                <w:szCs w:val="28"/>
              </w:rPr>
              <w:t>papildināt noteikumus ar 12.</w:t>
            </w:r>
            <w:r w:rsidRPr="00AD1CCD">
              <w:rPr>
                <w:color w:val="000000" w:themeColor="text1"/>
                <w:szCs w:val="28"/>
                <w:vertAlign w:val="superscript"/>
              </w:rPr>
              <w:t>4 </w:t>
            </w:r>
            <w:r w:rsidRPr="00AD1CCD">
              <w:rPr>
                <w:color w:val="000000" w:themeColor="text1"/>
                <w:szCs w:val="28"/>
              </w:rPr>
              <w:t>un 12.</w:t>
            </w:r>
            <w:r w:rsidRPr="00AD1CCD">
              <w:rPr>
                <w:color w:val="000000" w:themeColor="text1"/>
                <w:szCs w:val="28"/>
                <w:vertAlign w:val="superscript"/>
              </w:rPr>
              <w:t>5</w:t>
            </w:r>
            <w:r w:rsidRPr="00AD1CCD">
              <w:rPr>
                <w:color w:val="000000" w:themeColor="text1"/>
                <w:szCs w:val="28"/>
              </w:rPr>
              <w:t xml:space="preserve"> punktu šādā redakcijā:</w:t>
            </w:r>
          </w:p>
          <w:p w14:paraId="0EC1A582" w14:textId="77777777" w:rsidR="00AD1CCD" w:rsidRPr="00AD1CCD" w:rsidRDefault="00AD1CCD" w:rsidP="00AD1CCD">
            <w:pPr>
              <w:shd w:val="clear" w:color="auto" w:fill="FFFFFF"/>
              <w:jc w:val="both"/>
              <w:rPr>
                <w:color w:val="000000" w:themeColor="text1"/>
                <w:szCs w:val="28"/>
              </w:rPr>
            </w:pPr>
            <w:r>
              <w:rPr>
                <w:color w:val="000000" w:themeColor="text1"/>
                <w:szCs w:val="28"/>
              </w:rPr>
              <w:t>"</w:t>
            </w:r>
            <w:r w:rsidRPr="00AD1CCD">
              <w:rPr>
                <w:color w:val="000000" w:themeColor="text1"/>
                <w:szCs w:val="28"/>
              </w:rPr>
              <w:t>12.</w:t>
            </w:r>
            <w:r w:rsidRPr="00AD1CCD">
              <w:rPr>
                <w:color w:val="000000" w:themeColor="text1"/>
                <w:szCs w:val="28"/>
                <w:vertAlign w:val="superscript"/>
              </w:rPr>
              <w:t>4</w:t>
            </w:r>
            <w:r w:rsidRPr="00AD1CCD">
              <w:rPr>
                <w:color w:val="000000" w:themeColor="text1"/>
                <w:szCs w:val="28"/>
              </w:rPr>
              <w:t xml:space="preserve"> Pašvaldībām, sadalot mērķdotāciju izglītības iestādēm pedagogu darba samaksai, ir tiesības pārdalīt starp attiecīgo pašvaldību izglītības iestādēm, kā arī pārskaitīt citu izglītības iestāžu dibinātājiem vai valsts dibinātām izglītības iestādēm finansējumu, pamatojoties uz izglītības iestāžu savstarpēji noslēgto Izglītības likuma 36. panta otrajā daļā minēto </w:t>
            </w:r>
            <w:r w:rsidRPr="00AD1CCD">
              <w:rPr>
                <w:color w:val="000000" w:themeColor="text1"/>
                <w:szCs w:val="28"/>
              </w:rPr>
              <w:lastRenderedPageBreak/>
              <w:t>līgumu par mācību priekšmetu vai to daļu īstenošanu vispārējās vidējās izglītības programmas ietvaros.</w:t>
            </w:r>
          </w:p>
          <w:p w14:paraId="0EC1A583" w14:textId="77777777" w:rsidR="00AD1CCD" w:rsidRPr="00AD1CCD" w:rsidRDefault="00AD1CCD" w:rsidP="00AD1CCD">
            <w:pPr>
              <w:shd w:val="clear" w:color="auto" w:fill="FFFFFF"/>
              <w:jc w:val="both"/>
              <w:rPr>
                <w:color w:val="000000" w:themeColor="text1"/>
                <w:szCs w:val="28"/>
              </w:rPr>
            </w:pPr>
            <w:r w:rsidRPr="00AD1CCD">
              <w:rPr>
                <w:color w:val="000000" w:themeColor="text1"/>
                <w:szCs w:val="28"/>
              </w:rPr>
              <w:t>12.</w:t>
            </w:r>
            <w:r w:rsidRPr="00AD1CCD">
              <w:rPr>
                <w:color w:val="000000" w:themeColor="text1"/>
                <w:szCs w:val="28"/>
                <w:vertAlign w:val="superscript"/>
              </w:rPr>
              <w:t>5</w:t>
            </w:r>
            <w:r w:rsidRPr="00AD1CCD">
              <w:rPr>
                <w:color w:val="000000" w:themeColor="text1"/>
                <w:szCs w:val="28"/>
              </w:rPr>
              <w:t xml:space="preserve"> Valsts augstskolām, sadalot dotāciju vispārējās vidējās izglītības iestādēm pedagogu darba samaksai, ir tiesības pārdalīt starp attiecīgo valsts augstskolu vispārējās vidējās izglītības iestādēm, kā arī pārskaitīt citu izglītības iestāžu dibinātājiem vai valsts dibinātām izglītības iestādēm finansējumu, pamatojoties uz izglītības iestāžu savstarpēji noslēgto Izglītības likuma 36. panta otrajā daļā minēto līgumu par mācību priekšmetu vai to daļu īstenošanu vispārējās vidējās izglītības programmas ietvaros</w:t>
            </w:r>
            <w:r>
              <w:rPr>
                <w:color w:val="000000" w:themeColor="text1"/>
                <w:szCs w:val="28"/>
              </w:rPr>
              <w:t>."</w:t>
            </w:r>
          </w:p>
          <w:p w14:paraId="0EC1A584" w14:textId="77777777" w:rsidR="00AE50F7" w:rsidRPr="00AD1CCD" w:rsidRDefault="00AE50F7" w:rsidP="00AD1CCD">
            <w:pPr>
              <w:shd w:val="clear" w:color="auto" w:fill="FFFFFF"/>
              <w:spacing w:line="276" w:lineRule="auto"/>
              <w:jc w:val="both"/>
              <w:rPr>
                <w:color w:val="000000"/>
              </w:rPr>
            </w:pPr>
          </w:p>
        </w:tc>
        <w:tc>
          <w:tcPr>
            <w:tcW w:w="3118" w:type="dxa"/>
            <w:tcBorders>
              <w:left w:val="single" w:sz="6" w:space="0" w:color="000000"/>
              <w:bottom w:val="single" w:sz="4" w:space="0" w:color="auto"/>
              <w:right w:val="single" w:sz="6" w:space="0" w:color="000000"/>
            </w:tcBorders>
          </w:tcPr>
          <w:p w14:paraId="0EC1A585" w14:textId="77777777" w:rsidR="00AE50F7" w:rsidRPr="009051C2" w:rsidRDefault="00AE50F7" w:rsidP="00AE50F7">
            <w:pPr>
              <w:pStyle w:val="naisc"/>
              <w:spacing w:before="0" w:after="0"/>
              <w:jc w:val="both"/>
            </w:pPr>
            <w:r w:rsidRPr="00290CB5">
              <w:lastRenderedPageBreak/>
              <w:t>Iebilstam pret</w:t>
            </w:r>
            <w:r w:rsidRPr="009051C2">
              <w:t xml:space="preserve"> 1.6. punkta grozījumiem “papildināt noteikumus ar 12.4 un 12.5 punktu šādā redakcijā”: “12.4 Pašvaldībām, sadalot mērķdotāciju izglītības iestādēm pedagogu darba samaksai, ir tiesības pārdalīt starp attiecīgo pašvaldību izglītības iestādēm, kā arī pārskaitīt citu izglītības iestāžu dibinātājiem vai valsts dibinātām izglītības iestādēm finansējumu, pamatojoties uz izglītības iestāžu savstarpēji noslēgto Izglītības likuma 36. </w:t>
            </w:r>
            <w:r w:rsidRPr="009051C2">
              <w:lastRenderedPageBreak/>
              <w:t xml:space="preserve">panta otrajā daļā minēto līgumu par mācību priekšmetu vai to daļu īstenošanu vispārējās vidējās izglītības programmas ietvaros. Finansējumu pārskaita uz izglītības iestādes dibinātāja vai valsts dibinātas izglītības iestādes norēķinu kontu Valsts kasē, ja tāds ir atvērts.” LIZDA rosina anotācijā precizēt esošo redakciju ar skaidrojumu, </w:t>
            </w:r>
            <w:r w:rsidRPr="00290CB5">
              <w:t>kā tiks panākta kontrole, lai mērķdotācijas pārdale, atsaucoties uz IL 36.panta (2) sasniegtu mērķi paredzētajā apjomā un pilnībā tiktu izslēgti riski manipulatīvām darbībām  ar mērķdotācijas pārdali.</w:t>
            </w:r>
            <w:r w:rsidRPr="009051C2">
              <w:t xml:space="preserve"> Grozījumi paredz, ka attiecīgais finansējums pārskaitāms uz izglītības iestāžu dibinātāju vai valsts izglītības iestāžu kontiem Valsts kasē, ja tādi ir atvērti. LIZDA norāda uz riskiem par valsts piešķirtā finansējuma izlietojuma caurspīdīguma nodrošinājumu, </w:t>
            </w:r>
            <w:r w:rsidRPr="00290CB5">
              <w:t>ja konts Valsts kasē nav atvērts.</w:t>
            </w:r>
            <w:r w:rsidRPr="009051C2">
              <w:t xml:space="preserve"> LIZDA uzskata, ka Covid-19 izraisītos epidemioloģiskās </w:t>
            </w:r>
            <w:r w:rsidRPr="009051C2">
              <w:lastRenderedPageBreak/>
              <w:t xml:space="preserve">drošības ierobežojumus un nepieciešamību izglītības iestādēm nodrošināt kvalitatīvu mācību procesa norisi attālinātajās mācībās, pie valstī šobrīd esošā un prognozējamā pedagogu vakanču skaita, nav iespējams risināt tikai ar partneru piesaisti izglītības iestādēs, bet gan ir nepieciešams nodrošināt pedagogiem konkurētspējīgu atalgojumu un darba dzīves kvalitāti kopumā, lai motivētu pedagogus pievienoties, nevis pamest izglītības nozari. </w:t>
            </w:r>
            <w:r w:rsidRPr="00290CB5">
              <w:t>LIZDA lūdz precizējošu skaidrojumu par to, ka slēdzot savstarpēju sadarbības līgumu par mācību priekšmetu vai to daļu īstenošanu vispārējās vidējās izglītības programmas ietvaros, pedagoga darba samaksa tiek noteikta atbilstoši pakalpojuma saņēmēja izglītības iestādē noteiktajai pedagoga mēneša darba algas likmei.</w:t>
            </w:r>
            <w:r w:rsidRPr="009051C2">
              <w:t xml:space="preserve"> </w:t>
            </w:r>
          </w:p>
          <w:p w14:paraId="0EC1A586" w14:textId="77777777" w:rsidR="00AE50F7" w:rsidRPr="009051C2" w:rsidRDefault="00AE50F7" w:rsidP="00AE50F7">
            <w:pPr>
              <w:pStyle w:val="naisc"/>
              <w:spacing w:before="0" w:after="0"/>
              <w:jc w:val="both"/>
            </w:pPr>
            <w:r w:rsidRPr="009051C2">
              <w:t xml:space="preserve">LIZDA lūdz arī skaidrojumu par to, kā ir plānots organizēt attālināto  mācību procesu, ja tajā iesaistītais pedagogs no </w:t>
            </w:r>
            <w:r w:rsidRPr="009051C2">
              <w:lastRenderedPageBreak/>
              <w:t xml:space="preserve">pakalpojuma sniedzēja izglītības iestādes strādās ar izglītojamajiem tiešsaistē, bet klātienē pakalpojuma ņēmēja izglītības iestādē arī ir jānodrošina pedagoga/pedagoga palīga/asistenta klātbūtne. Kādā statusā būs šis pedagogs un kā tiek plānots aprēķināt darba samaksu klātienē uzraugošajiem pedagogiem/pedagoga palīgiem/asistentiem, </w:t>
            </w:r>
            <w:r w:rsidRPr="00290CB5">
              <w:t>kurš normatīvais dokumenta to noteiks?</w:t>
            </w:r>
          </w:p>
        </w:tc>
        <w:tc>
          <w:tcPr>
            <w:tcW w:w="2977" w:type="dxa"/>
            <w:tcBorders>
              <w:left w:val="single" w:sz="6" w:space="0" w:color="000000"/>
              <w:bottom w:val="single" w:sz="4" w:space="0" w:color="auto"/>
              <w:right w:val="single" w:sz="6" w:space="0" w:color="000000"/>
            </w:tcBorders>
          </w:tcPr>
          <w:p w14:paraId="0EC1A587" w14:textId="77777777" w:rsidR="00FD7647" w:rsidRDefault="00FD7647" w:rsidP="00FD7647">
            <w:pPr>
              <w:pStyle w:val="naisc"/>
              <w:spacing w:before="0" w:after="0"/>
              <w:jc w:val="left"/>
              <w:rPr>
                <w:b/>
              </w:rPr>
            </w:pPr>
            <w:r>
              <w:rPr>
                <w:b/>
              </w:rPr>
              <w:lastRenderedPageBreak/>
              <w:t>Nav ņemts vērā.</w:t>
            </w:r>
          </w:p>
          <w:p w14:paraId="0EC1A588" w14:textId="77777777" w:rsidR="009A11E1" w:rsidRPr="00814B87" w:rsidRDefault="00EA250B" w:rsidP="00EA250B">
            <w:pPr>
              <w:pStyle w:val="naisc"/>
              <w:spacing w:before="0" w:after="0"/>
              <w:ind w:left="60"/>
              <w:jc w:val="both"/>
              <w:rPr>
                <w:rFonts w:eastAsiaTheme="minorHAnsi"/>
                <w:lang w:eastAsia="en-US"/>
              </w:rPr>
            </w:pPr>
            <w:r w:rsidRPr="00814B87">
              <w:rPr>
                <w:rFonts w:eastAsiaTheme="minorHAnsi"/>
                <w:lang w:eastAsia="en-US"/>
              </w:rPr>
              <w:t xml:space="preserve">(1) </w:t>
            </w:r>
            <w:r w:rsidR="009A11E1" w:rsidRPr="00814B87">
              <w:rPr>
                <w:rFonts w:eastAsiaTheme="minorHAnsi"/>
                <w:lang w:eastAsia="en-US"/>
              </w:rPr>
              <w:t xml:space="preserve">Saskaņā ar paredzētajiem Grozījumiem papildināts noteikumu projketa 1. pielikums </w:t>
            </w:r>
            <w:r w:rsidR="009A11E1" w:rsidRPr="00814B87">
              <w:rPr>
                <w:rFonts w:eastAsiaTheme="minorHAnsi"/>
                <w:i/>
                <w:lang w:eastAsia="en-US"/>
              </w:rPr>
              <w:t xml:space="preserve">Pārskats par mērķdotācijas izlietojumu, </w:t>
            </w:r>
            <w:r w:rsidR="009A11E1" w:rsidRPr="00814B87">
              <w:rPr>
                <w:rFonts w:eastAsiaTheme="minorHAnsi"/>
                <w:lang w:eastAsia="en-US"/>
              </w:rPr>
              <w:t xml:space="preserve">kurā uzskaitāms mērķdotācijas izlietojums par izglītības iestāžu savstarpēji noslēgto Izglītības likuma 36. panta otrajā daļā minēto līgumu, iekļaujot informāciju par izglītības iestādes dibinātāja vai valsts dibinātas izglītības iestādes </w:t>
            </w:r>
            <w:r w:rsidR="009A11E1" w:rsidRPr="00814B87">
              <w:rPr>
                <w:rFonts w:eastAsiaTheme="minorHAnsi"/>
                <w:lang w:eastAsia="en-US"/>
              </w:rPr>
              <w:lastRenderedPageBreak/>
              <w:t xml:space="preserve">nosaukumu, pamatojumu un līguma Nr. un </w:t>
            </w:r>
            <w:r w:rsidR="00FD7647" w:rsidRPr="00814B87">
              <w:rPr>
                <w:rFonts w:eastAsiaTheme="minorHAnsi"/>
                <w:lang w:eastAsia="en-US"/>
              </w:rPr>
              <w:t>summu.</w:t>
            </w:r>
          </w:p>
          <w:p w14:paraId="0EC1A589" w14:textId="77777777" w:rsidR="009A11E1" w:rsidRPr="00814B87" w:rsidRDefault="009A11E1" w:rsidP="009A11E1">
            <w:pPr>
              <w:spacing w:after="160" w:line="259" w:lineRule="auto"/>
              <w:jc w:val="both"/>
              <w:rPr>
                <w:rFonts w:eastAsiaTheme="minorHAnsi"/>
                <w:lang w:eastAsia="en-US"/>
              </w:rPr>
            </w:pPr>
            <w:r w:rsidRPr="00814B87">
              <w:rPr>
                <w:rFonts w:eastAsiaTheme="minorHAnsi"/>
                <w:lang w:eastAsia="en-US"/>
              </w:rPr>
              <w:t xml:space="preserve">Turklāt </w:t>
            </w:r>
            <w:r w:rsidR="00FD7647" w:rsidRPr="00814B87">
              <w:rPr>
                <w:rFonts w:eastAsiaTheme="minorHAnsi"/>
                <w:lang w:eastAsia="en-US"/>
              </w:rPr>
              <w:t>sniedzot minētos pārskatus</w:t>
            </w:r>
            <w:r w:rsidRPr="00814B87">
              <w:rPr>
                <w:rFonts w:eastAsiaTheme="minorHAnsi"/>
                <w:lang w:eastAsia="en-US"/>
              </w:rPr>
              <w:t xml:space="preserve">, </w:t>
            </w:r>
            <w:r w:rsidR="0022565A" w:rsidRPr="00814B87">
              <w:rPr>
                <w:rFonts w:eastAsiaTheme="minorHAnsi"/>
                <w:lang w:eastAsia="en-US"/>
              </w:rPr>
              <w:t>t</w:t>
            </w:r>
            <w:r w:rsidRPr="00814B87">
              <w:rPr>
                <w:rFonts w:eastAsiaTheme="minorHAnsi"/>
                <w:lang w:eastAsia="en-US"/>
              </w:rPr>
              <w:t xml:space="preserve">iek sniegts apliecinājums par mērķdotācijas izlietojumu pedagogu darba samaksai un valsts sociālās apdrošināšanas obligātajām iemaksām. </w:t>
            </w:r>
          </w:p>
          <w:p w14:paraId="0EC1A58A" w14:textId="77777777" w:rsidR="00AE50F7" w:rsidRDefault="00AE50F7" w:rsidP="00AE50F7">
            <w:pPr>
              <w:pStyle w:val="naisc"/>
              <w:spacing w:before="0" w:after="0"/>
              <w:jc w:val="left"/>
            </w:pPr>
          </w:p>
          <w:p w14:paraId="0EC1A58B" w14:textId="77777777" w:rsidR="00AE50F7" w:rsidRDefault="00AE50F7" w:rsidP="00AE50F7">
            <w:pPr>
              <w:pStyle w:val="naisc"/>
              <w:spacing w:before="0" w:after="0"/>
              <w:jc w:val="left"/>
            </w:pPr>
          </w:p>
          <w:p w14:paraId="0EC1A58C" w14:textId="77777777" w:rsidR="00AE50F7" w:rsidRDefault="00AE50F7" w:rsidP="00AE50F7">
            <w:pPr>
              <w:pStyle w:val="naisc"/>
              <w:spacing w:before="0" w:after="0"/>
              <w:jc w:val="left"/>
            </w:pPr>
          </w:p>
          <w:p w14:paraId="0EC1A58D" w14:textId="77777777" w:rsidR="00AE50F7" w:rsidRDefault="00AE50F7" w:rsidP="00AE50F7">
            <w:pPr>
              <w:pStyle w:val="naisc"/>
              <w:spacing w:before="0" w:after="0"/>
              <w:jc w:val="left"/>
            </w:pPr>
          </w:p>
          <w:p w14:paraId="0EC1A58E" w14:textId="77777777" w:rsidR="00AE50F7" w:rsidRDefault="00AE50F7" w:rsidP="00AE50F7">
            <w:pPr>
              <w:pStyle w:val="naisc"/>
              <w:spacing w:before="0" w:after="0"/>
              <w:jc w:val="left"/>
            </w:pPr>
          </w:p>
          <w:p w14:paraId="0EC1A58F" w14:textId="77777777" w:rsidR="00AE50F7" w:rsidRDefault="00AE50F7" w:rsidP="00AE50F7">
            <w:pPr>
              <w:pStyle w:val="naisc"/>
              <w:spacing w:before="0" w:after="0"/>
              <w:jc w:val="left"/>
            </w:pPr>
          </w:p>
          <w:p w14:paraId="0EC1A590" w14:textId="77777777" w:rsidR="00AE50F7" w:rsidRDefault="00AE50F7" w:rsidP="00AE50F7">
            <w:pPr>
              <w:pStyle w:val="naisc"/>
              <w:spacing w:before="0" w:after="0"/>
              <w:jc w:val="left"/>
            </w:pPr>
          </w:p>
          <w:p w14:paraId="0EC1A591" w14:textId="77777777" w:rsidR="00AE50F7" w:rsidRDefault="00AE50F7" w:rsidP="00AE50F7">
            <w:pPr>
              <w:pStyle w:val="naisc"/>
              <w:spacing w:before="0" w:after="0"/>
              <w:jc w:val="left"/>
            </w:pPr>
          </w:p>
          <w:p w14:paraId="0EC1A592" w14:textId="77777777" w:rsidR="00AE50F7" w:rsidRDefault="00AE50F7" w:rsidP="00AE50F7">
            <w:pPr>
              <w:pStyle w:val="naisc"/>
              <w:spacing w:before="0" w:after="0"/>
              <w:jc w:val="left"/>
            </w:pPr>
          </w:p>
          <w:p w14:paraId="0EC1A593" w14:textId="77777777" w:rsidR="00AE50F7" w:rsidRDefault="00AE50F7" w:rsidP="00AE50F7">
            <w:pPr>
              <w:pStyle w:val="naisc"/>
              <w:spacing w:before="0" w:after="0"/>
              <w:jc w:val="left"/>
            </w:pPr>
          </w:p>
          <w:p w14:paraId="0EC1A594" w14:textId="77777777" w:rsidR="00AE50F7" w:rsidRDefault="00AE50F7" w:rsidP="00AE50F7">
            <w:pPr>
              <w:pStyle w:val="naisc"/>
              <w:spacing w:before="0" w:after="0"/>
              <w:jc w:val="left"/>
            </w:pPr>
          </w:p>
          <w:p w14:paraId="0EC1A595" w14:textId="77777777" w:rsidR="00AE50F7" w:rsidRDefault="00AE50F7" w:rsidP="00AE50F7">
            <w:pPr>
              <w:pStyle w:val="naisc"/>
              <w:spacing w:before="0" w:after="0"/>
              <w:jc w:val="left"/>
            </w:pPr>
          </w:p>
          <w:p w14:paraId="0EC1A596" w14:textId="77777777" w:rsidR="00AE50F7" w:rsidRDefault="00AE50F7" w:rsidP="00AE50F7">
            <w:pPr>
              <w:pStyle w:val="naisc"/>
              <w:spacing w:before="0" w:after="0"/>
              <w:jc w:val="left"/>
            </w:pPr>
          </w:p>
          <w:p w14:paraId="0EC1A597" w14:textId="77777777" w:rsidR="00AE50F7" w:rsidRDefault="00AE50F7" w:rsidP="00AE50F7">
            <w:pPr>
              <w:pStyle w:val="naisc"/>
              <w:spacing w:before="0" w:after="0"/>
              <w:jc w:val="left"/>
            </w:pPr>
          </w:p>
          <w:p w14:paraId="0EC1A598" w14:textId="77777777" w:rsidR="00AE50F7" w:rsidRDefault="00AE50F7" w:rsidP="00AE50F7">
            <w:pPr>
              <w:pStyle w:val="naisc"/>
              <w:spacing w:before="0" w:after="0"/>
              <w:jc w:val="left"/>
            </w:pPr>
          </w:p>
          <w:p w14:paraId="0EC1A599" w14:textId="77777777" w:rsidR="00AE50F7" w:rsidRDefault="00AE50F7" w:rsidP="00AE50F7">
            <w:pPr>
              <w:pStyle w:val="naisc"/>
              <w:spacing w:before="0" w:after="0"/>
              <w:jc w:val="left"/>
            </w:pPr>
          </w:p>
          <w:p w14:paraId="0EC1A59A" w14:textId="77777777" w:rsidR="00AE50F7" w:rsidRDefault="00AE50F7" w:rsidP="00AE50F7">
            <w:pPr>
              <w:pStyle w:val="naisc"/>
              <w:spacing w:before="0" w:after="0"/>
              <w:jc w:val="left"/>
            </w:pPr>
          </w:p>
          <w:p w14:paraId="0EC1A59B" w14:textId="77777777" w:rsidR="00AE50F7" w:rsidRDefault="00AE50F7" w:rsidP="00AE50F7">
            <w:pPr>
              <w:pStyle w:val="naisc"/>
              <w:spacing w:before="0" w:after="0"/>
              <w:jc w:val="left"/>
            </w:pPr>
          </w:p>
          <w:p w14:paraId="0EC1A59C" w14:textId="77777777" w:rsidR="00AE50F7" w:rsidRDefault="00AE50F7" w:rsidP="00AE50F7">
            <w:pPr>
              <w:pStyle w:val="naisc"/>
              <w:spacing w:before="0" w:after="0"/>
              <w:jc w:val="left"/>
            </w:pPr>
          </w:p>
          <w:p w14:paraId="0EC1A59D" w14:textId="77777777" w:rsidR="00AE50F7" w:rsidRDefault="00AE50F7" w:rsidP="00AE50F7">
            <w:pPr>
              <w:pStyle w:val="naisc"/>
              <w:spacing w:before="0" w:after="0"/>
              <w:jc w:val="left"/>
            </w:pPr>
          </w:p>
          <w:p w14:paraId="0EC1A59E" w14:textId="77777777" w:rsidR="00AE50F7" w:rsidRDefault="00AE50F7" w:rsidP="00AE50F7">
            <w:pPr>
              <w:pStyle w:val="naisc"/>
              <w:spacing w:before="0" w:after="0"/>
              <w:jc w:val="left"/>
            </w:pPr>
          </w:p>
          <w:p w14:paraId="0EC1A59F" w14:textId="77777777" w:rsidR="00AE50F7" w:rsidRDefault="00AE50F7" w:rsidP="00AE50F7">
            <w:pPr>
              <w:pStyle w:val="naisc"/>
              <w:spacing w:before="0" w:after="0"/>
              <w:jc w:val="left"/>
            </w:pPr>
          </w:p>
          <w:p w14:paraId="0EC1A5A0" w14:textId="77777777" w:rsidR="00AE50F7" w:rsidRDefault="00AE50F7" w:rsidP="00AE50F7">
            <w:pPr>
              <w:pStyle w:val="naisc"/>
              <w:spacing w:before="0" w:after="0"/>
              <w:jc w:val="left"/>
            </w:pPr>
          </w:p>
          <w:p w14:paraId="0EC1A5A1" w14:textId="77777777" w:rsidR="00AE50F7" w:rsidRDefault="00AE50F7" w:rsidP="00AE50F7">
            <w:pPr>
              <w:pStyle w:val="naisc"/>
              <w:spacing w:before="0" w:after="0"/>
              <w:jc w:val="left"/>
            </w:pPr>
          </w:p>
          <w:p w14:paraId="0EC1A5A2" w14:textId="77777777" w:rsidR="000A0E52" w:rsidRDefault="00EA250B" w:rsidP="00EA250B">
            <w:pPr>
              <w:pStyle w:val="naisc"/>
              <w:spacing w:before="0" w:after="0"/>
              <w:jc w:val="both"/>
              <w:rPr>
                <w:b/>
              </w:rPr>
            </w:pPr>
            <w:r>
              <w:t xml:space="preserve">(2) </w:t>
            </w:r>
            <w:r w:rsidR="00FA17A5">
              <w:t>Ievērojot izglītības likuma 36. pantā minēto i</w:t>
            </w:r>
            <w:r w:rsidR="00FA17A5" w:rsidRPr="00FA17A5">
              <w:t xml:space="preserve">zglītības iestādes ir tiesīgas slēgt savstarpēju līgumu par mācību priekšmetu vai to daļu īstenošanu vispārējās vidējās izglītības programmas ietvaros, </w:t>
            </w:r>
            <w:r w:rsidR="00FA17A5" w:rsidRPr="00392A37">
              <w:t>vienojoties par mācību priekšmetu īstenošanas veidu un programmu, izglītojamo mācību sasniegumu vērtēšanas un izglītojamo iegūto vērtējumu paziņošanas kārtību, mācību priekšmetu apguvē iesaistāmajiem izglītojamajiem, mācību priekšmetu īstenošanas izdevumiem, tajā skaitā pedgogu darba samaksu, un to apmaksas kārtību, kā arī citiem nosacījumiem</w:t>
            </w:r>
            <w:r w:rsidR="00FA17A5" w:rsidRPr="00FA17A5">
              <w:t>.</w:t>
            </w:r>
            <w:r w:rsidR="000A0E52">
              <w:rPr>
                <w:b/>
              </w:rPr>
              <w:t xml:space="preserve"> </w:t>
            </w:r>
          </w:p>
          <w:p w14:paraId="0EC1A5A3" w14:textId="77777777" w:rsidR="00FA17A5" w:rsidRPr="00FA17A5" w:rsidRDefault="00FA17A5" w:rsidP="00FA17A5">
            <w:pPr>
              <w:pStyle w:val="naisc"/>
              <w:spacing w:before="0" w:after="0"/>
              <w:jc w:val="both"/>
            </w:pPr>
            <w:r>
              <w:t xml:space="preserve">Aprēķina principi saistībā ar attālināto mācību procesu netiek mainīti. </w:t>
            </w:r>
            <w:r w:rsidRPr="00FA17A5">
              <w:t>Ja pakalpojuma ņēmēja izglītības iestādē ir arī jānodrošina pedagoga/pedagoga palīga/asistenta klātbūtne</w:t>
            </w:r>
            <w:r w:rsidR="008F52D3">
              <w:t xml:space="preserve">, </w:t>
            </w:r>
            <w:r>
              <w:t xml:space="preserve"> </w:t>
            </w:r>
            <w:r w:rsidR="008F52D3">
              <w:lastRenderedPageBreak/>
              <w:t xml:space="preserve">iestādes vadītājam </w:t>
            </w:r>
            <w:r w:rsidR="00FD0BA4">
              <w:t>mācību procesa nodrošināšana jāorganizē tā, lai nodrošinātu šo nepieciešamību</w:t>
            </w:r>
            <w:r w:rsidR="004D2962">
              <w:t>.</w:t>
            </w:r>
            <w:r w:rsidR="00FD0BA4">
              <w:t xml:space="preserve"> </w:t>
            </w:r>
          </w:p>
          <w:p w14:paraId="0EC1A5A4" w14:textId="77777777" w:rsidR="00FA17A5" w:rsidRDefault="00FA17A5" w:rsidP="00FA17A5">
            <w:pPr>
              <w:pStyle w:val="naisc"/>
              <w:spacing w:before="0" w:after="0"/>
              <w:jc w:val="left"/>
            </w:pPr>
          </w:p>
          <w:p w14:paraId="0EC1A5A5" w14:textId="77777777" w:rsidR="00FA17A5" w:rsidRDefault="00FA17A5" w:rsidP="00FA17A5">
            <w:pPr>
              <w:pStyle w:val="naisc"/>
              <w:spacing w:before="0" w:after="0"/>
              <w:jc w:val="both"/>
              <w:rPr>
                <w:b/>
              </w:rPr>
            </w:pPr>
          </w:p>
        </w:tc>
        <w:tc>
          <w:tcPr>
            <w:tcW w:w="2459" w:type="dxa"/>
            <w:tcBorders>
              <w:top w:val="single" w:sz="4" w:space="0" w:color="auto"/>
              <w:left w:val="single" w:sz="4" w:space="0" w:color="auto"/>
              <w:bottom w:val="single" w:sz="4" w:space="0" w:color="auto"/>
              <w:right w:val="single" w:sz="4" w:space="0" w:color="auto"/>
            </w:tcBorders>
          </w:tcPr>
          <w:p w14:paraId="0EC1A5A6" w14:textId="77777777" w:rsidR="00AE50F7" w:rsidRPr="00712B66" w:rsidRDefault="00392A37" w:rsidP="00392A37">
            <w:r>
              <w:lastRenderedPageBreak/>
              <w:t>Diskutējot saskaņošanas sanāksmē 2021.gada 18.jūnijā nav panākta vienošanās</w:t>
            </w:r>
            <w:r w:rsidR="009C60B6">
              <w:t>.</w:t>
            </w:r>
          </w:p>
        </w:tc>
        <w:tc>
          <w:tcPr>
            <w:tcW w:w="1920" w:type="dxa"/>
            <w:tcBorders>
              <w:top w:val="single" w:sz="4" w:space="0" w:color="auto"/>
              <w:left w:val="single" w:sz="4" w:space="0" w:color="auto"/>
              <w:bottom w:val="single" w:sz="4" w:space="0" w:color="auto"/>
            </w:tcBorders>
          </w:tcPr>
          <w:p w14:paraId="0EC1A5A7" w14:textId="77777777" w:rsidR="00392A37" w:rsidRPr="00AD1CCD" w:rsidRDefault="00392A37" w:rsidP="00392A37">
            <w:pPr>
              <w:shd w:val="clear" w:color="auto" w:fill="FFFFFF"/>
              <w:jc w:val="both"/>
              <w:rPr>
                <w:color w:val="000000" w:themeColor="text1"/>
                <w:szCs w:val="28"/>
              </w:rPr>
            </w:pPr>
            <w:r w:rsidRPr="00AD1CCD">
              <w:rPr>
                <w:color w:val="000000" w:themeColor="text1"/>
                <w:szCs w:val="28"/>
              </w:rPr>
              <w:t>1.6.</w:t>
            </w:r>
            <w:r w:rsidRPr="00AD1CCD">
              <w:t xml:space="preserve"> </w:t>
            </w:r>
            <w:r w:rsidRPr="00AD1CCD">
              <w:rPr>
                <w:color w:val="000000" w:themeColor="text1"/>
                <w:szCs w:val="28"/>
              </w:rPr>
              <w:t>papildināt noteikumus ar 12.</w:t>
            </w:r>
            <w:r w:rsidRPr="00AD1CCD">
              <w:rPr>
                <w:color w:val="000000" w:themeColor="text1"/>
                <w:szCs w:val="28"/>
                <w:vertAlign w:val="superscript"/>
              </w:rPr>
              <w:t>4 </w:t>
            </w:r>
            <w:r w:rsidRPr="00AD1CCD">
              <w:rPr>
                <w:color w:val="000000" w:themeColor="text1"/>
                <w:szCs w:val="28"/>
              </w:rPr>
              <w:t>un 12.</w:t>
            </w:r>
            <w:r w:rsidRPr="00AD1CCD">
              <w:rPr>
                <w:color w:val="000000" w:themeColor="text1"/>
                <w:szCs w:val="28"/>
                <w:vertAlign w:val="superscript"/>
              </w:rPr>
              <w:t>5</w:t>
            </w:r>
            <w:r w:rsidRPr="00AD1CCD">
              <w:rPr>
                <w:color w:val="000000" w:themeColor="text1"/>
                <w:szCs w:val="28"/>
              </w:rPr>
              <w:t xml:space="preserve"> punktu šādā redakcijā:</w:t>
            </w:r>
          </w:p>
          <w:p w14:paraId="0EC1A5A8" w14:textId="77777777" w:rsidR="00392A37" w:rsidRPr="00AD1CCD" w:rsidRDefault="00392A37" w:rsidP="00392A37">
            <w:pPr>
              <w:shd w:val="clear" w:color="auto" w:fill="FFFFFF"/>
              <w:jc w:val="both"/>
              <w:rPr>
                <w:color w:val="000000" w:themeColor="text1"/>
                <w:szCs w:val="28"/>
              </w:rPr>
            </w:pPr>
            <w:r>
              <w:rPr>
                <w:color w:val="000000" w:themeColor="text1"/>
                <w:szCs w:val="28"/>
              </w:rPr>
              <w:t>"</w:t>
            </w:r>
            <w:r w:rsidRPr="00AD1CCD">
              <w:rPr>
                <w:color w:val="000000" w:themeColor="text1"/>
                <w:szCs w:val="28"/>
              </w:rPr>
              <w:t>12.</w:t>
            </w:r>
            <w:r w:rsidRPr="00AD1CCD">
              <w:rPr>
                <w:color w:val="000000" w:themeColor="text1"/>
                <w:szCs w:val="28"/>
                <w:vertAlign w:val="superscript"/>
              </w:rPr>
              <w:t>4</w:t>
            </w:r>
            <w:r w:rsidRPr="00AD1CCD">
              <w:rPr>
                <w:color w:val="000000" w:themeColor="text1"/>
                <w:szCs w:val="28"/>
              </w:rPr>
              <w:t xml:space="preserve"> Pašvaldībām, sadalot mērķdotāciju izglītības iestādēm pedagogu darba samaksai, ir tiesības pārdalīt starp attiecīgo pašvaldību </w:t>
            </w:r>
            <w:r w:rsidRPr="00AD1CCD">
              <w:rPr>
                <w:color w:val="000000" w:themeColor="text1"/>
                <w:szCs w:val="28"/>
              </w:rPr>
              <w:lastRenderedPageBreak/>
              <w:t>izglītības iestādēm, kā arī pārskaitīt citu izglītības iestāžu dibinātājiem vai valsts dibinātām izglītības iestādēm finansējumu, pamatojoties uz izglītības iestāžu savstarpēji noslēgto Izglītības likuma 36. panta otrajā daļā minēto līgumu par mācību priekšmetu vai to daļu īstenošanu vispārējās vidējās izglītības programmas ietvaros.</w:t>
            </w:r>
          </w:p>
          <w:p w14:paraId="0EC1A5A9" w14:textId="77777777" w:rsidR="00392A37" w:rsidRPr="00AD1CCD" w:rsidRDefault="00392A37" w:rsidP="00392A37">
            <w:pPr>
              <w:shd w:val="clear" w:color="auto" w:fill="FFFFFF"/>
              <w:jc w:val="both"/>
              <w:rPr>
                <w:color w:val="000000" w:themeColor="text1"/>
                <w:szCs w:val="28"/>
              </w:rPr>
            </w:pPr>
            <w:r w:rsidRPr="00AD1CCD">
              <w:rPr>
                <w:color w:val="000000" w:themeColor="text1"/>
                <w:szCs w:val="28"/>
              </w:rPr>
              <w:t>12.</w:t>
            </w:r>
            <w:r w:rsidRPr="00AD1CCD">
              <w:rPr>
                <w:color w:val="000000" w:themeColor="text1"/>
                <w:szCs w:val="28"/>
                <w:vertAlign w:val="superscript"/>
              </w:rPr>
              <w:t>5</w:t>
            </w:r>
            <w:r w:rsidRPr="00AD1CCD">
              <w:rPr>
                <w:color w:val="000000" w:themeColor="text1"/>
                <w:szCs w:val="28"/>
              </w:rPr>
              <w:t xml:space="preserve"> Valsts augstskolām, sadalot dotāciju vispārējās vidējās izglītības iestādēm pedagogu darba samaksai, ir tiesības pārdalīt </w:t>
            </w:r>
            <w:r w:rsidRPr="00AD1CCD">
              <w:rPr>
                <w:color w:val="000000" w:themeColor="text1"/>
                <w:szCs w:val="28"/>
              </w:rPr>
              <w:lastRenderedPageBreak/>
              <w:t>starp attiecīgo valsts augstskolu vispārējās vidējās izglītības iestādēm, kā arī pārskaitīt citu izglītības iestāžu dibinātājiem vai valsts dibinātām izglītības iestādēm finansējumu, pamatojoties uz izglītības iestāžu savstarpēji noslēgto Izglītības likuma 36. panta otrajā daļā minēto līgumu par mācību priekšmetu vai to daļu īstenošanu vispārējās vidējās izglītības programmas ietvaros</w:t>
            </w:r>
            <w:r>
              <w:rPr>
                <w:color w:val="000000" w:themeColor="text1"/>
                <w:szCs w:val="28"/>
              </w:rPr>
              <w:t>."</w:t>
            </w:r>
          </w:p>
          <w:p w14:paraId="0EC1A5AA" w14:textId="77777777" w:rsidR="00AE50F7" w:rsidRPr="00712B66" w:rsidRDefault="00AE50F7" w:rsidP="00AE50F7"/>
        </w:tc>
      </w:tr>
    </w:tbl>
    <w:p w14:paraId="0EC1A5AC" w14:textId="77777777" w:rsidR="007B4C0F" w:rsidRPr="00712B66" w:rsidRDefault="007B4C0F" w:rsidP="007B4C0F">
      <w:pPr>
        <w:pStyle w:val="naisf"/>
        <w:spacing w:before="0" w:after="0"/>
        <w:ind w:firstLine="0"/>
      </w:pPr>
    </w:p>
    <w:p w14:paraId="0EC1A5AD"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0EC1A5AE"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0EC1A5B1" w14:textId="77777777">
        <w:tc>
          <w:tcPr>
            <w:tcW w:w="6345" w:type="dxa"/>
          </w:tcPr>
          <w:p w14:paraId="0EC1A5AF"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0EC1A5B0" w14:textId="77777777" w:rsidR="007B4C0F" w:rsidRPr="00712B66" w:rsidRDefault="003A5694" w:rsidP="003A5694">
            <w:pPr>
              <w:pStyle w:val="NormalWeb"/>
              <w:spacing w:before="0" w:beforeAutospacing="0" w:after="0" w:afterAutospacing="0"/>
            </w:pPr>
            <w:r w:rsidRPr="003A5694">
              <w:t xml:space="preserve">2021.gada </w:t>
            </w:r>
            <w:r>
              <w:t>19</w:t>
            </w:r>
            <w:r w:rsidRPr="003A5694">
              <w:t>.</w:t>
            </w:r>
            <w:r>
              <w:t>jūnijā</w:t>
            </w:r>
            <w:r w:rsidRPr="003A5694">
              <w:t xml:space="preserve"> noteikumu projekts nosūtīts elektroniskai saskaņošanai</w:t>
            </w:r>
          </w:p>
        </w:tc>
      </w:tr>
      <w:tr w:rsidR="003C27A2" w:rsidRPr="00712B66" w14:paraId="0EC1A5B4" w14:textId="77777777">
        <w:tc>
          <w:tcPr>
            <w:tcW w:w="6345" w:type="dxa"/>
          </w:tcPr>
          <w:p w14:paraId="0EC1A5B2"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0EC1A5B3" w14:textId="77777777" w:rsidR="003C27A2" w:rsidRPr="00712B66" w:rsidRDefault="003C27A2" w:rsidP="005F7A1A">
            <w:pPr>
              <w:pStyle w:val="NormalWeb"/>
              <w:spacing w:before="0" w:beforeAutospacing="0" w:after="0" w:afterAutospacing="0"/>
            </w:pPr>
          </w:p>
        </w:tc>
      </w:tr>
      <w:tr w:rsidR="007B4C0F" w:rsidRPr="00712B66" w14:paraId="0EC1A5B7" w14:textId="77777777">
        <w:tc>
          <w:tcPr>
            <w:tcW w:w="6345" w:type="dxa"/>
          </w:tcPr>
          <w:p w14:paraId="0EC1A5B5"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0EC1A5B6" w14:textId="012F4392" w:rsidR="007B4C0F" w:rsidRPr="00712B66" w:rsidRDefault="004B7C50" w:rsidP="004B7C50">
            <w:pPr>
              <w:pStyle w:val="NormalWeb"/>
              <w:jc w:val="both"/>
            </w:pPr>
            <w:r>
              <w:t>Tieslietu ministrija, Finanšu ministrija, Aizsardzības ministrija, Kultūras ministrija, Labklājības ministrija, Veselības ministrija, Vides aizsardzības un reģionālās attīstības ministrija, Zemkopības ministrija, Latvijas Pašvaldību savienība, Latvijas Brīvo arodbiedrību savienība, Latvijas Lielo pilsētu asociācija, Biedrība "Latvijas Logopēdu asociācija", Latvijas Izglītības un zinātnes darbinieku arodbiedrība</w:t>
            </w:r>
          </w:p>
        </w:tc>
      </w:tr>
      <w:tr w:rsidR="007B4C0F" w:rsidRPr="00712B66" w14:paraId="0EC1A5BA" w14:textId="77777777">
        <w:tc>
          <w:tcPr>
            <w:tcW w:w="6345" w:type="dxa"/>
          </w:tcPr>
          <w:p w14:paraId="0EC1A5B8"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0EC1A5B9" w14:textId="77777777" w:rsidR="007B4C0F" w:rsidRPr="00712B66" w:rsidRDefault="007B4C0F" w:rsidP="005F7A1A">
            <w:pPr>
              <w:pStyle w:val="naiskr"/>
              <w:spacing w:before="0" w:after="0"/>
            </w:pPr>
          </w:p>
        </w:tc>
      </w:tr>
      <w:tr w:rsidR="000D0AED" w:rsidRPr="00712B66" w14:paraId="0EC1A5BE" w14:textId="77777777">
        <w:trPr>
          <w:trHeight w:val="285"/>
        </w:trPr>
        <w:tc>
          <w:tcPr>
            <w:tcW w:w="6345" w:type="dxa"/>
          </w:tcPr>
          <w:p w14:paraId="0EC1A5BB" w14:textId="77777777" w:rsidR="000D0AED" w:rsidRPr="00712B66" w:rsidRDefault="000D0AED" w:rsidP="000D0AED">
            <w:pPr>
              <w:pStyle w:val="naiskr"/>
              <w:spacing w:before="0" w:after="0"/>
            </w:pPr>
          </w:p>
        </w:tc>
        <w:tc>
          <w:tcPr>
            <w:tcW w:w="1203" w:type="dxa"/>
          </w:tcPr>
          <w:p w14:paraId="0EC1A5BC" w14:textId="77777777" w:rsidR="000D0AED" w:rsidRPr="00712B66" w:rsidRDefault="000D0AED" w:rsidP="005F7A1A">
            <w:pPr>
              <w:pStyle w:val="naiskr"/>
              <w:spacing w:before="0" w:after="0"/>
            </w:pPr>
          </w:p>
        </w:tc>
        <w:tc>
          <w:tcPr>
            <w:tcW w:w="5034" w:type="dxa"/>
          </w:tcPr>
          <w:p w14:paraId="0EC1A5BD" w14:textId="77777777" w:rsidR="000D0AED" w:rsidRPr="00712B66" w:rsidRDefault="000D0AED" w:rsidP="0036160E">
            <w:pPr>
              <w:pStyle w:val="naiskr"/>
              <w:spacing w:before="0" w:after="0"/>
              <w:ind w:firstLine="12"/>
            </w:pPr>
          </w:p>
        </w:tc>
      </w:tr>
    </w:tbl>
    <w:p w14:paraId="0EC1A5BF" w14:textId="77777777"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14:paraId="0EC1A5C3" w14:textId="77777777">
        <w:trPr>
          <w:trHeight w:val="285"/>
        </w:trPr>
        <w:tc>
          <w:tcPr>
            <w:tcW w:w="6708" w:type="dxa"/>
          </w:tcPr>
          <w:p w14:paraId="0EC1A5C0"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0EC1A5C1" w14:textId="77777777" w:rsidR="007B4C0F" w:rsidRPr="00712B66" w:rsidRDefault="007B4C0F" w:rsidP="0036160E">
            <w:pPr>
              <w:pStyle w:val="naiskr"/>
              <w:spacing w:before="0" w:after="0"/>
              <w:ind w:firstLine="720"/>
            </w:pPr>
          </w:p>
        </w:tc>
        <w:tc>
          <w:tcPr>
            <w:tcW w:w="5034" w:type="dxa"/>
          </w:tcPr>
          <w:p w14:paraId="0EC1A5C2" w14:textId="32227A92" w:rsidR="007B4C0F" w:rsidRPr="00712B66" w:rsidRDefault="004B7C50" w:rsidP="004B7C50">
            <w:pPr>
              <w:pStyle w:val="naiskr"/>
              <w:spacing w:before="0" w:after="0"/>
              <w:ind w:firstLine="12"/>
              <w:jc w:val="both"/>
            </w:pPr>
            <w:r>
              <w:t>Finanšu ministrija, Tieslietu ministrija, Biedrība "Latvijas Logopēdu asociācija", Latvijas Lielo pilsētu asociācija, Latvijas Izglītības un zinātnes darbinieku arodbiedrība</w:t>
            </w:r>
          </w:p>
        </w:tc>
      </w:tr>
      <w:tr w:rsidR="003C27A2" w:rsidRPr="00712B66" w14:paraId="0EC1A5C6" w14:textId="77777777">
        <w:trPr>
          <w:trHeight w:val="465"/>
        </w:trPr>
        <w:tc>
          <w:tcPr>
            <w:tcW w:w="6708" w:type="dxa"/>
          </w:tcPr>
          <w:p w14:paraId="0EC1A5C4"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0EC1A5C5" w14:textId="77777777" w:rsidR="003C27A2" w:rsidRPr="00712B66" w:rsidRDefault="003C27A2" w:rsidP="005F7A1A">
            <w:pPr>
              <w:pStyle w:val="NormalWeb"/>
              <w:spacing w:before="0" w:beforeAutospacing="0" w:after="0" w:afterAutospacing="0"/>
            </w:pPr>
          </w:p>
        </w:tc>
      </w:tr>
      <w:tr w:rsidR="007B4C0F" w:rsidRPr="00712B66" w14:paraId="0EC1A5C8" w14:textId="77777777">
        <w:trPr>
          <w:trHeight w:val="465"/>
        </w:trPr>
        <w:tc>
          <w:tcPr>
            <w:tcW w:w="12582" w:type="dxa"/>
            <w:gridSpan w:val="3"/>
          </w:tcPr>
          <w:p w14:paraId="0EC1A5C7" w14:textId="77777777" w:rsidR="007B4C0F" w:rsidRPr="00712B66" w:rsidRDefault="007B4C0F" w:rsidP="003C27A2">
            <w:pPr>
              <w:pStyle w:val="naisc"/>
              <w:spacing w:before="0" w:after="0"/>
              <w:ind w:left="4820" w:firstLine="720"/>
            </w:pPr>
          </w:p>
        </w:tc>
      </w:tr>
      <w:tr w:rsidR="007B4C0F" w:rsidRPr="00712B66" w14:paraId="0EC1A5CB" w14:textId="77777777">
        <w:tc>
          <w:tcPr>
            <w:tcW w:w="6708" w:type="dxa"/>
          </w:tcPr>
          <w:p w14:paraId="0EC1A5C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0EC1A5CA" w14:textId="77777777" w:rsidR="007B4C0F" w:rsidRPr="00712B66" w:rsidRDefault="007B4C0F" w:rsidP="005F7A1A">
            <w:pPr>
              <w:pStyle w:val="naiskr"/>
              <w:spacing w:before="0" w:after="0"/>
            </w:pPr>
          </w:p>
        </w:tc>
      </w:tr>
      <w:tr w:rsidR="007B4C0F" w:rsidRPr="00712B66" w14:paraId="0EC1A5CE" w14:textId="77777777">
        <w:tc>
          <w:tcPr>
            <w:tcW w:w="6708" w:type="dxa"/>
          </w:tcPr>
          <w:p w14:paraId="0EC1A5CC"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0EC1A5CD" w14:textId="77777777" w:rsidR="007B4C0F" w:rsidRPr="00712B66" w:rsidRDefault="007B4C0F" w:rsidP="005F7A1A">
            <w:pPr>
              <w:pStyle w:val="naiskr"/>
              <w:spacing w:before="0" w:after="0"/>
            </w:pPr>
          </w:p>
        </w:tc>
      </w:tr>
      <w:tr w:rsidR="007B4C0F" w:rsidRPr="00712B66" w14:paraId="0EC1A5D1" w14:textId="77777777">
        <w:tc>
          <w:tcPr>
            <w:tcW w:w="6708" w:type="dxa"/>
          </w:tcPr>
          <w:p w14:paraId="0EC1A5CF"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EC1A5D0" w14:textId="77777777" w:rsidR="007B4C0F" w:rsidRPr="00712B66" w:rsidRDefault="007B4C0F" w:rsidP="005F7A1A">
            <w:pPr>
              <w:pStyle w:val="naiskr"/>
              <w:spacing w:before="0" w:after="0"/>
            </w:pPr>
          </w:p>
        </w:tc>
      </w:tr>
    </w:tbl>
    <w:p w14:paraId="0EC1A5D2" w14:textId="77777777" w:rsidR="00683081" w:rsidRPr="00712B66" w:rsidRDefault="00683081" w:rsidP="00683081">
      <w:pPr>
        <w:pStyle w:val="naisf"/>
        <w:spacing w:before="0" w:after="0"/>
        <w:ind w:firstLine="720"/>
      </w:pPr>
    </w:p>
    <w:p w14:paraId="0EC1A5D3"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0EC1A5D4" w14:textId="77777777" w:rsidR="007B4C0F" w:rsidRPr="00712B66" w:rsidRDefault="007B4C0F" w:rsidP="00DB7395">
      <w:pPr>
        <w:pStyle w:val="naisf"/>
        <w:spacing w:before="0" w:after="0"/>
        <w:ind w:firstLine="720"/>
      </w:pPr>
    </w:p>
    <w:tbl>
      <w:tblPr>
        <w:tblW w:w="14283" w:type="dxa"/>
        <w:tblInd w:w="-1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31"/>
        <w:gridCol w:w="4245"/>
        <w:gridCol w:w="803"/>
        <w:gridCol w:w="2197"/>
        <w:gridCol w:w="2799"/>
      </w:tblGrid>
      <w:tr w:rsidR="00134188" w:rsidRPr="00712B66" w14:paraId="0EC1A5DA" w14:textId="77777777" w:rsidTr="008B4733">
        <w:tc>
          <w:tcPr>
            <w:tcW w:w="708" w:type="dxa"/>
            <w:tcBorders>
              <w:top w:val="single" w:sz="6" w:space="0" w:color="000000"/>
              <w:left w:val="single" w:sz="6" w:space="0" w:color="000000"/>
              <w:bottom w:val="single" w:sz="6" w:space="0" w:color="000000"/>
              <w:right w:val="single" w:sz="6" w:space="0" w:color="000000"/>
            </w:tcBorders>
            <w:vAlign w:val="center"/>
          </w:tcPr>
          <w:p w14:paraId="0EC1A5D5" w14:textId="77777777" w:rsidR="00134188" w:rsidRPr="00712B66" w:rsidRDefault="00134188" w:rsidP="009623BC">
            <w:pPr>
              <w:pStyle w:val="naisc"/>
              <w:spacing w:before="0" w:after="0"/>
            </w:pPr>
            <w:r w:rsidRPr="00712B66">
              <w:t>Nr. p.k.</w:t>
            </w:r>
          </w:p>
        </w:tc>
        <w:tc>
          <w:tcPr>
            <w:tcW w:w="3531" w:type="dxa"/>
            <w:gridSpan w:val="2"/>
            <w:tcBorders>
              <w:top w:val="single" w:sz="6" w:space="0" w:color="000000"/>
              <w:left w:val="single" w:sz="6" w:space="0" w:color="000000"/>
              <w:bottom w:val="single" w:sz="6" w:space="0" w:color="000000"/>
              <w:right w:val="single" w:sz="6" w:space="0" w:color="000000"/>
            </w:tcBorders>
            <w:vAlign w:val="center"/>
          </w:tcPr>
          <w:p w14:paraId="0EC1A5D6"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245" w:type="dxa"/>
            <w:tcBorders>
              <w:top w:val="single" w:sz="6" w:space="0" w:color="000000"/>
              <w:left w:val="single" w:sz="6" w:space="0" w:color="000000"/>
              <w:bottom w:val="single" w:sz="6" w:space="0" w:color="000000"/>
              <w:right w:val="single" w:sz="6" w:space="0" w:color="000000"/>
            </w:tcBorders>
            <w:vAlign w:val="center"/>
          </w:tcPr>
          <w:p w14:paraId="0EC1A5D7"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000" w:type="dxa"/>
            <w:gridSpan w:val="2"/>
            <w:tcBorders>
              <w:top w:val="single" w:sz="6" w:space="0" w:color="000000"/>
              <w:left w:val="single" w:sz="6" w:space="0" w:color="000000"/>
              <w:bottom w:val="single" w:sz="6" w:space="0" w:color="000000"/>
              <w:right w:val="single" w:sz="6" w:space="0" w:color="000000"/>
            </w:tcBorders>
            <w:vAlign w:val="center"/>
          </w:tcPr>
          <w:p w14:paraId="0EC1A5D8"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799" w:type="dxa"/>
            <w:tcBorders>
              <w:top w:val="single" w:sz="4" w:space="0" w:color="auto"/>
              <w:left w:val="single" w:sz="4" w:space="0" w:color="auto"/>
              <w:bottom w:val="single" w:sz="4" w:space="0" w:color="auto"/>
            </w:tcBorders>
            <w:vAlign w:val="center"/>
          </w:tcPr>
          <w:p w14:paraId="0EC1A5D9" w14:textId="77777777" w:rsidR="00134188" w:rsidRPr="00712B66" w:rsidRDefault="00134188" w:rsidP="009623BC">
            <w:pPr>
              <w:jc w:val="center"/>
            </w:pPr>
            <w:r w:rsidRPr="00712B66">
              <w:t>Projekta attiecīgā punkta (panta) galīgā redakcija</w:t>
            </w:r>
          </w:p>
        </w:tc>
      </w:tr>
      <w:tr w:rsidR="00134188" w:rsidRPr="003B71E0" w14:paraId="0EC1A5E0" w14:textId="77777777" w:rsidTr="008B4733">
        <w:tc>
          <w:tcPr>
            <w:tcW w:w="708" w:type="dxa"/>
            <w:tcBorders>
              <w:top w:val="single" w:sz="6" w:space="0" w:color="000000"/>
              <w:left w:val="single" w:sz="6" w:space="0" w:color="000000"/>
              <w:bottom w:val="single" w:sz="6" w:space="0" w:color="000000"/>
              <w:right w:val="single" w:sz="6" w:space="0" w:color="000000"/>
            </w:tcBorders>
          </w:tcPr>
          <w:p w14:paraId="0EC1A5DB" w14:textId="77777777" w:rsidR="00134188" w:rsidRPr="003B71E0" w:rsidRDefault="003B71E0" w:rsidP="003B71E0">
            <w:pPr>
              <w:pStyle w:val="naisc"/>
              <w:spacing w:before="0" w:after="0"/>
              <w:rPr>
                <w:sz w:val="20"/>
                <w:szCs w:val="20"/>
              </w:rPr>
            </w:pPr>
            <w:r w:rsidRPr="003B71E0">
              <w:rPr>
                <w:sz w:val="20"/>
                <w:szCs w:val="20"/>
              </w:rPr>
              <w:t>1</w:t>
            </w:r>
          </w:p>
        </w:tc>
        <w:tc>
          <w:tcPr>
            <w:tcW w:w="3531" w:type="dxa"/>
            <w:gridSpan w:val="2"/>
            <w:tcBorders>
              <w:top w:val="single" w:sz="6" w:space="0" w:color="000000"/>
              <w:left w:val="single" w:sz="6" w:space="0" w:color="000000"/>
              <w:bottom w:val="single" w:sz="6" w:space="0" w:color="000000"/>
              <w:right w:val="single" w:sz="6" w:space="0" w:color="000000"/>
            </w:tcBorders>
          </w:tcPr>
          <w:p w14:paraId="0EC1A5DC" w14:textId="77777777" w:rsidR="00134188" w:rsidRPr="003B71E0" w:rsidRDefault="00F34AAB" w:rsidP="003B71E0">
            <w:pPr>
              <w:pStyle w:val="naisc"/>
              <w:spacing w:before="0" w:after="0"/>
              <w:ind w:firstLine="720"/>
              <w:rPr>
                <w:sz w:val="20"/>
                <w:szCs w:val="20"/>
              </w:rPr>
            </w:pPr>
            <w:r>
              <w:rPr>
                <w:sz w:val="20"/>
                <w:szCs w:val="20"/>
              </w:rPr>
              <w:t>2</w:t>
            </w:r>
          </w:p>
        </w:tc>
        <w:tc>
          <w:tcPr>
            <w:tcW w:w="4245" w:type="dxa"/>
            <w:tcBorders>
              <w:top w:val="single" w:sz="6" w:space="0" w:color="000000"/>
              <w:left w:val="single" w:sz="6" w:space="0" w:color="000000"/>
              <w:bottom w:val="single" w:sz="6" w:space="0" w:color="000000"/>
              <w:right w:val="single" w:sz="6" w:space="0" w:color="000000"/>
            </w:tcBorders>
          </w:tcPr>
          <w:p w14:paraId="0EC1A5DD"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000" w:type="dxa"/>
            <w:gridSpan w:val="2"/>
            <w:tcBorders>
              <w:top w:val="single" w:sz="6" w:space="0" w:color="000000"/>
              <w:left w:val="single" w:sz="6" w:space="0" w:color="000000"/>
              <w:bottom w:val="single" w:sz="6" w:space="0" w:color="000000"/>
              <w:right w:val="single" w:sz="6" w:space="0" w:color="000000"/>
            </w:tcBorders>
          </w:tcPr>
          <w:p w14:paraId="0EC1A5DE"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799" w:type="dxa"/>
            <w:tcBorders>
              <w:top w:val="single" w:sz="4" w:space="0" w:color="auto"/>
              <w:left w:val="single" w:sz="4" w:space="0" w:color="auto"/>
              <w:bottom w:val="single" w:sz="4" w:space="0" w:color="auto"/>
            </w:tcBorders>
          </w:tcPr>
          <w:p w14:paraId="0EC1A5DF" w14:textId="77777777" w:rsidR="00134188" w:rsidRPr="003B71E0" w:rsidRDefault="003B71E0" w:rsidP="003B71E0">
            <w:pPr>
              <w:jc w:val="center"/>
              <w:rPr>
                <w:sz w:val="20"/>
                <w:szCs w:val="20"/>
              </w:rPr>
            </w:pPr>
            <w:r w:rsidRPr="003B71E0">
              <w:rPr>
                <w:sz w:val="20"/>
                <w:szCs w:val="20"/>
              </w:rPr>
              <w:t>5</w:t>
            </w:r>
          </w:p>
        </w:tc>
      </w:tr>
      <w:tr w:rsidR="001F5F72" w:rsidRPr="003B71E0" w14:paraId="0EC1A5E2" w14:textId="77777777" w:rsidTr="008B4733">
        <w:tc>
          <w:tcPr>
            <w:tcW w:w="14283" w:type="dxa"/>
            <w:gridSpan w:val="7"/>
            <w:tcBorders>
              <w:top w:val="single" w:sz="6" w:space="0" w:color="000000"/>
              <w:left w:val="single" w:sz="6" w:space="0" w:color="000000"/>
              <w:bottom w:val="single" w:sz="6" w:space="0" w:color="000000"/>
            </w:tcBorders>
          </w:tcPr>
          <w:p w14:paraId="0EC1A5E1" w14:textId="77777777" w:rsidR="001F5F72" w:rsidRPr="001F5F72" w:rsidRDefault="00844F3D" w:rsidP="00844F3D">
            <w:pPr>
              <w:pStyle w:val="naisf"/>
              <w:spacing w:before="0" w:after="0"/>
              <w:ind w:firstLine="0"/>
              <w:jc w:val="center"/>
              <w:rPr>
                <w:b/>
              </w:rPr>
            </w:pPr>
            <w:r>
              <w:rPr>
                <w:b/>
              </w:rPr>
              <w:t>Latvijas Logopēdu asociācija</w:t>
            </w:r>
          </w:p>
        </w:tc>
      </w:tr>
      <w:tr w:rsidR="002C4874" w:rsidRPr="00712B66" w14:paraId="0EC1A5E9" w14:textId="77777777" w:rsidTr="008B4733">
        <w:tc>
          <w:tcPr>
            <w:tcW w:w="708" w:type="dxa"/>
            <w:tcBorders>
              <w:left w:val="single" w:sz="6" w:space="0" w:color="000000"/>
              <w:bottom w:val="single" w:sz="4" w:space="0" w:color="auto"/>
              <w:right w:val="single" w:sz="6" w:space="0" w:color="000000"/>
            </w:tcBorders>
          </w:tcPr>
          <w:p w14:paraId="0EC1A5E3" w14:textId="77777777" w:rsidR="002C4874" w:rsidRDefault="002C4874" w:rsidP="002C4874">
            <w:pPr>
              <w:pStyle w:val="naisc"/>
              <w:spacing w:before="0" w:after="0"/>
            </w:pPr>
            <w:r>
              <w:t>1.</w:t>
            </w:r>
          </w:p>
        </w:tc>
        <w:tc>
          <w:tcPr>
            <w:tcW w:w="3531" w:type="dxa"/>
            <w:gridSpan w:val="2"/>
            <w:tcBorders>
              <w:left w:val="single" w:sz="6" w:space="0" w:color="000000"/>
              <w:bottom w:val="single" w:sz="4" w:space="0" w:color="auto"/>
              <w:right w:val="single" w:sz="6" w:space="0" w:color="000000"/>
            </w:tcBorders>
          </w:tcPr>
          <w:p w14:paraId="0EC1A5E4" w14:textId="77777777" w:rsidR="002C4874" w:rsidRPr="002C4874" w:rsidRDefault="002C4874" w:rsidP="00AD224D">
            <w:pPr>
              <w:pStyle w:val="naisc"/>
              <w:spacing w:before="0" w:after="0"/>
              <w:jc w:val="both"/>
              <w:rPr>
                <w:bCs/>
              </w:rPr>
            </w:pPr>
            <w:r>
              <w:t>"8.5. finansējumu bērnu no piecu gadu vecuma izglītošanā nodarbināto logopēdu darba samaksai, nosakot vienu amata likmi uz 200 bērniem no piecu gadu vecuma līdz pamatizglītības uzsākšanai;"</w:t>
            </w:r>
          </w:p>
        </w:tc>
        <w:tc>
          <w:tcPr>
            <w:tcW w:w="4245" w:type="dxa"/>
            <w:tcBorders>
              <w:left w:val="single" w:sz="6" w:space="0" w:color="000000"/>
              <w:bottom w:val="single" w:sz="4" w:space="0" w:color="auto"/>
              <w:right w:val="single" w:sz="6" w:space="0" w:color="000000"/>
            </w:tcBorders>
          </w:tcPr>
          <w:p w14:paraId="0EC1A5E5" w14:textId="77777777" w:rsidR="002C4874" w:rsidRPr="00712B66" w:rsidRDefault="002C4874" w:rsidP="00AD224D">
            <w:pPr>
              <w:pStyle w:val="naisc"/>
              <w:spacing w:before="0" w:after="0"/>
              <w:jc w:val="both"/>
            </w:pPr>
            <w:r w:rsidRPr="004A75B6">
              <w:t>Veikt izmaiņas 05.07.2016. MK noteikumu Nr. 447 “Par valsts budžeta mērķdotāciju pedagogu darba samaksai pašvaldību vispārējās izglītības iestādēs un valsts augstskolu vispārējās vidējās izglītības iestādēs” 8.5. punktā, nosakot vienu skolotāja logopēda amata likmi uz 100 bērniem no piecu gadu vecuma līdz pamatizglītības uzsākšanai.</w:t>
            </w:r>
          </w:p>
        </w:tc>
        <w:tc>
          <w:tcPr>
            <w:tcW w:w="3000" w:type="dxa"/>
            <w:gridSpan w:val="2"/>
            <w:tcBorders>
              <w:left w:val="single" w:sz="6" w:space="0" w:color="000000"/>
              <w:bottom w:val="single" w:sz="4" w:space="0" w:color="auto"/>
              <w:right w:val="single" w:sz="6" w:space="0" w:color="000000"/>
            </w:tcBorders>
          </w:tcPr>
          <w:p w14:paraId="0EC1A5E6" w14:textId="77777777" w:rsidR="002C4874" w:rsidRPr="002C4874" w:rsidRDefault="002C4874" w:rsidP="00AD224D">
            <w:pPr>
              <w:pStyle w:val="naisc"/>
              <w:spacing w:before="0" w:after="0"/>
              <w:jc w:val="both"/>
              <w:rPr>
                <w:b/>
                <w:bCs/>
              </w:rPr>
            </w:pPr>
            <w:r>
              <w:rPr>
                <w:b/>
                <w:bCs/>
              </w:rPr>
              <w:t>Daļēji ņemts vērā.</w:t>
            </w:r>
          </w:p>
          <w:p w14:paraId="0EC1A5E7" w14:textId="77777777" w:rsidR="002C4874" w:rsidRPr="00712B66" w:rsidRDefault="002C4874" w:rsidP="00AD224D">
            <w:pPr>
              <w:pStyle w:val="naisc"/>
              <w:spacing w:before="0" w:after="0"/>
              <w:jc w:val="both"/>
            </w:pPr>
            <w:r>
              <w:t>Pilnveidotais pedagogu darba samaksas modelis paredz sākot ar 2022</w:t>
            </w:r>
            <w:r w:rsidR="00C207D5">
              <w:t>./2023. mācību gadu vienu logopē</w:t>
            </w:r>
            <w:r>
              <w:t>da amata likmi uz 160 bērniem.</w:t>
            </w:r>
          </w:p>
        </w:tc>
        <w:tc>
          <w:tcPr>
            <w:tcW w:w="2799" w:type="dxa"/>
            <w:tcBorders>
              <w:top w:val="single" w:sz="4" w:space="0" w:color="auto"/>
              <w:left w:val="single" w:sz="4" w:space="0" w:color="auto"/>
              <w:bottom w:val="single" w:sz="4" w:space="0" w:color="auto"/>
            </w:tcBorders>
          </w:tcPr>
          <w:p w14:paraId="0EC1A5E8" w14:textId="77777777" w:rsidR="002C4874" w:rsidRPr="00712B66" w:rsidRDefault="002C4874" w:rsidP="00AD224D">
            <w:pPr>
              <w:jc w:val="both"/>
            </w:pPr>
            <w:r>
              <w:t>"8.5. finansējumu bērnu no piecu gadu vecuma izglītošanā nodarbināto logopēdu darba samaksai, nosakot vienu amata likmi uz 200 bērniem no piecu gadu vecuma līdz pamatizglītības uzsākšanai;"</w:t>
            </w:r>
          </w:p>
        </w:tc>
      </w:tr>
      <w:tr w:rsidR="002C4874" w:rsidRPr="00712B66" w14:paraId="0EC1A5F3" w14:textId="77777777" w:rsidTr="008B4733">
        <w:tc>
          <w:tcPr>
            <w:tcW w:w="708" w:type="dxa"/>
            <w:tcBorders>
              <w:left w:val="single" w:sz="6" w:space="0" w:color="000000"/>
              <w:bottom w:val="single" w:sz="4" w:space="0" w:color="auto"/>
              <w:right w:val="single" w:sz="6" w:space="0" w:color="000000"/>
            </w:tcBorders>
          </w:tcPr>
          <w:p w14:paraId="0EC1A5EA" w14:textId="77777777" w:rsidR="002C4874" w:rsidRDefault="002C4874" w:rsidP="002C4874">
            <w:pPr>
              <w:pStyle w:val="naisc"/>
              <w:spacing w:before="0" w:after="0"/>
            </w:pPr>
            <w:r>
              <w:lastRenderedPageBreak/>
              <w:t>2.</w:t>
            </w:r>
          </w:p>
        </w:tc>
        <w:tc>
          <w:tcPr>
            <w:tcW w:w="3531" w:type="dxa"/>
            <w:gridSpan w:val="2"/>
            <w:tcBorders>
              <w:left w:val="single" w:sz="6" w:space="0" w:color="000000"/>
              <w:bottom w:val="single" w:sz="4" w:space="0" w:color="auto"/>
              <w:right w:val="single" w:sz="6" w:space="0" w:color="000000"/>
            </w:tcBorders>
          </w:tcPr>
          <w:p w14:paraId="0EC1A5EB" w14:textId="77777777" w:rsidR="002C4874" w:rsidRPr="009E72F1" w:rsidRDefault="002C4874" w:rsidP="00AD224D">
            <w:pPr>
              <w:pStyle w:val="naisc"/>
              <w:spacing w:before="0" w:after="0"/>
              <w:jc w:val="both"/>
              <w:rPr>
                <w:b/>
              </w:rPr>
            </w:pPr>
          </w:p>
        </w:tc>
        <w:tc>
          <w:tcPr>
            <w:tcW w:w="4245" w:type="dxa"/>
            <w:tcBorders>
              <w:left w:val="single" w:sz="6" w:space="0" w:color="000000"/>
              <w:bottom w:val="single" w:sz="4" w:space="0" w:color="auto"/>
              <w:right w:val="single" w:sz="6" w:space="0" w:color="000000"/>
            </w:tcBorders>
          </w:tcPr>
          <w:p w14:paraId="0EC1A5EC" w14:textId="77777777" w:rsidR="002C4874" w:rsidRDefault="002C4874" w:rsidP="00AD224D">
            <w:pPr>
              <w:pStyle w:val="naisc"/>
              <w:jc w:val="both"/>
            </w:pPr>
            <w:r>
              <w:t>Normatīvajos aktos vai IZM apstiprinātajās vadlīnijās (vai ieteikumos) pašvaldībām iestrādāt  maksimālo bērnu skaitu pirmsskolas izglītības iestādēs un maksimālo izglītojamo skaitu pamatizglītības iestādēs uz vienu skolotāja logopēda amata slodzi:</w:t>
            </w:r>
          </w:p>
          <w:p w14:paraId="0EC1A5ED" w14:textId="77777777" w:rsidR="002C4874" w:rsidRDefault="002C4874" w:rsidP="00AD224D">
            <w:pPr>
              <w:pStyle w:val="naisc"/>
              <w:jc w:val="both"/>
            </w:pPr>
            <w:r>
              <w:t xml:space="preserve">1)vispārizglītojošā pirmsskolas izglītības iestādē: 21-24 izglītojamie uz vienu skolotāja logopēda amata slodzi, </w:t>
            </w:r>
          </w:p>
          <w:p w14:paraId="0EC1A5EE" w14:textId="77777777" w:rsidR="002C4874" w:rsidRDefault="002C4874" w:rsidP="00AD224D">
            <w:pPr>
              <w:pStyle w:val="naisc"/>
              <w:jc w:val="both"/>
            </w:pPr>
            <w:r>
              <w:t>2)speciālās pirmsskolas izglītības iestādē/grupā vai vispārizglītojošā pirmsskolas izglītības iestādē integrētiem/iekļautiem izglītojamajiem ar speciālām vajadzībām: 12-14 izglītojamie uz vienu skolotāja logopēda amata slodzi,</w:t>
            </w:r>
          </w:p>
          <w:p w14:paraId="0EC1A5EF" w14:textId="77777777" w:rsidR="002C4874" w:rsidRDefault="002C4874" w:rsidP="00AD224D">
            <w:pPr>
              <w:pStyle w:val="naisc"/>
              <w:jc w:val="both"/>
            </w:pPr>
            <w:r>
              <w:t>3)vispārizglītojošā skolā: 30-35 izglītojamie uz vienu skolotāja logopēda amata slodzi,</w:t>
            </w:r>
          </w:p>
          <w:p w14:paraId="0EC1A5F0" w14:textId="77777777" w:rsidR="002C4874" w:rsidRPr="00712B66" w:rsidRDefault="002C4874" w:rsidP="00AD224D">
            <w:pPr>
              <w:pStyle w:val="naisc"/>
              <w:spacing w:before="0" w:after="0"/>
              <w:jc w:val="both"/>
            </w:pPr>
            <w:r>
              <w:t>4)speciālās skolās vai vispārizglītojošā skolā integrētiem/iekļautiem izglītojamajiem ar speciālām vajadzībām: 14-17 izglītojamie uz vienu skolotāja logopēda amata slodzi.</w:t>
            </w:r>
          </w:p>
        </w:tc>
        <w:tc>
          <w:tcPr>
            <w:tcW w:w="3000" w:type="dxa"/>
            <w:gridSpan w:val="2"/>
            <w:tcBorders>
              <w:left w:val="single" w:sz="6" w:space="0" w:color="000000"/>
              <w:bottom w:val="single" w:sz="4" w:space="0" w:color="auto"/>
              <w:right w:val="single" w:sz="6" w:space="0" w:color="000000"/>
            </w:tcBorders>
          </w:tcPr>
          <w:p w14:paraId="0EC1A5F1" w14:textId="77777777" w:rsidR="002C4874" w:rsidRPr="00712B66" w:rsidRDefault="002C4874" w:rsidP="00AD224D">
            <w:pPr>
              <w:pStyle w:val="naisc"/>
              <w:spacing w:before="0" w:after="0"/>
              <w:jc w:val="both"/>
            </w:pPr>
            <w:r>
              <w:rPr>
                <w:b/>
                <w:bCs/>
              </w:rPr>
              <w:t xml:space="preserve">Uz noteikumu projektu neattiecas, </w:t>
            </w:r>
            <w:r w:rsidRPr="002C4874">
              <w:t>taču sarunās ar LLA pārstāvi sniegta rekomendācija</w:t>
            </w:r>
            <w:r>
              <w:t xml:space="preserve"> veidot nozares vadlīnijas, t.sk. to izstrādē sadarboties ar Latvijas Izglītības vadītāju asociāciju, jo virzība vadlīniju ieviešanā būtu daudz sekmīgāka tieši veidojot ciešāku sadarbību starp logopēdiem un izglītības iestāžu vadītājiem. </w:t>
            </w:r>
          </w:p>
        </w:tc>
        <w:tc>
          <w:tcPr>
            <w:tcW w:w="2799" w:type="dxa"/>
            <w:tcBorders>
              <w:top w:val="single" w:sz="4" w:space="0" w:color="auto"/>
              <w:left w:val="single" w:sz="4" w:space="0" w:color="auto"/>
              <w:bottom w:val="single" w:sz="4" w:space="0" w:color="auto"/>
            </w:tcBorders>
          </w:tcPr>
          <w:p w14:paraId="0EC1A5F2" w14:textId="77777777" w:rsidR="002C4874" w:rsidRPr="00712B66" w:rsidRDefault="002C4874" w:rsidP="00AD224D">
            <w:pPr>
              <w:jc w:val="both"/>
            </w:pPr>
          </w:p>
        </w:tc>
      </w:tr>
      <w:tr w:rsidR="002C4874" w:rsidRPr="00712B66" w14:paraId="0EC1A5F5" w14:textId="77777777" w:rsidTr="008B4733">
        <w:trPr>
          <w:trHeight w:val="300"/>
        </w:trPr>
        <w:tc>
          <w:tcPr>
            <w:tcW w:w="14283" w:type="dxa"/>
            <w:gridSpan w:val="7"/>
            <w:tcBorders>
              <w:left w:val="single" w:sz="6" w:space="0" w:color="000000"/>
              <w:bottom w:val="single" w:sz="4" w:space="0" w:color="auto"/>
            </w:tcBorders>
          </w:tcPr>
          <w:p w14:paraId="0EC1A5F4" w14:textId="77777777" w:rsidR="002C4874" w:rsidRPr="003542BD" w:rsidRDefault="002C4874" w:rsidP="002C4874">
            <w:pPr>
              <w:jc w:val="center"/>
              <w:rPr>
                <w:b/>
                <w:sz w:val="22"/>
                <w:szCs w:val="22"/>
              </w:rPr>
            </w:pPr>
            <w:r>
              <w:rPr>
                <w:b/>
                <w:sz w:val="22"/>
                <w:szCs w:val="22"/>
              </w:rPr>
              <w:t>Finanšu ministrija</w:t>
            </w:r>
          </w:p>
        </w:tc>
      </w:tr>
      <w:tr w:rsidR="00DC4CB4" w:rsidRPr="00712B66" w14:paraId="0EC1A603" w14:textId="77777777" w:rsidTr="008B4733">
        <w:tc>
          <w:tcPr>
            <w:tcW w:w="708" w:type="dxa"/>
            <w:tcBorders>
              <w:left w:val="single" w:sz="6" w:space="0" w:color="000000"/>
              <w:bottom w:val="single" w:sz="4" w:space="0" w:color="auto"/>
              <w:right w:val="single" w:sz="6" w:space="0" w:color="000000"/>
            </w:tcBorders>
          </w:tcPr>
          <w:p w14:paraId="0EC1A5F6" w14:textId="77777777" w:rsidR="00DC4CB4" w:rsidRDefault="00DC4CB4" w:rsidP="00DC4CB4">
            <w:pPr>
              <w:pStyle w:val="naisc"/>
              <w:spacing w:before="0" w:after="0"/>
            </w:pPr>
            <w:r>
              <w:t>3.</w:t>
            </w:r>
          </w:p>
        </w:tc>
        <w:tc>
          <w:tcPr>
            <w:tcW w:w="3531" w:type="dxa"/>
            <w:gridSpan w:val="2"/>
            <w:tcBorders>
              <w:left w:val="single" w:sz="6" w:space="0" w:color="000000"/>
              <w:bottom w:val="single" w:sz="4" w:space="0" w:color="auto"/>
              <w:right w:val="single" w:sz="6" w:space="0" w:color="000000"/>
            </w:tcBorders>
          </w:tcPr>
          <w:p w14:paraId="0EC1A5F7" w14:textId="77777777" w:rsidR="00DC4CB4" w:rsidRDefault="00DC4CB4" w:rsidP="00DC4CB4">
            <w:pPr>
              <w:shd w:val="clear" w:color="auto" w:fill="FFFFFF"/>
              <w:spacing w:line="276" w:lineRule="auto"/>
              <w:jc w:val="both"/>
              <w:rPr>
                <w:color w:val="000000"/>
              </w:rPr>
            </w:pPr>
            <w:r>
              <w:rPr>
                <w:color w:val="000000"/>
              </w:rPr>
              <w:t>Anotācijas III sadaļas 8.punkta otrais paragrāfs:</w:t>
            </w:r>
          </w:p>
          <w:p w14:paraId="0EC1A5F8" w14:textId="77777777" w:rsidR="00DC4CB4" w:rsidRDefault="00DC4CB4" w:rsidP="00DC4CB4">
            <w:pPr>
              <w:shd w:val="clear" w:color="auto" w:fill="FFFFFF"/>
              <w:spacing w:line="276" w:lineRule="auto"/>
              <w:jc w:val="both"/>
              <w:rPr>
                <w:color w:val="000000"/>
              </w:rPr>
            </w:pPr>
            <w:r>
              <w:rPr>
                <w:color w:val="000000"/>
              </w:rPr>
              <w:t>"</w:t>
            </w:r>
            <w:r w:rsidRPr="00DC4CB4">
              <w:rPr>
                <w:color w:val="000000"/>
              </w:rPr>
              <w:t xml:space="preserve">Projekts tiks īstenots valsts budžeta resora “62. Mērķdotācijas pašvaldībām” programmu, kuras administrē Izglītības un zinātnes </w:t>
            </w:r>
            <w:r w:rsidRPr="00DC4CB4">
              <w:rPr>
                <w:color w:val="000000"/>
              </w:rPr>
              <w:lastRenderedPageBreak/>
              <w:t>ministrija, apstiprinātā finansējuma ietvaros. Projektā plānotās izmaiņas veido indikatīvu finanšu ietaupījumu, ko plānots novirzīt izglītojamo skaita un struktūras izmaiņu finansiālās ietekmes mazināšanai.</w:t>
            </w:r>
            <w:r>
              <w:rPr>
                <w:color w:val="000000"/>
              </w:rPr>
              <w:t>"</w:t>
            </w:r>
          </w:p>
          <w:p w14:paraId="0EC1A5F9" w14:textId="77777777" w:rsidR="00DC4CB4" w:rsidRPr="00155D66" w:rsidRDefault="00DC4CB4" w:rsidP="00DC4CB4">
            <w:pPr>
              <w:pStyle w:val="naisc"/>
              <w:spacing w:before="0" w:after="0"/>
              <w:jc w:val="both"/>
            </w:pPr>
          </w:p>
        </w:tc>
        <w:tc>
          <w:tcPr>
            <w:tcW w:w="4245" w:type="dxa"/>
            <w:tcBorders>
              <w:left w:val="single" w:sz="6" w:space="0" w:color="000000"/>
              <w:bottom w:val="single" w:sz="4" w:space="0" w:color="auto"/>
              <w:right w:val="single" w:sz="6" w:space="0" w:color="000000"/>
            </w:tcBorders>
          </w:tcPr>
          <w:p w14:paraId="0EC1A5FA" w14:textId="77777777" w:rsidR="00DC4CB4" w:rsidRPr="00712B66" w:rsidRDefault="00DC4CB4" w:rsidP="00DC4CB4">
            <w:pPr>
              <w:pStyle w:val="naisc"/>
              <w:spacing w:before="0" w:after="0"/>
              <w:jc w:val="both"/>
            </w:pPr>
            <w:r w:rsidRPr="0013603E">
              <w:lastRenderedPageBreak/>
              <w:t xml:space="preserve">Ņemot vērā, ka noteikumu projekts paredz papildināt MK noteikumus Nr.447 ar jaunu 7.7.1 apakšpunktu, piemērojot jaunu aprēķina koeficientu 0,1 apmērā attiecībā uz izglītojamiem, kas pamatizglītības (izņemot speciālās pamatizglītības) pirmā posma izglītības </w:t>
            </w:r>
            <w:r w:rsidRPr="0013603E">
              <w:lastRenderedPageBreak/>
              <w:t>programmas daļā paredzēto mācību saturu apgūst ģimenē, lūdzam papildināt anotāciju, norādot finansējuma avotu, kā Izglītības un zinātnes ministrija to plāno nodrošināt. Papildus lūdzam norādīt indikatīvā ietaupījuma apmēru, ņemot vērā noteikumu projekta anotācijas III sadaļas 8.punktā minēto, ka projektā plānotās izmaiņas veido indikatīvu finanšu ietaupījumu.</w:t>
            </w:r>
          </w:p>
        </w:tc>
        <w:tc>
          <w:tcPr>
            <w:tcW w:w="3000" w:type="dxa"/>
            <w:gridSpan w:val="2"/>
            <w:tcBorders>
              <w:left w:val="single" w:sz="6" w:space="0" w:color="000000"/>
              <w:bottom w:val="single" w:sz="4" w:space="0" w:color="auto"/>
              <w:right w:val="single" w:sz="6" w:space="0" w:color="000000"/>
            </w:tcBorders>
          </w:tcPr>
          <w:p w14:paraId="0EC1A5FB" w14:textId="77777777" w:rsidR="00DC4CB4" w:rsidRPr="008314F1" w:rsidRDefault="00DC4CB4" w:rsidP="00DC4CB4">
            <w:pPr>
              <w:pStyle w:val="naisc"/>
              <w:spacing w:before="0" w:after="0"/>
              <w:jc w:val="left"/>
              <w:rPr>
                <w:b/>
              </w:rPr>
            </w:pPr>
            <w:r>
              <w:rPr>
                <w:b/>
              </w:rPr>
              <w:lastRenderedPageBreak/>
              <w:t>Ņemts vērā.</w:t>
            </w:r>
          </w:p>
          <w:p w14:paraId="0EC1A5FC" w14:textId="77777777" w:rsidR="00DC4CB4" w:rsidRDefault="00DC4CB4" w:rsidP="00DC4CB4">
            <w:pPr>
              <w:pStyle w:val="naisc"/>
              <w:spacing w:before="0" w:after="0"/>
              <w:jc w:val="both"/>
            </w:pPr>
            <w:r>
              <w:t>Noteikumu p</w:t>
            </w:r>
            <w:r w:rsidRPr="008314F1">
              <w:t xml:space="preserve">rojekts tiks </w:t>
            </w:r>
            <w:r>
              <w:t>īstenots valsts budžeta resora "</w:t>
            </w:r>
            <w:r w:rsidRPr="008314F1">
              <w:t>62. Mērķdotācijas pašvaldībām</w:t>
            </w:r>
            <w:r>
              <w:t>"</w:t>
            </w:r>
            <w:r w:rsidRPr="008314F1">
              <w:t xml:space="preserve"> programmu, kuras administrē Izglītības un zinātnes ministrija, </w:t>
            </w:r>
            <w:r w:rsidRPr="008314F1">
              <w:lastRenderedPageBreak/>
              <w:t xml:space="preserve">apstiprinātā finansējuma ietvaros. </w:t>
            </w:r>
            <w:r>
              <w:t>Noteikumu p</w:t>
            </w:r>
            <w:r w:rsidRPr="008314F1">
              <w:t>rojektā plānotās izmaiņas veido indikatīvu finanšu ietaupījumu, ko plānots novirzīt izglītojamo skaita un struktūras izmaiņu finansiālās ietekmes mazināšanai, kā arī finansējuma nodrošināšanai izglītojamiem, kuri mācību saturu apgūs ģimenē.</w:t>
            </w:r>
            <w:r>
              <w:t xml:space="preserve"> Atbilstoši tiek precizēts anotācijas III sadaļas 8. punkta otrais paragrāfs.</w:t>
            </w:r>
          </w:p>
          <w:p w14:paraId="0EC1A5FD" w14:textId="77777777" w:rsidR="00DC4CB4" w:rsidRDefault="00DC4CB4" w:rsidP="00DC4CB4">
            <w:pPr>
              <w:pStyle w:val="naisc"/>
              <w:spacing w:before="0" w:after="0"/>
              <w:jc w:val="left"/>
              <w:rPr>
                <w:rFonts w:ascii="Cambria" w:hAnsi="Cambria"/>
                <w:color w:val="1F3864"/>
              </w:rPr>
            </w:pPr>
          </w:p>
          <w:p w14:paraId="0EC1A5FE" w14:textId="77777777" w:rsidR="00DC4CB4" w:rsidRDefault="00DC4CB4" w:rsidP="00DC4CB4">
            <w:pPr>
              <w:pStyle w:val="naisc"/>
              <w:spacing w:before="0" w:after="0"/>
              <w:jc w:val="left"/>
              <w:rPr>
                <w:rFonts w:ascii="Cambria" w:hAnsi="Cambria"/>
                <w:color w:val="1F3864"/>
              </w:rPr>
            </w:pPr>
          </w:p>
          <w:p w14:paraId="0EC1A5FF" w14:textId="77777777" w:rsidR="00DC4CB4" w:rsidRPr="00712B66" w:rsidRDefault="00DC4CB4" w:rsidP="00DC4CB4">
            <w:pPr>
              <w:pStyle w:val="naisc"/>
              <w:spacing w:before="0" w:after="0"/>
              <w:jc w:val="left"/>
            </w:pPr>
          </w:p>
        </w:tc>
        <w:tc>
          <w:tcPr>
            <w:tcW w:w="2799" w:type="dxa"/>
            <w:tcBorders>
              <w:top w:val="single" w:sz="4" w:space="0" w:color="auto"/>
              <w:left w:val="single" w:sz="4" w:space="0" w:color="auto"/>
              <w:bottom w:val="single" w:sz="4" w:space="0" w:color="auto"/>
            </w:tcBorders>
          </w:tcPr>
          <w:p w14:paraId="0EC1A600" w14:textId="77777777" w:rsidR="00DC4CB4" w:rsidRDefault="00DC4CB4" w:rsidP="00DC4CB4">
            <w:pPr>
              <w:shd w:val="clear" w:color="auto" w:fill="FFFFFF"/>
              <w:spacing w:line="276" w:lineRule="auto"/>
              <w:jc w:val="both"/>
              <w:rPr>
                <w:color w:val="000000"/>
              </w:rPr>
            </w:pPr>
            <w:r>
              <w:rPr>
                <w:color w:val="000000"/>
              </w:rPr>
              <w:lastRenderedPageBreak/>
              <w:t>Anotācijas III sadaļas 8.punkta otrais paragrāfs:</w:t>
            </w:r>
          </w:p>
          <w:p w14:paraId="0EC1A601" w14:textId="77777777" w:rsidR="00DC4CB4" w:rsidRDefault="00DC4CB4" w:rsidP="00DC4CB4">
            <w:pPr>
              <w:shd w:val="clear" w:color="auto" w:fill="FFFFFF"/>
              <w:spacing w:line="276" w:lineRule="auto"/>
              <w:jc w:val="both"/>
              <w:rPr>
                <w:color w:val="000000"/>
              </w:rPr>
            </w:pPr>
            <w:r>
              <w:rPr>
                <w:color w:val="000000"/>
              </w:rPr>
              <w:t>"</w:t>
            </w:r>
            <w:r w:rsidRPr="00DC4CB4">
              <w:rPr>
                <w:color w:val="000000"/>
              </w:rPr>
              <w:t xml:space="preserve">Projekts tiks īstenots valsts budžeta resora “62. Mērķdotācijas pašvaldībām” programmu, </w:t>
            </w:r>
            <w:r w:rsidRPr="00DC4CB4">
              <w:rPr>
                <w:color w:val="000000"/>
              </w:rPr>
              <w:lastRenderedPageBreak/>
              <w:t>kuras administrē Izglītības un zinātnes ministrija, apstiprinātā finansējuma ietvaros. Projektā plānotās izmaiņas veido indikatīvu finanšu ietaupījumu, ko plānots novirzīt izglītojamo skaita un struktūras izmaiņu finansiālās ietekmes mazināšanai, kā arī finansējuma nodrošināšana izglītojamiem, kuri mācību saturu apgūs ģimenē.</w:t>
            </w:r>
            <w:r>
              <w:rPr>
                <w:color w:val="000000"/>
              </w:rPr>
              <w:t>"</w:t>
            </w:r>
          </w:p>
          <w:p w14:paraId="0EC1A602" w14:textId="77777777" w:rsidR="00DC4CB4" w:rsidRPr="00712B66" w:rsidRDefault="00DC4CB4" w:rsidP="00DC4CB4"/>
        </w:tc>
      </w:tr>
      <w:tr w:rsidR="00DC4CB4" w:rsidRPr="00712B66" w14:paraId="0EC1A605" w14:textId="77777777" w:rsidTr="008B4733">
        <w:tc>
          <w:tcPr>
            <w:tcW w:w="14283" w:type="dxa"/>
            <w:gridSpan w:val="7"/>
            <w:tcBorders>
              <w:left w:val="single" w:sz="6" w:space="0" w:color="000000"/>
              <w:bottom w:val="single" w:sz="4" w:space="0" w:color="auto"/>
            </w:tcBorders>
          </w:tcPr>
          <w:p w14:paraId="0EC1A604" w14:textId="77777777" w:rsidR="00DC4CB4" w:rsidRPr="00AF6320" w:rsidRDefault="00DC4CB4" w:rsidP="00DC4CB4">
            <w:pPr>
              <w:jc w:val="center"/>
              <w:rPr>
                <w:b/>
              </w:rPr>
            </w:pPr>
            <w:r>
              <w:rPr>
                <w:b/>
              </w:rPr>
              <w:lastRenderedPageBreak/>
              <w:t>Tieslietu ministrija</w:t>
            </w:r>
          </w:p>
        </w:tc>
      </w:tr>
      <w:tr w:rsidR="00DC4CB4" w:rsidRPr="00712B66" w14:paraId="0EC1A60E" w14:textId="77777777" w:rsidTr="008B4733">
        <w:tc>
          <w:tcPr>
            <w:tcW w:w="708" w:type="dxa"/>
            <w:tcBorders>
              <w:left w:val="single" w:sz="6" w:space="0" w:color="000000"/>
              <w:bottom w:val="single" w:sz="4" w:space="0" w:color="auto"/>
              <w:right w:val="single" w:sz="6" w:space="0" w:color="000000"/>
            </w:tcBorders>
          </w:tcPr>
          <w:p w14:paraId="0EC1A606" w14:textId="77777777" w:rsidR="00DC4CB4" w:rsidRDefault="00862A25" w:rsidP="00DC4CB4">
            <w:pPr>
              <w:pStyle w:val="naisc"/>
              <w:spacing w:before="0" w:after="0"/>
            </w:pPr>
            <w:r>
              <w:t>4</w:t>
            </w:r>
            <w:r w:rsidR="00DC4CB4">
              <w:t>.</w:t>
            </w:r>
          </w:p>
        </w:tc>
        <w:tc>
          <w:tcPr>
            <w:tcW w:w="3531" w:type="dxa"/>
            <w:gridSpan w:val="2"/>
            <w:tcBorders>
              <w:left w:val="single" w:sz="6" w:space="0" w:color="000000"/>
              <w:bottom w:val="single" w:sz="4" w:space="0" w:color="auto"/>
              <w:right w:val="single" w:sz="6" w:space="0" w:color="000000"/>
            </w:tcBorders>
          </w:tcPr>
          <w:p w14:paraId="0EC1A607" w14:textId="77777777" w:rsidR="00DC4CB4" w:rsidRPr="00A83C92" w:rsidRDefault="00DC4CB4" w:rsidP="00DC4CB4">
            <w:pPr>
              <w:shd w:val="clear" w:color="auto" w:fill="FFFFFF"/>
              <w:spacing w:line="276" w:lineRule="auto"/>
              <w:jc w:val="both"/>
              <w:rPr>
                <w:color w:val="000000"/>
              </w:rPr>
            </w:pPr>
            <w:r w:rsidRPr="003E1BCF">
              <w:rPr>
                <w:color w:val="000000"/>
              </w:rPr>
              <w:t xml:space="preserve">1.5. aizstāt 9.7. apakšpunktā vārdus </w:t>
            </w:r>
            <w:r>
              <w:rPr>
                <w:color w:val="000000"/>
              </w:rPr>
              <w:t>"republikas pilsētās" ar vārdu  "</w:t>
            </w:r>
            <w:r w:rsidRPr="003E1BCF">
              <w:rPr>
                <w:color w:val="000000"/>
              </w:rPr>
              <w:t>valstspilsētās</w:t>
            </w:r>
            <w:r>
              <w:rPr>
                <w:color w:val="000000"/>
              </w:rPr>
              <w:t>"</w:t>
            </w:r>
          </w:p>
        </w:tc>
        <w:tc>
          <w:tcPr>
            <w:tcW w:w="4245" w:type="dxa"/>
            <w:tcBorders>
              <w:left w:val="single" w:sz="6" w:space="0" w:color="000000"/>
              <w:bottom w:val="single" w:sz="4" w:space="0" w:color="auto"/>
              <w:right w:val="single" w:sz="6" w:space="0" w:color="000000"/>
            </w:tcBorders>
          </w:tcPr>
          <w:p w14:paraId="0EC1A608" w14:textId="77777777" w:rsidR="00DC4CB4" w:rsidRPr="00AF6320" w:rsidRDefault="00DC4CB4" w:rsidP="00DC4CB4">
            <w:pPr>
              <w:pStyle w:val="CommentText"/>
              <w:jc w:val="both"/>
              <w:rPr>
                <w:color w:val="000000"/>
                <w:sz w:val="24"/>
                <w:szCs w:val="24"/>
                <w:shd w:val="clear" w:color="auto" w:fill="FFFFFF"/>
              </w:rPr>
            </w:pPr>
            <w:r w:rsidRPr="00AF6320">
              <w:rPr>
                <w:sz w:val="24"/>
              </w:rPr>
              <w:t xml:space="preserve">Projekta 1.5. apakšpunkts paredz aizstāt Ministru kabineta 2016. gada 5. jūlija noteikumu Nr. 447 "Par valsts budžeta mērķdotāciju pedagogu darba samaksai pašvaldību vispārējās izglītības iestādēs un valsts augstskolu vispārējās vidējās izglītības iestādēs" (turpmāk – noteikumi) 9.7. apakšpunktā vārdus "republikas pilsētas" ar vārdu  "valstspilsētas". Noteikumu 9. punktā ir minēti arī novadi. Vēršam uzmanību, ka saskaņā ar Administratīvo teritoriju un apdzīvoto vietu likuma pielikumu ir septiņas valstspilsētu pašvaldības un novadu </w:t>
            </w:r>
            <w:r w:rsidRPr="00AF6320">
              <w:rPr>
                <w:sz w:val="24"/>
              </w:rPr>
              <w:lastRenderedPageBreak/>
              <w:t>pašvaldības, no kurām trīs novadu pašvaldību sastāvā ir trīs valstspilsētas. No projekta 1.5. apakšpunktā un noteikumu 9. punktā ietvertā regulējuma nav skaidrs, kāds regulējums tiks attiecināts uz Jēkabpils novadu un Jēkabpils valstspilsētu, Ogres novadu un Ogres valstspilsētu un Valmieras novadu un Valmieras valstspilsētu. Proti, Jēkabpils, Ogres un Valmieras valstspilsētas nav atsevišķas pašvaldības, tās ir attiecīgo novadu sastāvā. Līdz ar to ir nepieciešams skaidrot un nepieciešamības gadījumā papildināt projektu, lai būtu skaidrs, kā tiks piemērots noteikumu 9. punkts (tostarp, pēc projekta spēkā stāšanās) attiecībā uz novadiem, kuru sastāvā ir valstspilsētas. Ņemot vērā minēto, lūdzam papildināt projekta sākotnējās ietekmes novērtējuma ziņojumu (turpmāk – anotācija) ar attiecīgu skaidrojumu un nepieciešamības gadījumā papildināt projektu.</w:t>
            </w:r>
          </w:p>
        </w:tc>
        <w:tc>
          <w:tcPr>
            <w:tcW w:w="3000" w:type="dxa"/>
            <w:gridSpan w:val="2"/>
            <w:tcBorders>
              <w:left w:val="single" w:sz="6" w:space="0" w:color="000000"/>
              <w:bottom w:val="single" w:sz="4" w:space="0" w:color="auto"/>
              <w:right w:val="single" w:sz="6" w:space="0" w:color="000000"/>
            </w:tcBorders>
          </w:tcPr>
          <w:p w14:paraId="0EC1A609" w14:textId="77777777" w:rsidR="00DC4CB4" w:rsidRDefault="00DC4CB4" w:rsidP="00DC4CB4">
            <w:pPr>
              <w:pStyle w:val="naisc"/>
              <w:spacing w:before="0" w:after="0"/>
              <w:jc w:val="left"/>
              <w:rPr>
                <w:b/>
              </w:rPr>
            </w:pPr>
            <w:r>
              <w:rPr>
                <w:b/>
              </w:rPr>
              <w:lastRenderedPageBreak/>
              <w:t>Ņemts vērā.</w:t>
            </w:r>
          </w:p>
          <w:p w14:paraId="0EC1A60A" w14:textId="77777777" w:rsidR="00DC4CB4" w:rsidRPr="00712B66" w:rsidRDefault="00DC4CB4" w:rsidP="00624EC6">
            <w:pPr>
              <w:pStyle w:val="naisc"/>
              <w:spacing w:before="0" w:after="0"/>
              <w:jc w:val="both"/>
            </w:pPr>
            <w:r w:rsidRPr="00C9639E">
              <w:t>Ievērojot</w:t>
            </w:r>
            <w:r w:rsidR="00862A25">
              <w:t xml:space="preserve"> noteikto tvērumu Administratīvo teritoriju un apdzīvoto vietu likumā attiecībā uz trim valstspilsētām – Ogres, Jēkabpils un Valmieras – un šo pilsētu novadiem, pie kuriem tās pieder, arī atbilstoši ir preicizēts noteikumu projekts, kā arī anotācijas I sadaļas 2.punkta </w:t>
            </w:r>
            <w:r w:rsidR="00624EC6">
              <w:t>otrajā paragrāfā</w:t>
            </w:r>
            <w:r w:rsidR="00862A25">
              <w:t xml:space="preserve"> sniegts papildu skaidrojums.</w:t>
            </w:r>
            <w:r>
              <w:t xml:space="preserve"> </w:t>
            </w:r>
          </w:p>
        </w:tc>
        <w:tc>
          <w:tcPr>
            <w:tcW w:w="2799" w:type="dxa"/>
            <w:tcBorders>
              <w:top w:val="single" w:sz="4" w:space="0" w:color="auto"/>
              <w:left w:val="single" w:sz="4" w:space="0" w:color="auto"/>
              <w:bottom w:val="single" w:sz="4" w:space="0" w:color="auto"/>
            </w:tcBorders>
          </w:tcPr>
          <w:p w14:paraId="0EC1A60B" w14:textId="77777777" w:rsidR="00DC4CB4" w:rsidRDefault="00DC4CB4" w:rsidP="00862A25">
            <w:pPr>
              <w:jc w:val="both"/>
            </w:pPr>
            <w:r w:rsidRPr="003E1BCF">
              <w:t>1.5. aizstāt</w:t>
            </w:r>
            <w:r>
              <w:t xml:space="preserve"> 9.7. apakšpunktā vārdus "</w:t>
            </w:r>
            <w:r w:rsidRPr="003E1BCF">
              <w:t>republikas pilsētās</w:t>
            </w:r>
            <w:r>
              <w:t>"</w:t>
            </w:r>
            <w:r w:rsidRPr="003E1BCF">
              <w:t xml:space="preserve"> ar vārdu  </w:t>
            </w:r>
            <w:r>
              <w:t>"</w:t>
            </w:r>
            <w:r w:rsidRPr="003E1BCF">
              <w:t>valstspilsētās, izņemot Ogres, Valmie</w:t>
            </w:r>
            <w:r>
              <w:t>ras un Jēkabpils valstspilsētas"</w:t>
            </w:r>
            <w:r w:rsidRPr="003E1BCF">
              <w:t>;</w:t>
            </w:r>
          </w:p>
          <w:p w14:paraId="0EC1A60C" w14:textId="77777777" w:rsidR="00624EC6" w:rsidRDefault="00624EC6" w:rsidP="00862A25">
            <w:pPr>
              <w:jc w:val="both"/>
            </w:pPr>
            <w:r>
              <w:t>Anotācijas I sadaļas 2.punkta otrais paragrāfs:</w:t>
            </w:r>
          </w:p>
          <w:p w14:paraId="0EC1A60D" w14:textId="77777777" w:rsidR="00624EC6" w:rsidRPr="00624EC6" w:rsidRDefault="00624EC6" w:rsidP="00624EC6">
            <w:pPr>
              <w:pStyle w:val="tv213"/>
              <w:spacing w:before="0" w:beforeAutospacing="0" w:after="0" w:afterAutospacing="0"/>
              <w:jc w:val="both"/>
              <w:rPr>
                <w:color w:val="000000" w:themeColor="text1"/>
              </w:rPr>
            </w:pPr>
            <w:r>
              <w:t>"</w:t>
            </w:r>
            <w:r w:rsidRPr="00602BF4">
              <w:rPr>
                <w:color w:val="000000" w:themeColor="text1"/>
              </w:rPr>
              <w:t xml:space="preserve">Ņemot vērā, ka </w:t>
            </w:r>
            <w:r>
              <w:rPr>
                <w:color w:val="000000" w:themeColor="text1"/>
              </w:rPr>
              <w:t>a</w:t>
            </w:r>
            <w:r w:rsidRPr="00602BF4">
              <w:rPr>
                <w:color w:val="000000" w:themeColor="text1"/>
              </w:rPr>
              <w:t xml:space="preserve">dministratīvi teritoriālās reformas ietvaros ir mainījies administratīvi teritoriālais iedalījums, </w:t>
            </w:r>
            <w:r>
              <w:rPr>
                <w:color w:val="000000" w:themeColor="text1"/>
              </w:rPr>
              <w:t>ir</w:t>
            </w:r>
            <w:r w:rsidRPr="00602BF4">
              <w:rPr>
                <w:color w:val="000000" w:themeColor="text1"/>
              </w:rPr>
              <w:t xml:space="preserve"> </w:t>
            </w:r>
            <w:r w:rsidRPr="00602BF4">
              <w:rPr>
                <w:color w:val="000000" w:themeColor="text1"/>
              </w:rPr>
              <w:lastRenderedPageBreak/>
              <w:t xml:space="preserve">nepieciešams </w:t>
            </w:r>
            <w:r>
              <w:rPr>
                <w:color w:val="000000" w:themeColor="text1"/>
              </w:rPr>
              <w:t xml:space="preserve">arī </w:t>
            </w:r>
            <w:r w:rsidRPr="00602BF4">
              <w:rPr>
                <w:color w:val="000000" w:themeColor="text1"/>
              </w:rPr>
              <w:t xml:space="preserve">Ministru kabineta 2016. gada 5. jūlija noteikumos Nr. 447 </w:t>
            </w:r>
            <w:r>
              <w:rPr>
                <w:color w:val="000000" w:themeColor="text1"/>
              </w:rPr>
              <w:t>"</w:t>
            </w:r>
            <w:r w:rsidRPr="00602BF4">
              <w:rPr>
                <w:color w:val="000000" w:themeColor="text1"/>
              </w:rPr>
              <w:t>Par valsts budžeta mērķdotāciju pedagogu darba samaksai pašvaldību vispārējās izglītības iestādēs un valsts augstskolu vispārējās vidējās izglītības iestādēs</w:t>
            </w:r>
            <w:r>
              <w:rPr>
                <w:color w:val="000000" w:themeColor="text1"/>
              </w:rPr>
              <w:t>"</w:t>
            </w:r>
            <w:r w:rsidRPr="00602BF4">
              <w:rPr>
                <w:color w:val="000000" w:themeColor="text1"/>
              </w:rPr>
              <w:t xml:space="preserve"> (turpmāk – noteikumi Nr. 447) precizēt  administratīvo teritoriju iedalījuma nosaukumus.</w:t>
            </w:r>
            <w:r>
              <w:rPr>
                <w:color w:val="000000" w:themeColor="text1"/>
              </w:rPr>
              <w:t xml:space="preserve"> Tādējādi noteikumu Nr. 447 tekstā tiek aizstāsti vārdi </w:t>
            </w:r>
            <w:r w:rsidRPr="00CF3BA6">
              <w:rPr>
                <w:color w:val="000000" w:themeColor="text1"/>
              </w:rPr>
              <w:t>“</w:t>
            </w:r>
            <w:r>
              <w:rPr>
                <w:color w:val="000000" w:themeColor="text1"/>
              </w:rPr>
              <w:t>republikas pilsētas” ar vārdu  “valstspilsētas</w:t>
            </w:r>
            <w:r w:rsidRPr="00CF3BA6">
              <w:rPr>
                <w:color w:val="000000" w:themeColor="text1"/>
              </w:rPr>
              <w:t>”</w:t>
            </w:r>
            <w:r>
              <w:rPr>
                <w:color w:val="000000" w:themeColor="text1"/>
              </w:rPr>
              <w:t xml:space="preserve">, kā arī atbilstoši sakārtots vārda </w:t>
            </w:r>
            <w:r w:rsidRPr="00CF3BA6">
              <w:rPr>
                <w:color w:val="000000" w:themeColor="text1"/>
              </w:rPr>
              <w:t>“</w:t>
            </w:r>
            <w:r>
              <w:rPr>
                <w:color w:val="000000" w:themeColor="text1"/>
              </w:rPr>
              <w:t>pašvaldība” lietojums. S</w:t>
            </w:r>
            <w:r w:rsidRPr="005036FB">
              <w:rPr>
                <w:color w:val="000000" w:themeColor="text1"/>
              </w:rPr>
              <w:t xml:space="preserve">askaņā ar Administratīvo teritoriju un apdzīvoto vietu likuma pielikumu ir septiņas valstspilsētu pašvaldības un novadu pašvaldības, no kurām trīs novadu pašvaldību sastāvā ir trīs valstspilsētas. </w:t>
            </w:r>
            <w:r>
              <w:rPr>
                <w:color w:val="000000" w:themeColor="text1"/>
              </w:rPr>
              <w:t>Projekta 1.5. apakšpunkts tiek precizēts,</w:t>
            </w:r>
            <w:r w:rsidRPr="005036FB">
              <w:rPr>
                <w:color w:val="000000" w:themeColor="text1"/>
              </w:rPr>
              <w:t xml:space="preserve"> </w:t>
            </w:r>
            <w:r>
              <w:rPr>
                <w:color w:val="000000" w:themeColor="text1"/>
              </w:rPr>
              <w:t>ka no valstspilsētu kopas tiek izņemtas Jēkabpils valstspilsēta, Og</w:t>
            </w:r>
            <w:r w:rsidRPr="005036FB">
              <w:rPr>
                <w:color w:val="000000" w:themeColor="text1"/>
              </w:rPr>
              <w:t>re</w:t>
            </w:r>
            <w:r>
              <w:rPr>
                <w:color w:val="000000" w:themeColor="text1"/>
              </w:rPr>
              <w:t xml:space="preserve">s </w:t>
            </w:r>
            <w:r>
              <w:rPr>
                <w:color w:val="000000" w:themeColor="text1"/>
              </w:rPr>
              <w:lastRenderedPageBreak/>
              <w:t>valstspilsēta un Valmieras valstspilsēta, saglabājot to piederību pie attiecīgajiem novadiem atbilstoši Administratīvo teritoriju un apdzīvoto vietu likumā noteiktajam. Mērķdotācijas aprēķinu un pārskatu sniegšanu tas nemaina."</w:t>
            </w:r>
          </w:p>
        </w:tc>
      </w:tr>
      <w:tr w:rsidR="00DC4CB4" w:rsidRPr="00712B66" w14:paraId="0EC1A619" w14:textId="77777777" w:rsidTr="008B4733">
        <w:tc>
          <w:tcPr>
            <w:tcW w:w="708" w:type="dxa"/>
            <w:tcBorders>
              <w:left w:val="single" w:sz="6" w:space="0" w:color="000000"/>
              <w:bottom w:val="single" w:sz="4" w:space="0" w:color="auto"/>
              <w:right w:val="single" w:sz="6" w:space="0" w:color="000000"/>
            </w:tcBorders>
          </w:tcPr>
          <w:p w14:paraId="0EC1A60F" w14:textId="77777777" w:rsidR="00DC4CB4" w:rsidRDefault="00624EC6" w:rsidP="00DC4CB4">
            <w:pPr>
              <w:pStyle w:val="naisc"/>
              <w:spacing w:before="0" w:after="0"/>
            </w:pPr>
            <w:r>
              <w:lastRenderedPageBreak/>
              <w:t>5</w:t>
            </w:r>
            <w:r w:rsidR="00DC4CB4">
              <w:t>.</w:t>
            </w:r>
          </w:p>
        </w:tc>
        <w:tc>
          <w:tcPr>
            <w:tcW w:w="3531" w:type="dxa"/>
            <w:gridSpan w:val="2"/>
            <w:tcBorders>
              <w:left w:val="single" w:sz="6" w:space="0" w:color="000000"/>
              <w:bottom w:val="single" w:sz="4" w:space="0" w:color="auto"/>
              <w:right w:val="single" w:sz="6" w:space="0" w:color="000000"/>
            </w:tcBorders>
          </w:tcPr>
          <w:p w14:paraId="0EC1A610" w14:textId="77777777" w:rsidR="00DC4CB4" w:rsidRDefault="00DC4CB4" w:rsidP="00DC4CB4">
            <w:pPr>
              <w:shd w:val="clear" w:color="auto" w:fill="FFFFFF"/>
              <w:spacing w:line="276" w:lineRule="auto"/>
              <w:jc w:val="both"/>
              <w:rPr>
                <w:color w:val="000000"/>
              </w:rPr>
            </w:pPr>
            <w:r>
              <w:rPr>
                <w:color w:val="000000"/>
              </w:rPr>
              <w:t>Anotācijas I sadaļas 2.punkta sestais paragrāfs:</w:t>
            </w:r>
          </w:p>
          <w:p w14:paraId="0EC1A611" w14:textId="77777777" w:rsidR="00DC4CB4" w:rsidRPr="00A83C92" w:rsidRDefault="00DC4CB4" w:rsidP="00DC4CB4">
            <w:pPr>
              <w:shd w:val="clear" w:color="auto" w:fill="FFFFFF"/>
              <w:spacing w:line="276" w:lineRule="auto"/>
              <w:jc w:val="both"/>
              <w:rPr>
                <w:color w:val="000000"/>
              </w:rPr>
            </w:pPr>
            <w:r>
              <w:rPr>
                <w:color w:val="000000" w:themeColor="text1"/>
              </w:rPr>
              <w:t xml:space="preserve">"Ievērojot to, ka </w:t>
            </w:r>
            <w:r w:rsidRPr="003F6F15">
              <w:rPr>
                <w:color w:val="000000" w:themeColor="text1"/>
              </w:rPr>
              <w:t xml:space="preserve">Ministru kabineta 2020. gada 11. augusta noteikumos Nr. 518 </w:t>
            </w:r>
            <w:r>
              <w:rPr>
                <w:color w:val="000000" w:themeColor="text1"/>
              </w:rPr>
              <w:t>“</w:t>
            </w:r>
            <w:r w:rsidRPr="003F6F15">
              <w:rPr>
                <w:color w:val="000000" w:themeColor="text1"/>
              </w:rPr>
              <w:t>Kārtība, kādā tiek piešķirts un anulēts valsts ģimnāzijas statuss</w:t>
            </w:r>
            <w:r>
              <w:rPr>
                <w:color w:val="000000" w:themeColor="text1"/>
              </w:rPr>
              <w:t>”</w:t>
            </w:r>
            <w:r w:rsidRPr="003F6F15">
              <w:rPr>
                <w:color w:val="000000" w:themeColor="text1"/>
              </w:rPr>
              <w:t xml:space="preserve"> </w:t>
            </w:r>
            <w:r>
              <w:rPr>
                <w:color w:val="000000" w:themeColor="text1"/>
              </w:rPr>
              <w:t xml:space="preserve">(turpmāk – noteikumi Nr. 518) </w:t>
            </w:r>
            <w:r w:rsidRPr="003F6F15">
              <w:rPr>
                <w:color w:val="000000" w:themeColor="text1"/>
              </w:rPr>
              <w:t>ietverti kritēriji un kārtība, kādā tiek piešķirts un anulēts valsts ģimnāzijas statuss, taču nav atrunāta kārtība, kādā veidā tiek vērtētas nepieciešamās finansējuma piešķiršanas izmaiņas</w:t>
            </w:r>
            <w:r>
              <w:rPr>
                <w:color w:val="000000" w:themeColor="text1"/>
              </w:rPr>
              <w:t xml:space="preserve">, projektā tiek precizēts 7.5. apakšpunkts, kas sekmē raitu darbību ministrijas pusē arī tajos gadījumos, ja valsts ģimnāzija neatbilst būtiskajiem kritērijiem, taču tai vēl nav formāli anulēts </w:t>
            </w:r>
            <w:r>
              <w:rPr>
                <w:color w:val="000000" w:themeColor="text1"/>
              </w:rPr>
              <w:lastRenderedPageBreak/>
              <w:t>valsts ģimnāzijas statuss. Ministru kabineta 2018. gada 11. septembra noteikumi Nr. 583 “</w:t>
            </w:r>
            <w:r w:rsidRPr="00557BD0">
              <w:rPr>
                <w:color w:val="000000" w:themeColor="text1"/>
              </w:rPr>
              <w:t>Kritēriji un kārtība, kādā valsts piedalās vispārējās izglītības iestāžu pedagogu darba samaksas finansēšanā vidējās izglītības pakāpē</w:t>
            </w:r>
            <w:r>
              <w:rPr>
                <w:color w:val="000000" w:themeColor="text1"/>
              </w:rPr>
              <w:t xml:space="preserve">” (turpmāk – noteikumi Nr. 583) nosaka </w:t>
            </w:r>
            <w:r w:rsidRPr="00557BD0">
              <w:rPr>
                <w:color w:val="000000" w:themeColor="text1"/>
              </w:rPr>
              <w:t>kvalitātes kritērijus, minimāli pieļaujamo izglītojamo skaitu klašu grupā vidējās izglītības pakāpē pašvaldību, valsts augstskolu un privātajās vispārējās vidējās izglītības iestādēs, kā arī kritērijus maksimāli pieļaujamā izglītojamo skaita noteikšanai minētajās izglītības iestādēs</w:t>
            </w:r>
            <w:r>
              <w:rPr>
                <w:color w:val="000000" w:themeColor="text1"/>
              </w:rPr>
              <w:t xml:space="preserve">, kā arī nosaka kritērijus un kārtību, kādā valsts, </w:t>
            </w:r>
            <w:r w:rsidRPr="00557BD0">
              <w:rPr>
                <w:color w:val="000000" w:themeColor="text1"/>
              </w:rPr>
              <w:t xml:space="preserve">ņemot vērā minimāli pieļaujamo izglītojamo skaitu vidējās izglītības pakāpē, piedalās pašvaldību, valsts augstskolu un privāto vispārējās izglītības iestāžu vispārējās vidējās izglītības programmu īstenošanā iesaistīto pedagogu darba samaksas finansēšanā, ja izglītības iestāde neatbilst šajos noteikumos </w:t>
            </w:r>
            <w:r w:rsidRPr="00557BD0">
              <w:rPr>
                <w:color w:val="000000" w:themeColor="text1"/>
              </w:rPr>
              <w:lastRenderedPageBreak/>
              <w:t>minētajiem kvalitātes kritērijiem</w:t>
            </w:r>
            <w:r>
              <w:rPr>
                <w:color w:val="000000" w:themeColor="text1"/>
              </w:rPr>
              <w:t xml:space="preserve">. Kā kvalitātes kritēriji noteikumos Nr. 583 noteikti tie, kas saistīti ar akreditāciju (3.1. apakšpunkts) un ar 12. klases </w:t>
            </w:r>
            <w:r w:rsidRPr="00BA0E1B">
              <w:rPr>
                <w:color w:val="000000" w:themeColor="text1"/>
              </w:rPr>
              <w:t>izglītojamo kārtoto obligāto centralizēto eksāmenu rezultātu indeks</w:t>
            </w:r>
            <w:r>
              <w:rPr>
                <w:color w:val="000000" w:themeColor="text1"/>
              </w:rPr>
              <w:t xml:space="preserve">u (turpmāk – OCE indekss) (3.2. apakšpunkts). Minimāli pieļaujamais izglītojamo skaits noteikts  noteikumu Nr. 583 4. punktā. Ministrijā ir sagatavoti grozījumi minētajos noteikumos Nr. 583, kas ir izsludināti Valsts sekretāru sanāksmē 2021. gada 1. aprīlī (VSS-292). Ar minētajiem grozījumiem pilnveidoti noteikumi Nr. 583, tostarp izglītojamo skaita kritērijs un ar akreditāciju saistītais kritērijs, kā arī sākotnējās ietekmes novērtējuma ziņojumā (anotācijā) skaidrots, ka noteikumi Nr. 583 attiecināmi uz valsts ģimnāzijām. Vēršam uzmanību, ka noteikumu Nr. 518 10. punktā noteiktais izglītojamo skaits ir lielāks nekā noteikumu Nr. 583 grozījumos paredzētais; noteikumu Nr. 518 2.1. apakšpunktā (un attiecīgi </w:t>
            </w:r>
            <w:r>
              <w:rPr>
                <w:color w:val="000000" w:themeColor="text1"/>
              </w:rPr>
              <w:lastRenderedPageBreak/>
              <w:t>16. punktā) noteiktais OCE indekss ir augstāks nekā noteikumu Nr. 583 3.2. apakšpunktā (un attiecīgi 11. punktā) paredzētais; noteikumu Nr. 518 2.2.7. apakšpunktā tiks veikti grozījumi attiecībā uz kritēriju par akreditāciju (ņemot vērā to, ka 2020. gada 6. oktobrī tika pieņemti Ministru kabineta noteikumi Nr. 618 “</w:t>
            </w:r>
            <w:r w:rsidRPr="00B72E9E">
              <w:rPr>
                <w:color w:val="000000" w:themeColor="text1"/>
              </w:rPr>
              <w:t>Izglītības iestāžu, eksaminācijas centru, citu Izglītības likumā noteiktu institūciju un izglītības programmu akreditācijas un izglītības iestāžu vadītāju profesionālās darbības novērtēšanas kārtība</w:t>
            </w:r>
            <w:r>
              <w:rPr>
                <w:color w:val="000000" w:themeColor="text1"/>
              </w:rPr>
              <w:t xml:space="preserve">”, atbilstoši kuriem pilnveidota akreditācijas kārtība), tostarp paredzot, ka minētās prasības ir augstākas nekā noteikumu Nr. 583 grozījumos paredzētās. Līdz ar to, noteikumos Nr. 518 ietvertie kritēriji, kas ir analogi minētajiem ar valsts finansējuma piešķiršanu saistītajiem kritērijiem, kas ir ietverti noteikumos Nr. 583, taču </w:t>
            </w:r>
            <w:r>
              <w:rPr>
                <w:color w:val="000000" w:themeColor="text1"/>
              </w:rPr>
              <w:lastRenderedPageBreak/>
              <w:t xml:space="preserve">augstāki, jo saistīti ar valsts ģimnāzijas īpašo statusu, var tikt vērtēti kontekstā ar valsts ģimnāzijām paredzētā papildu finansējuma (izglītojamo skaitam vidējās izglītības pakāpē piemērojot koeficientu 1,22) piešķiršanu. No minētā izriet, ka gadījumā, ja valsts ģimnāzija neatbildīs minētajiem noteikumos Nr. 518 ietvertajiem kritērijiem,  vispārējās vidējās izglītības programmu izglītojamo skaitam piemēros koeficientu 1, savukārt, ja neatbildīs arī noteikumos Nr. 583 ietvertajiem attiecīgajiem kritērijiem – tiks piemēroti noteikumi Nr. 583. </w:t>
            </w:r>
            <w:r w:rsidRPr="003F6F15">
              <w:rPr>
                <w:color w:val="000000" w:themeColor="text1"/>
              </w:rPr>
              <w:t xml:space="preserve">Līdz ar to šāds precizējums noteikumos Nr. 447 paātrina valsts finansējuma piešķiršanas izmaiņas arī </w:t>
            </w:r>
            <w:r>
              <w:rPr>
                <w:color w:val="000000" w:themeColor="text1"/>
              </w:rPr>
              <w:t xml:space="preserve">pirms </w:t>
            </w:r>
            <w:r w:rsidRPr="003F6F15">
              <w:rPr>
                <w:color w:val="000000" w:themeColor="text1"/>
              </w:rPr>
              <w:t xml:space="preserve">iespējamās valsts ģimnāzijas statusa anulēšanas </w:t>
            </w:r>
            <w:r>
              <w:rPr>
                <w:color w:val="000000" w:themeColor="text1"/>
              </w:rPr>
              <w:t xml:space="preserve">gadījuma, konstatējot neatbilstību būtiskiem kritērijiem, kas attiecībā uz citām vispārējās vidējās izglītības iestādēm saistīti ar iespēju saņemt valsts finansējumu pedagogu </w:t>
            </w:r>
            <w:r>
              <w:rPr>
                <w:color w:val="000000" w:themeColor="text1"/>
              </w:rPr>
              <w:lastRenderedPageBreak/>
              <w:t>darba samaksai vidējās izglītības pakāpē pēc būtības</w:t>
            </w:r>
            <w:r w:rsidRPr="003F6F15">
              <w:rPr>
                <w:color w:val="000000" w:themeColor="text1"/>
              </w:rPr>
              <w:t>.</w:t>
            </w:r>
            <w:r>
              <w:rPr>
                <w:color w:val="000000" w:themeColor="text1"/>
              </w:rPr>
              <w:t>"</w:t>
            </w:r>
          </w:p>
        </w:tc>
        <w:tc>
          <w:tcPr>
            <w:tcW w:w="4245" w:type="dxa"/>
            <w:tcBorders>
              <w:left w:val="single" w:sz="6" w:space="0" w:color="000000"/>
              <w:bottom w:val="single" w:sz="4" w:space="0" w:color="auto"/>
              <w:right w:val="single" w:sz="6" w:space="0" w:color="000000"/>
            </w:tcBorders>
          </w:tcPr>
          <w:p w14:paraId="0EC1A612" w14:textId="77777777" w:rsidR="00DC4CB4" w:rsidRPr="00AF6320" w:rsidRDefault="00DC4CB4" w:rsidP="00DC4CB4">
            <w:pPr>
              <w:pStyle w:val="CommentText"/>
              <w:jc w:val="both"/>
              <w:rPr>
                <w:color w:val="000000"/>
                <w:sz w:val="24"/>
                <w:szCs w:val="24"/>
                <w:shd w:val="clear" w:color="auto" w:fill="FFFFFF"/>
              </w:rPr>
            </w:pPr>
            <w:r w:rsidRPr="00AF6320">
              <w:rPr>
                <w:sz w:val="24"/>
              </w:rPr>
              <w:lastRenderedPageBreak/>
              <w:t xml:space="preserve">Anotācijas I sadaļas 2. punktā norādīts, ka, ievērojot to, ka Ministru kabineta 2020. gada 11. augusta noteikumos Nr. 518 "Kārtība, kādā tiek piešķirts un anulēts valsts ģimnāzijas statuss" (turpmāk – ģimnāziju noteikumi) ietverti kritēriji un kārtība, kādā tiek piešķirts un anulēts valsts ģimnāzijas statuss, taču nav atrunāta kārtība, kādā veidā tiek vērtētas nepieciešamās finansējuma piešķiršanas izmaiņas, projektā tiek precizēts noteikumu 7.5. apakšpunkts, kas sekmēs raitu darbību Izglītības un zinātnes ministrijas pusē arī tajos gadījumos, ja valsts ģimnāzija neatbilst būtiskajiem kritērijiem, taču tai vēl nav formāli anulēts valsts ģimnāzijas statuss. Ģimnāziju noteikumu 9. punkts paredz, ka, ja valsts ģimnāzija trīs mācību gadus pēc kārtas nenodrošina atbilstību ģimnāziju noteikumu 2.1., 2.2. vai 2.3. apakšpunktā minētajiem kritērijiem, Izglītības un zinātnes ministrija iesniedz Ministru </w:t>
            </w:r>
            <w:r w:rsidRPr="00AF6320">
              <w:rPr>
                <w:sz w:val="24"/>
              </w:rPr>
              <w:lastRenderedPageBreak/>
              <w:t xml:space="preserve">kabinetā rīkojuma projektu par valsts ģimnāzijas statusa anulēšanu izglītības iestādei ar nākamā mācību gada 1. septembri. No minētā izriet, ka brīdis, kad varētu uzskatīt, ka formāli nav anulēts valsts ģimnāzijas statuss, ir no brīža, kad Ministru kabinets pieņēmis lēmumu par valsts ģimnāzijas statusa anulēšanu, līdz attiecīgā mācību gada 1. septembrim, ar kuru šo statusu Ministru kabineta rīkojums paredz </w:t>
            </w:r>
            <w:r w:rsidRPr="00716A44">
              <w:rPr>
                <w:sz w:val="24"/>
              </w:rPr>
              <w:t xml:space="preserve">anulēt. Savukārt projekta 1.3. apakšpunktā ietvertais regulējums pieļaus valsts ģimnāzijām samazināt finansējumu jau ar brīdi, kad pirmo reizi tiks konstatētas neatbilstības ģimnāziju noteikumos noteiktajiem kritērijiem, proti, brīdī, kad vēl nebūs pamata anulēt valsts ģimnāzijas statusu. Līdz ar to ne no projektā ietvertā, ne </w:t>
            </w:r>
            <w:r w:rsidRPr="00624EC6">
              <w:rPr>
                <w:sz w:val="24"/>
              </w:rPr>
              <w:t>no anotācijā skaidrotā nav saprotams, vai projekta 1.3. apakšpunktā ietvertā regulējuma mērķis ir samazināt finansējumu ģimnāzijām, jau pirms ir pamats tām anulēt valsts ģimnāzijas statusu, vai arī regulējuma mērķis ir precizēt piešķiramā finansējuma apjomu, kad Ministru kabinets jau ir lēmis par valsts ģimnāzijas statusa anulēšanu, taču</w:t>
            </w:r>
            <w:r w:rsidRPr="00AF6320">
              <w:rPr>
                <w:sz w:val="24"/>
              </w:rPr>
              <w:t xml:space="preserve"> vēl nav iestājies brīdis, ar kuru šis statuss anulēts. Ņemot vērā minēto, lūdzam precizēt anotācijā ietverto skaidrojumu un nepieciešamības gadījumā precizēt projekta 1.3. apakšpunktu.</w:t>
            </w:r>
          </w:p>
        </w:tc>
        <w:tc>
          <w:tcPr>
            <w:tcW w:w="3000" w:type="dxa"/>
            <w:gridSpan w:val="2"/>
            <w:tcBorders>
              <w:left w:val="single" w:sz="6" w:space="0" w:color="000000"/>
              <w:bottom w:val="single" w:sz="4" w:space="0" w:color="auto"/>
              <w:right w:val="single" w:sz="6" w:space="0" w:color="000000"/>
            </w:tcBorders>
          </w:tcPr>
          <w:p w14:paraId="0EC1A613" w14:textId="77777777" w:rsidR="00DC4CB4" w:rsidRPr="003E1BCF" w:rsidRDefault="00DC4CB4" w:rsidP="00DC4CB4">
            <w:pPr>
              <w:pStyle w:val="naisc"/>
              <w:spacing w:before="0" w:after="0"/>
              <w:jc w:val="left"/>
              <w:rPr>
                <w:b/>
              </w:rPr>
            </w:pPr>
            <w:r w:rsidRPr="003E1BCF">
              <w:rPr>
                <w:b/>
              </w:rPr>
              <w:lastRenderedPageBreak/>
              <w:t>Ņemts vērā.</w:t>
            </w:r>
          </w:p>
          <w:p w14:paraId="0EC1A614" w14:textId="77777777" w:rsidR="00DC4CB4" w:rsidRDefault="001348FA" w:rsidP="00957170">
            <w:pPr>
              <w:pStyle w:val="naisc"/>
              <w:spacing w:before="0" w:after="0"/>
              <w:jc w:val="both"/>
            </w:pPr>
            <w:r>
              <w:t>Anotācija ir precizēts I sadaļas 2. punkta sestais paragrāfs</w:t>
            </w:r>
            <w:r w:rsidR="00957170">
              <w:t xml:space="preserve">, lai nepārprotami skaidrots, ka valsts ģimnāzijai, neizpildot būtiskos kvalitātes kritērijus, tiek samazināts papildu finansējums, kas attiecas uz valsts ģimnāzijām, taču ar to nemainot oficiālo valsts ģimnāzijas statusu, kas ir nodalīts process. </w:t>
            </w:r>
          </w:p>
          <w:p w14:paraId="0EC1A615" w14:textId="77777777" w:rsidR="00DC4CB4" w:rsidRDefault="00DC4CB4" w:rsidP="00DC4CB4">
            <w:pPr>
              <w:pStyle w:val="naisc"/>
              <w:spacing w:before="0" w:after="0"/>
              <w:jc w:val="left"/>
            </w:pPr>
          </w:p>
          <w:p w14:paraId="0EC1A616" w14:textId="77777777" w:rsidR="00DC4CB4" w:rsidRPr="00712B66" w:rsidRDefault="00DC4CB4" w:rsidP="00DC4CB4">
            <w:pPr>
              <w:pStyle w:val="naisc"/>
              <w:spacing w:before="0" w:after="0"/>
              <w:jc w:val="left"/>
            </w:pPr>
          </w:p>
        </w:tc>
        <w:tc>
          <w:tcPr>
            <w:tcW w:w="2799" w:type="dxa"/>
            <w:tcBorders>
              <w:top w:val="single" w:sz="4" w:space="0" w:color="auto"/>
              <w:left w:val="single" w:sz="4" w:space="0" w:color="auto"/>
              <w:bottom w:val="single" w:sz="4" w:space="0" w:color="auto"/>
            </w:tcBorders>
          </w:tcPr>
          <w:p w14:paraId="0EC1A617" w14:textId="77777777" w:rsidR="00DC4CB4" w:rsidRDefault="00DC4CB4" w:rsidP="00DC4CB4">
            <w:pPr>
              <w:rPr>
                <w:color w:val="000000" w:themeColor="text1"/>
              </w:rPr>
            </w:pPr>
            <w:r>
              <w:rPr>
                <w:color w:val="000000" w:themeColor="text1"/>
              </w:rPr>
              <w:t>Anotācijas I sadaļas 2.punkta sestais paragrāfs:</w:t>
            </w:r>
          </w:p>
          <w:p w14:paraId="0EC1A618" w14:textId="77777777" w:rsidR="00DC4CB4" w:rsidRPr="00624EC6" w:rsidRDefault="00624EC6" w:rsidP="00624EC6">
            <w:pPr>
              <w:pStyle w:val="tv213"/>
              <w:spacing w:before="0" w:beforeAutospacing="0" w:after="0" w:afterAutospacing="0"/>
              <w:ind w:firstLine="365"/>
              <w:jc w:val="both"/>
              <w:rPr>
                <w:color w:val="000000" w:themeColor="text1"/>
              </w:rPr>
            </w:pPr>
            <w:r>
              <w:rPr>
                <w:color w:val="000000" w:themeColor="text1"/>
              </w:rPr>
              <w:t xml:space="preserve">Ievērojot to, ka </w:t>
            </w:r>
            <w:r w:rsidRPr="003F6F15">
              <w:rPr>
                <w:color w:val="000000" w:themeColor="text1"/>
              </w:rPr>
              <w:t xml:space="preserve">Ministru kabineta 2020. gada 11. augusta noteikumos Nr. 518 </w:t>
            </w:r>
            <w:r w:rsidR="001348FA">
              <w:rPr>
                <w:color w:val="000000" w:themeColor="text1"/>
              </w:rPr>
              <w:t>"</w:t>
            </w:r>
            <w:r w:rsidRPr="003F6F15">
              <w:rPr>
                <w:color w:val="000000" w:themeColor="text1"/>
              </w:rPr>
              <w:t>Kārtība, kādā tiek piešķirts un anulēts valsts ģimnāzijas statuss</w:t>
            </w:r>
            <w:r w:rsidR="001348FA">
              <w:rPr>
                <w:color w:val="000000" w:themeColor="text1"/>
              </w:rPr>
              <w:t>"</w:t>
            </w:r>
            <w:r w:rsidRPr="003F6F15">
              <w:rPr>
                <w:color w:val="000000" w:themeColor="text1"/>
              </w:rPr>
              <w:t xml:space="preserve"> </w:t>
            </w:r>
            <w:r>
              <w:rPr>
                <w:color w:val="000000" w:themeColor="text1"/>
              </w:rPr>
              <w:t xml:space="preserve">(turpmāk – noteikumi Nr. 518) </w:t>
            </w:r>
            <w:r w:rsidRPr="003F6F15">
              <w:rPr>
                <w:color w:val="000000" w:themeColor="text1"/>
              </w:rPr>
              <w:t>ietverti kritēriji un kārtība, kādā tiek piešķirts un anulēts valsts ģimnāzijas statuss, taču nav atrunāta kārtība, kādā veidā tiek vērtētas nepieciešamās finansējuma piešķiršanas izmaiņas</w:t>
            </w:r>
            <w:r>
              <w:rPr>
                <w:color w:val="000000" w:themeColor="text1"/>
              </w:rPr>
              <w:t xml:space="preserve">, projektā tiek precizēts 7.5. apakšpunkts, kas sekmē raitu darbību ministrijas pusē arī tajos gadījumos, ja valsts </w:t>
            </w:r>
            <w:r>
              <w:rPr>
                <w:color w:val="000000" w:themeColor="text1"/>
              </w:rPr>
              <w:lastRenderedPageBreak/>
              <w:t>ģimnāzija neatbilst būtiskajiem kritērijiem, taču tai vēl nav pamata anulēt valsts ģimnāzijas statusu. Ministru kabineta 2018. gada 11. septembra noteikumi Nr. 583 "</w:t>
            </w:r>
            <w:r w:rsidRPr="00557BD0">
              <w:rPr>
                <w:color w:val="000000" w:themeColor="text1"/>
              </w:rPr>
              <w:t>Kritēriji un kārtība, kādā valsts piedalās vispārējās izglītības iestāžu pedagogu darba samaksas finansēšanā vidējās izglītības pakāpē</w:t>
            </w:r>
            <w:r>
              <w:rPr>
                <w:color w:val="000000" w:themeColor="text1"/>
              </w:rPr>
              <w:t xml:space="preserve">" (turpmāk – noteikumi Nr. 583) nosaka </w:t>
            </w:r>
            <w:r w:rsidRPr="00557BD0">
              <w:rPr>
                <w:color w:val="000000" w:themeColor="text1"/>
              </w:rPr>
              <w:t>kvalitātes kritērijus, minimāli pieļaujamo izglītojamo skaitu klašu grupā vidējās izglītības pakāpē pašvaldību, valsts augstskolu un privātajās vispārējās vidējās izglītības iestādēs, kā arī kritērijus maksimāli pieļaujamā izglītojamo skaita noteikšanai minētajās izglītības iestādēs</w:t>
            </w:r>
            <w:r>
              <w:rPr>
                <w:color w:val="000000" w:themeColor="text1"/>
              </w:rPr>
              <w:t xml:space="preserve">, kā arī nosaka kritērijus un kārtību, kādā valsts, </w:t>
            </w:r>
            <w:r w:rsidRPr="00557BD0">
              <w:rPr>
                <w:color w:val="000000" w:themeColor="text1"/>
              </w:rPr>
              <w:t xml:space="preserve">ņemot vērā minimāli pieļaujamo izglītojamo skaitu vidējās izglītības pakāpē, piedalās </w:t>
            </w:r>
            <w:r w:rsidRPr="00557BD0">
              <w:rPr>
                <w:color w:val="000000" w:themeColor="text1"/>
              </w:rPr>
              <w:lastRenderedPageBreak/>
              <w:t>pašvaldību, valsts augstskolu un privāto vispārējās izglītības iestāžu vispārējās vidējās izglītības programmu īstenošanā iesaistīto pedagogu darba samaksas finansēšanā, ja izglītības iestāde neatbilst šajos noteikumos minētajiem kvalitātes kritērijiem</w:t>
            </w:r>
            <w:r>
              <w:rPr>
                <w:color w:val="000000" w:themeColor="text1"/>
              </w:rPr>
              <w:t xml:space="preserve">. Kā kvalitātes kritēriji noteikumos Nr. 583 noteikti tie, kas saistīti ar akreditāciju (3.1. apakšpunkts) un ar 12. klases </w:t>
            </w:r>
            <w:r w:rsidRPr="00BA0E1B">
              <w:rPr>
                <w:color w:val="000000" w:themeColor="text1"/>
              </w:rPr>
              <w:t>izglītojamo kārtoto obligāto centralizēto eksāmenu rezultātu indeks</w:t>
            </w:r>
            <w:r>
              <w:rPr>
                <w:color w:val="000000" w:themeColor="text1"/>
              </w:rPr>
              <w:t xml:space="preserve">u (turpmāk – OCE indekss) (3.2. apakšpunkts). Minimāli pieļaujamais izglītojamo skaits noteikts  noteikumu Nr. 583 4. punktā. Ministrijā ir sagatavoti grozījumi minētajos noteikumos Nr. 583, kas ir izsludināti Valsts sekretāru sanāksmē 2021. gada 1. aprīlī (VSS-292). Ar minētajiem grozījumiem pilnveidoti </w:t>
            </w:r>
            <w:r>
              <w:rPr>
                <w:color w:val="000000" w:themeColor="text1"/>
              </w:rPr>
              <w:lastRenderedPageBreak/>
              <w:t>noteikumi Nr. 583, tostarp izglītojamo skaita kritērijs un ar akreditāciju saistītais kritērijs, kā arī sākotnējās ietekmes novērtējuma ziņojumā (anotācijā) skaidrots, ka noteikumi Nr. 583 attiecināmi uz valsts ģimnāzijām. Vēršam uzmanību, ka noteikumu Nr. 518 10. punktā noteiktais izglītojamo skaits ir lielāks nekā noteikumu Nr. 583 grozījumos paredzētais; noteikumu Nr. 518 2.1. apakšpunktā (un attiecīgi 16. punktā) noteiktais OCE indekss ir augstāks nekā noteikumu Nr. 583 3.2. apakšpunktā (un attiecīgi 11. punktā) paredzētais; noteikumu Nr. 518 2.2.7. apakšpunktā tiks veikti grozījumi attiecībā uz kritēriju par akreditāciju (ņemot vērā to, ka 2020. gada 6. oktobrī tika pieņemti Ministru kabineta noteikumi Nr. 618 “</w:t>
            </w:r>
            <w:r w:rsidRPr="00B72E9E">
              <w:rPr>
                <w:color w:val="000000" w:themeColor="text1"/>
              </w:rPr>
              <w:t xml:space="preserve">Izglītības iestāžu, eksaminācijas centru, citu </w:t>
            </w:r>
            <w:r w:rsidRPr="00B72E9E">
              <w:rPr>
                <w:color w:val="000000" w:themeColor="text1"/>
              </w:rPr>
              <w:lastRenderedPageBreak/>
              <w:t>Izglītības likumā noteiktu institūciju un izglītības programmu akreditācijas un izglītības iestāžu vadītāju profesionālās darbības novērtēšanas kārtība</w:t>
            </w:r>
            <w:r>
              <w:rPr>
                <w:color w:val="000000" w:themeColor="text1"/>
              </w:rPr>
              <w:t xml:space="preserve">”, atbilstoši kuriem pilnveidota akreditācijas kārtība), tostarp paredzot, ka minētās prasības ir augstākas nekā noteikumu Nr. 583 grozījumos paredzētās. Līdz ar to, noteikumos Nr. 518 ietvertie kritēriji, kas ir analogi minētajiem ar valsts finansējuma piešķiršanu saistītajiem kritērijiem, kas ir ietverti noteikumos Nr. 583, taču augstāki, jo saistīti ar valsts ģimnāzijas īpašo statusu, var tikt vērtēti kontekstā ar valsts ģimnāzijām paredzētā papildu finansējuma (izglītojamo skaitam vidējās izglītības pakāpē piemērojot koeficientu 1,22) piešķiršanu. No minētā izriet, ka gadījumā, ja valsts ģimnāzija neatbildīs minētajiem </w:t>
            </w:r>
            <w:r>
              <w:rPr>
                <w:color w:val="000000" w:themeColor="text1"/>
              </w:rPr>
              <w:lastRenderedPageBreak/>
              <w:t xml:space="preserve">noteikumos Nr. 518 ietvertajiem kritērijiem,  vispārējās vidējās izglītības programmu izglītojamo skaitam piemēros koeficientu 1, savukārt, ja neatbildīs arī noteikumos Nr. 583 ietvertajiem attiecīgajiem kritērijiem – tiks piemēroti noteikumi Nr. 583. </w:t>
            </w:r>
            <w:r w:rsidRPr="003F6F15">
              <w:rPr>
                <w:color w:val="000000" w:themeColor="text1"/>
              </w:rPr>
              <w:t xml:space="preserve">Līdz ar to šāds precizējums noteikumos Nr. 447 </w:t>
            </w:r>
            <w:r>
              <w:rPr>
                <w:color w:val="000000" w:themeColor="text1"/>
              </w:rPr>
              <w:t>veicina</w:t>
            </w:r>
            <w:r w:rsidRPr="003F6F15">
              <w:rPr>
                <w:color w:val="000000" w:themeColor="text1"/>
              </w:rPr>
              <w:t xml:space="preserve"> valsts finansējuma piešķiršanas izmaiņas </w:t>
            </w:r>
            <w:r>
              <w:rPr>
                <w:color w:val="000000" w:themeColor="text1"/>
              </w:rPr>
              <w:t>gadījumos, kad tiek konstatēta neatbilstība būtiskiem kritērijiem, kas attiecībā uz citām vispārējās vidējās izglītības iestādēm saistīti ar iespēju saņemt valsts finansējumu pedagogu darba samaksai vidējās izglītības pakāpē pēc būtības</w:t>
            </w:r>
            <w:r w:rsidR="00DC4CB4" w:rsidRPr="003F6F15">
              <w:rPr>
                <w:color w:val="000000" w:themeColor="text1"/>
              </w:rPr>
              <w:t>.</w:t>
            </w:r>
            <w:r w:rsidR="00DC4CB4">
              <w:rPr>
                <w:color w:val="000000" w:themeColor="text1"/>
              </w:rPr>
              <w:t>"</w:t>
            </w:r>
          </w:p>
        </w:tc>
      </w:tr>
      <w:tr w:rsidR="009C0748" w:rsidRPr="00712B66" w14:paraId="0EC1A61B" w14:textId="77777777" w:rsidTr="008B4733">
        <w:tc>
          <w:tcPr>
            <w:tcW w:w="14283" w:type="dxa"/>
            <w:gridSpan w:val="7"/>
            <w:tcBorders>
              <w:left w:val="single" w:sz="6" w:space="0" w:color="000000"/>
              <w:bottom w:val="single" w:sz="4" w:space="0" w:color="auto"/>
            </w:tcBorders>
          </w:tcPr>
          <w:p w14:paraId="0EC1A61A" w14:textId="77777777" w:rsidR="009C0748" w:rsidRDefault="009C0748" w:rsidP="00DC4CB4">
            <w:pPr>
              <w:jc w:val="center"/>
              <w:rPr>
                <w:b/>
              </w:rPr>
            </w:pPr>
            <w:r w:rsidRPr="009051C2">
              <w:rPr>
                <w:b/>
                <w:bCs/>
              </w:rPr>
              <w:lastRenderedPageBreak/>
              <w:t>Latvijas Lielo pilsētu asociācija</w:t>
            </w:r>
          </w:p>
        </w:tc>
      </w:tr>
      <w:tr w:rsidR="008B1EB9" w:rsidRPr="003B71E0" w14:paraId="0EC1A625" w14:textId="77777777" w:rsidTr="008B4733">
        <w:tc>
          <w:tcPr>
            <w:tcW w:w="708" w:type="dxa"/>
            <w:tcBorders>
              <w:top w:val="single" w:sz="6" w:space="0" w:color="000000"/>
              <w:left w:val="single" w:sz="6" w:space="0" w:color="000000"/>
              <w:bottom w:val="single" w:sz="6" w:space="0" w:color="000000"/>
              <w:right w:val="single" w:sz="6" w:space="0" w:color="000000"/>
            </w:tcBorders>
          </w:tcPr>
          <w:p w14:paraId="0EC1A61C" w14:textId="77777777" w:rsidR="008B1EB9" w:rsidRPr="008B1EB9" w:rsidRDefault="008B1EB9" w:rsidP="008B1EB9">
            <w:pPr>
              <w:pStyle w:val="naisc"/>
              <w:spacing w:before="0" w:after="0"/>
            </w:pPr>
            <w:r w:rsidRPr="008B1EB9">
              <w:t>6.</w:t>
            </w:r>
          </w:p>
        </w:tc>
        <w:tc>
          <w:tcPr>
            <w:tcW w:w="3531" w:type="dxa"/>
            <w:gridSpan w:val="2"/>
            <w:tcBorders>
              <w:left w:val="single" w:sz="6" w:space="0" w:color="000000"/>
              <w:bottom w:val="single" w:sz="4" w:space="0" w:color="auto"/>
              <w:right w:val="single" w:sz="6" w:space="0" w:color="000000"/>
            </w:tcBorders>
          </w:tcPr>
          <w:p w14:paraId="0EC1A61D" w14:textId="77777777" w:rsidR="008B1EB9" w:rsidRPr="00A83C92" w:rsidRDefault="008B1EB9" w:rsidP="008B1EB9">
            <w:pPr>
              <w:shd w:val="clear" w:color="auto" w:fill="FFFFFF"/>
              <w:spacing w:line="276" w:lineRule="auto"/>
              <w:jc w:val="both"/>
              <w:rPr>
                <w:color w:val="000000"/>
              </w:rPr>
            </w:pPr>
            <w:r w:rsidRPr="00A83C92">
              <w:rPr>
                <w:color w:val="000000"/>
              </w:rPr>
              <w:t>1.2. izteikt 7.4. apakšpunktu šādā redakcijā:</w:t>
            </w:r>
          </w:p>
          <w:p w14:paraId="0EC1A61E" w14:textId="77777777" w:rsidR="008B1EB9" w:rsidRPr="00A83C92" w:rsidRDefault="008B1EB9" w:rsidP="008B1EB9">
            <w:pPr>
              <w:shd w:val="clear" w:color="auto" w:fill="FFFFFF"/>
              <w:jc w:val="both"/>
              <w:rPr>
                <w:color w:val="000000"/>
              </w:rPr>
            </w:pPr>
            <w:r>
              <w:rPr>
                <w:color w:val="000000"/>
              </w:rPr>
              <w:t>"</w:t>
            </w:r>
            <w:r w:rsidRPr="00A83C92">
              <w:rPr>
                <w:color w:val="000000"/>
              </w:rPr>
              <w:t xml:space="preserve">7.4. skolēnu skaitam vakara (maiņu) vispārējās izglītības programmās piemēro koeficientu 0,85, neklātienes un tālmācības </w:t>
            </w:r>
            <w:r w:rsidRPr="00A83C92">
              <w:rPr>
                <w:color w:val="000000"/>
              </w:rPr>
              <w:lastRenderedPageBreak/>
              <w:t>vispārējās izglītības programmās piemēro koeficientu 0,6. Skolēnu skaitam, kas vienā un tajā pašā klasē tālmācības vispārējās vidējās izglītības programmās mācās ilgāk par vienu mācību gadu, piemēro koeficientu 0,3;</w:t>
            </w:r>
            <w:r>
              <w:rPr>
                <w:color w:val="000000"/>
              </w:rPr>
              <w:t>"</w:t>
            </w:r>
          </w:p>
        </w:tc>
        <w:tc>
          <w:tcPr>
            <w:tcW w:w="4245" w:type="dxa"/>
            <w:tcBorders>
              <w:left w:val="single" w:sz="6" w:space="0" w:color="000000"/>
              <w:bottom w:val="single" w:sz="4" w:space="0" w:color="auto"/>
              <w:right w:val="single" w:sz="6" w:space="0" w:color="000000"/>
            </w:tcBorders>
          </w:tcPr>
          <w:p w14:paraId="0EC1A61F" w14:textId="77777777" w:rsidR="008B1EB9" w:rsidRPr="009051C2" w:rsidRDefault="008B1EB9" w:rsidP="008B1EB9">
            <w:pPr>
              <w:pStyle w:val="CommentText"/>
              <w:spacing w:line="276" w:lineRule="auto"/>
              <w:jc w:val="both"/>
              <w:rPr>
                <w:color w:val="000000"/>
                <w:sz w:val="24"/>
                <w:szCs w:val="24"/>
              </w:rPr>
            </w:pPr>
            <w:r w:rsidRPr="009051C2">
              <w:rPr>
                <w:color w:val="000000"/>
                <w:sz w:val="24"/>
                <w:szCs w:val="24"/>
              </w:rPr>
              <w:lastRenderedPageBreak/>
              <w:t xml:space="preserve">Ņemot vērā, ka neklātienes un tālmācības vispārējās izglītības programmās jau tiek piemērots koeficients 0,6, </w:t>
            </w:r>
            <w:r w:rsidRPr="00462AC6">
              <w:rPr>
                <w:color w:val="000000"/>
                <w:sz w:val="24"/>
                <w:szCs w:val="24"/>
              </w:rPr>
              <w:t xml:space="preserve">iebilstām pret šāda finanšu līdzekļu sadales principu, jo pedagogs klasē ar skolēnu strādās katru </w:t>
            </w:r>
            <w:r w:rsidRPr="00462AC6">
              <w:rPr>
                <w:color w:val="000000"/>
                <w:sz w:val="24"/>
                <w:szCs w:val="24"/>
              </w:rPr>
              <w:lastRenderedPageBreak/>
              <w:t>gadu neatkarīgi no tā vai viņš mācās pirmo reizi vai atkārtoti. Uzskatām</w:t>
            </w:r>
            <w:r w:rsidRPr="00290CB5">
              <w:rPr>
                <w:color w:val="000000"/>
                <w:sz w:val="24"/>
                <w:szCs w:val="24"/>
              </w:rPr>
              <w:t>, ka koeficients nav jāmaina.</w:t>
            </w:r>
            <w:r w:rsidRPr="009051C2">
              <w:rPr>
                <w:color w:val="000000"/>
                <w:sz w:val="24"/>
                <w:szCs w:val="24"/>
              </w:rPr>
              <w:t xml:space="preserve"> Lūdzam atstāt spēkā esošo redakciju:</w:t>
            </w:r>
          </w:p>
          <w:p w14:paraId="0EC1A620" w14:textId="77777777" w:rsidR="008B1EB9" w:rsidRPr="009051C2" w:rsidRDefault="008B1EB9" w:rsidP="008B1EB9">
            <w:pPr>
              <w:pStyle w:val="CommentText"/>
              <w:spacing w:line="276" w:lineRule="auto"/>
              <w:jc w:val="both"/>
              <w:rPr>
                <w:i/>
                <w:color w:val="000000"/>
                <w:sz w:val="24"/>
                <w:szCs w:val="24"/>
              </w:rPr>
            </w:pPr>
            <w:r w:rsidRPr="009051C2">
              <w:rPr>
                <w:i/>
                <w:color w:val="000000"/>
                <w:sz w:val="24"/>
                <w:szCs w:val="24"/>
              </w:rPr>
              <w:t>"7.4. Skolēnu skaitam vakara (maiņu) vispārējās izglītības programmās piemēro koeficientu 0,85, neklātienes un tālmācības vispārējās izglītības programmās piemēro koeficientu 0,6."</w:t>
            </w:r>
          </w:p>
          <w:p w14:paraId="0EC1A621" w14:textId="77777777" w:rsidR="008B1EB9" w:rsidRPr="009051C2" w:rsidRDefault="008B1EB9" w:rsidP="008B1EB9">
            <w:pPr>
              <w:pStyle w:val="naisc"/>
              <w:spacing w:before="0" w:after="0"/>
              <w:jc w:val="both"/>
            </w:pPr>
          </w:p>
        </w:tc>
        <w:tc>
          <w:tcPr>
            <w:tcW w:w="3000" w:type="dxa"/>
            <w:gridSpan w:val="2"/>
            <w:tcBorders>
              <w:top w:val="single" w:sz="4" w:space="0" w:color="auto"/>
              <w:left w:val="single" w:sz="4" w:space="0" w:color="auto"/>
              <w:bottom w:val="single" w:sz="4" w:space="0" w:color="auto"/>
              <w:right w:val="single" w:sz="4" w:space="0" w:color="auto"/>
            </w:tcBorders>
          </w:tcPr>
          <w:p w14:paraId="0EC1A622" w14:textId="77777777" w:rsidR="008B1EB9" w:rsidRPr="00567878" w:rsidRDefault="008B1EB9" w:rsidP="00567878">
            <w:pPr>
              <w:jc w:val="both"/>
            </w:pPr>
            <w:r w:rsidRPr="00567878">
              <w:lastRenderedPageBreak/>
              <w:t xml:space="preserve">Diskutējot saskaņošanas sanāksmē 2021.gada 18.jūnijā panākta vienošanās par grozījumu projektā ietverto regulējumu. </w:t>
            </w:r>
          </w:p>
        </w:tc>
        <w:tc>
          <w:tcPr>
            <w:tcW w:w="2799" w:type="dxa"/>
            <w:tcBorders>
              <w:top w:val="single" w:sz="4" w:space="0" w:color="auto"/>
              <w:left w:val="single" w:sz="4" w:space="0" w:color="auto"/>
              <w:bottom w:val="single" w:sz="4" w:space="0" w:color="auto"/>
            </w:tcBorders>
          </w:tcPr>
          <w:p w14:paraId="0EC1A623" w14:textId="77777777" w:rsidR="008B1EB9" w:rsidRPr="00A83C92" w:rsidRDefault="008B1EB9" w:rsidP="008B1EB9">
            <w:pPr>
              <w:shd w:val="clear" w:color="auto" w:fill="FFFFFF"/>
              <w:spacing w:line="276" w:lineRule="auto"/>
              <w:jc w:val="both"/>
              <w:rPr>
                <w:color w:val="000000"/>
              </w:rPr>
            </w:pPr>
            <w:r w:rsidRPr="00A83C92">
              <w:rPr>
                <w:color w:val="000000"/>
              </w:rPr>
              <w:t>1.2. izteikt 7.4. apakšpunktu šādā redakcijā:</w:t>
            </w:r>
          </w:p>
          <w:p w14:paraId="0EC1A624" w14:textId="77777777" w:rsidR="008B1EB9" w:rsidRPr="00712B66" w:rsidRDefault="008B1EB9" w:rsidP="008B1EB9">
            <w:r w:rsidRPr="00204DF9">
              <w:rPr>
                <w:color w:val="000000"/>
              </w:rPr>
              <w:t xml:space="preserve">“7.4. skolēnu skaitam vakara (maiņu) vispārējās izglītības programmās </w:t>
            </w:r>
            <w:r w:rsidRPr="00204DF9">
              <w:rPr>
                <w:color w:val="000000"/>
              </w:rPr>
              <w:lastRenderedPageBreak/>
              <w:t>piemēro koeficientu 0,85, neklātienes un tālmācības vispārējās izglītības programmās piemēro koeficientu 0,6. Skolēnu skaitam, kas vienā un tajā pašā klasē tālmācības vispārējās vidējās izglītības programmās mācības uzsāk atkārtoti vairāk kā viena mācību gada ietvaros, piemēro koeficientu 0,3;”</w:t>
            </w:r>
          </w:p>
        </w:tc>
      </w:tr>
      <w:tr w:rsidR="00567878" w:rsidRPr="003B71E0" w14:paraId="0EC1A62F" w14:textId="77777777" w:rsidTr="008B4733">
        <w:tc>
          <w:tcPr>
            <w:tcW w:w="708" w:type="dxa"/>
            <w:tcBorders>
              <w:top w:val="single" w:sz="6" w:space="0" w:color="000000"/>
              <w:left w:val="single" w:sz="6" w:space="0" w:color="000000"/>
              <w:bottom w:val="single" w:sz="6" w:space="0" w:color="000000"/>
              <w:right w:val="single" w:sz="6" w:space="0" w:color="000000"/>
            </w:tcBorders>
          </w:tcPr>
          <w:p w14:paraId="0EC1A626" w14:textId="77777777" w:rsidR="00567878" w:rsidRPr="008B1EB9" w:rsidRDefault="00567878" w:rsidP="00567878">
            <w:pPr>
              <w:pStyle w:val="naisc"/>
              <w:spacing w:before="0" w:after="0"/>
            </w:pPr>
            <w:r>
              <w:lastRenderedPageBreak/>
              <w:t>7.</w:t>
            </w:r>
          </w:p>
        </w:tc>
        <w:tc>
          <w:tcPr>
            <w:tcW w:w="3531" w:type="dxa"/>
            <w:gridSpan w:val="2"/>
            <w:tcBorders>
              <w:left w:val="single" w:sz="6" w:space="0" w:color="000000"/>
              <w:bottom w:val="single" w:sz="4" w:space="0" w:color="auto"/>
              <w:right w:val="single" w:sz="6" w:space="0" w:color="000000"/>
            </w:tcBorders>
          </w:tcPr>
          <w:p w14:paraId="0EC1A627" w14:textId="77777777" w:rsidR="00567878" w:rsidRPr="00A83C92" w:rsidRDefault="00567878" w:rsidP="00567878">
            <w:pPr>
              <w:shd w:val="clear" w:color="auto" w:fill="FFFFFF"/>
              <w:spacing w:line="276" w:lineRule="auto"/>
              <w:jc w:val="both"/>
              <w:rPr>
                <w:color w:val="000000"/>
              </w:rPr>
            </w:pPr>
            <w:r w:rsidRPr="00A83C92">
              <w:rPr>
                <w:color w:val="000000"/>
              </w:rPr>
              <w:t>1.4. papildināt noteikumus ar 7.7.</w:t>
            </w:r>
            <w:r w:rsidRPr="00A83C92">
              <w:rPr>
                <w:color w:val="000000"/>
                <w:vertAlign w:val="superscript"/>
              </w:rPr>
              <w:t>1</w:t>
            </w:r>
            <w:r w:rsidRPr="00A83C92">
              <w:rPr>
                <w:color w:val="000000"/>
              </w:rPr>
              <w:t xml:space="preserve"> apakšpunktu šādā redakcijā: </w:t>
            </w:r>
          </w:p>
          <w:p w14:paraId="0EC1A628" w14:textId="77777777" w:rsidR="00567878" w:rsidRPr="00712B66" w:rsidRDefault="00567878" w:rsidP="00567878">
            <w:pPr>
              <w:pStyle w:val="naisc"/>
              <w:spacing w:before="0" w:after="0"/>
              <w:jc w:val="both"/>
            </w:pPr>
            <w:r>
              <w:rPr>
                <w:color w:val="000000"/>
              </w:rPr>
              <w:t>"</w:t>
            </w:r>
            <w:r w:rsidRPr="00A83C92">
              <w:rPr>
                <w:color w:val="000000"/>
              </w:rPr>
              <w:t>7.7.</w:t>
            </w:r>
            <w:r w:rsidRPr="00A83C92">
              <w:rPr>
                <w:color w:val="000000"/>
                <w:vertAlign w:val="superscript"/>
              </w:rPr>
              <w:t>1</w:t>
            </w:r>
            <w:r w:rsidRPr="00A83C92">
              <w:rPr>
                <w:color w:val="000000"/>
              </w:rPr>
              <w:t> izglītojamiem, kas pamatizglītības, izņemot speciālās pamatizglītības, pirmā posma izglītības programmas daļā paredzēto mācību saturu apgūst ģ</w:t>
            </w:r>
            <w:r>
              <w:rPr>
                <w:color w:val="000000"/>
              </w:rPr>
              <w:t>imenē, piemēro koeficientu 0,1;"</w:t>
            </w:r>
          </w:p>
        </w:tc>
        <w:tc>
          <w:tcPr>
            <w:tcW w:w="4245" w:type="dxa"/>
            <w:tcBorders>
              <w:left w:val="single" w:sz="6" w:space="0" w:color="000000"/>
              <w:bottom w:val="single" w:sz="4" w:space="0" w:color="auto"/>
              <w:right w:val="single" w:sz="6" w:space="0" w:color="000000"/>
            </w:tcBorders>
          </w:tcPr>
          <w:p w14:paraId="0EC1A629" w14:textId="77777777" w:rsidR="00567878" w:rsidRPr="003506D9" w:rsidRDefault="00567878" w:rsidP="00567878">
            <w:pPr>
              <w:pStyle w:val="CommentText"/>
              <w:spacing w:line="276" w:lineRule="auto"/>
              <w:jc w:val="both"/>
              <w:rPr>
                <w:color w:val="000000"/>
                <w:sz w:val="24"/>
                <w:szCs w:val="24"/>
                <w:shd w:val="clear" w:color="auto" w:fill="FFFFFF"/>
              </w:rPr>
            </w:pPr>
            <w:r w:rsidRPr="003506D9">
              <w:rPr>
                <w:color w:val="000000"/>
                <w:sz w:val="24"/>
                <w:szCs w:val="24"/>
                <w:shd w:val="clear" w:color="auto" w:fill="FFFFFF"/>
              </w:rPr>
              <w:t xml:space="preserve">Ņemot vērā epidemioloģiski nedrošo situāciju, kad pastāv risks mācībām notikt attālināti vai mācības klātienē tiek nodrošinātas pie nosacījuma, ja tiek lietoti individuālie aizsardzības līdzekļi (sejas masku obligāta lietošana), daļa vecāku izvēlas mācības bērniem nodrošināt ģimenē. </w:t>
            </w:r>
          </w:p>
          <w:p w14:paraId="0EC1A62A" w14:textId="77777777" w:rsidR="00567878" w:rsidRPr="00462AC6" w:rsidRDefault="00567878" w:rsidP="00567878">
            <w:pPr>
              <w:pStyle w:val="CommentText"/>
              <w:spacing w:line="276" w:lineRule="auto"/>
              <w:jc w:val="both"/>
              <w:rPr>
                <w:color w:val="000000"/>
                <w:sz w:val="24"/>
                <w:szCs w:val="24"/>
                <w:shd w:val="clear" w:color="auto" w:fill="FFFFFF"/>
              </w:rPr>
            </w:pPr>
            <w:r w:rsidRPr="003506D9">
              <w:rPr>
                <w:color w:val="000000"/>
                <w:sz w:val="24"/>
                <w:szCs w:val="24"/>
                <w:shd w:val="clear" w:color="auto" w:fill="FFFFFF"/>
              </w:rPr>
              <w:t xml:space="preserve">Saskaņā ar noteikumiem mērķdotācija pedagogu darba samaksai tiek aprēķināta,   pamatojoties uz informāciju VIIS par bērnu un skolēnu skaitu attiecīgā gada 1. septembrī. </w:t>
            </w:r>
            <w:r w:rsidRPr="00290CB5">
              <w:rPr>
                <w:color w:val="000000"/>
                <w:sz w:val="24"/>
                <w:szCs w:val="24"/>
                <w:shd w:val="clear" w:color="auto" w:fill="FFFFFF"/>
              </w:rPr>
              <w:t xml:space="preserve">Norādām, ka noteikumos būtu nepieciešams </w:t>
            </w:r>
            <w:r w:rsidRPr="00462AC6">
              <w:rPr>
                <w:color w:val="000000"/>
                <w:sz w:val="24"/>
                <w:szCs w:val="24"/>
                <w:shd w:val="clear" w:color="auto" w:fill="FFFFFF"/>
              </w:rPr>
              <w:t xml:space="preserve">ietvert regulējumu, kas nosaka mērķdotācijas pārrēķinu gadījumos, ja izglītošana ģimenē tiek uzsākta vai izglītojamais klātienes </w:t>
            </w:r>
            <w:r w:rsidRPr="00462AC6">
              <w:rPr>
                <w:color w:val="000000"/>
                <w:sz w:val="24"/>
                <w:szCs w:val="24"/>
                <w:shd w:val="clear" w:color="auto" w:fill="FFFFFF"/>
              </w:rPr>
              <w:lastRenderedPageBreak/>
              <w:t xml:space="preserve">mācībām skolā tiek uzņemts vēlāk kā 1.septembrī. </w:t>
            </w:r>
          </w:p>
          <w:p w14:paraId="0EC1A62B" w14:textId="77777777" w:rsidR="00567878" w:rsidRPr="00712B66" w:rsidRDefault="00567878" w:rsidP="00567878">
            <w:pPr>
              <w:pStyle w:val="naisc"/>
              <w:spacing w:before="0" w:after="0"/>
              <w:jc w:val="both"/>
            </w:pPr>
            <w:r w:rsidRPr="00290CB5">
              <w:rPr>
                <w:color w:val="000000"/>
              </w:rPr>
              <w:t>Papildus lūdzam precizēt, līdz kuram datumam un kāda informācija par šādiem izglītojamajiem jāsniedz Izglītības un zinātnes ministrijai.</w:t>
            </w:r>
          </w:p>
        </w:tc>
        <w:tc>
          <w:tcPr>
            <w:tcW w:w="3000" w:type="dxa"/>
            <w:gridSpan w:val="2"/>
            <w:tcBorders>
              <w:top w:val="single" w:sz="4" w:space="0" w:color="auto"/>
              <w:left w:val="single" w:sz="4" w:space="0" w:color="auto"/>
              <w:bottom w:val="single" w:sz="4" w:space="0" w:color="auto"/>
              <w:right w:val="single" w:sz="4" w:space="0" w:color="auto"/>
            </w:tcBorders>
          </w:tcPr>
          <w:p w14:paraId="0EC1A62C" w14:textId="77777777" w:rsidR="00567878" w:rsidRPr="00567878" w:rsidRDefault="00567878" w:rsidP="00567878">
            <w:pPr>
              <w:jc w:val="both"/>
            </w:pPr>
            <w:r w:rsidRPr="00567878">
              <w:lastRenderedPageBreak/>
              <w:t>Diskutējot saskaņošanas sanāksmē 2021.gada 18.jūnijā panākta vienošanās par grozījumu projektā ietverto regulējumu.</w:t>
            </w:r>
          </w:p>
        </w:tc>
        <w:tc>
          <w:tcPr>
            <w:tcW w:w="2799" w:type="dxa"/>
            <w:tcBorders>
              <w:top w:val="single" w:sz="4" w:space="0" w:color="auto"/>
              <w:left w:val="single" w:sz="4" w:space="0" w:color="auto"/>
              <w:bottom w:val="single" w:sz="4" w:space="0" w:color="auto"/>
            </w:tcBorders>
          </w:tcPr>
          <w:p w14:paraId="0EC1A62D" w14:textId="77777777" w:rsidR="00E91F44" w:rsidRDefault="00E91F44" w:rsidP="00E91F44">
            <w:r>
              <w:t xml:space="preserve">1.4. papildināt noteikumus ar 7.7.1 apakšpunktu šādā redakcijā: </w:t>
            </w:r>
          </w:p>
          <w:p w14:paraId="0EC1A62E" w14:textId="77777777" w:rsidR="00567878" w:rsidRPr="00A83C92" w:rsidRDefault="00E91F44" w:rsidP="00E91F44">
            <w:pPr>
              <w:shd w:val="clear" w:color="auto" w:fill="FFFFFF"/>
              <w:spacing w:line="276" w:lineRule="auto"/>
              <w:jc w:val="both"/>
              <w:rPr>
                <w:color w:val="000000"/>
              </w:rPr>
            </w:pPr>
            <w:r>
              <w:t>"7.7.1 izglītojamiem, kas pamatizglītības, izņemot speciālās pamatizglītības, pirmā posma izglītības programmas daļā paredzēto mācību saturu apgūst ģimenē, piemēro koeficientu 0,1;"</w:t>
            </w:r>
          </w:p>
        </w:tc>
      </w:tr>
      <w:tr w:rsidR="00567878" w:rsidRPr="00712B66" w14:paraId="0EC1A631" w14:textId="77777777" w:rsidTr="008B4733">
        <w:tc>
          <w:tcPr>
            <w:tcW w:w="14283" w:type="dxa"/>
            <w:gridSpan w:val="7"/>
            <w:tcBorders>
              <w:left w:val="single" w:sz="6" w:space="0" w:color="000000"/>
              <w:bottom w:val="single" w:sz="4" w:space="0" w:color="auto"/>
            </w:tcBorders>
          </w:tcPr>
          <w:p w14:paraId="0EC1A630" w14:textId="77777777" w:rsidR="00567878" w:rsidRDefault="008B4733" w:rsidP="00567878">
            <w:pPr>
              <w:jc w:val="center"/>
              <w:rPr>
                <w:b/>
              </w:rPr>
            </w:pPr>
            <w:r>
              <w:rPr>
                <w:b/>
              </w:rPr>
              <w:t>Latvijas Izglītības un zinātnes darbinieku arodbiedrība</w:t>
            </w:r>
          </w:p>
        </w:tc>
      </w:tr>
      <w:tr w:rsidR="008B4733" w:rsidRPr="003B71E0" w14:paraId="0EC1A63B" w14:textId="77777777" w:rsidTr="008B4733">
        <w:tc>
          <w:tcPr>
            <w:tcW w:w="708" w:type="dxa"/>
            <w:tcBorders>
              <w:top w:val="single" w:sz="6" w:space="0" w:color="000000"/>
              <w:left w:val="single" w:sz="6" w:space="0" w:color="000000"/>
              <w:bottom w:val="single" w:sz="6" w:space="0" w:color="000000"/>
              <w:right w:val="single" w:sz="6" w:space="0" w:color="000000"/>
            </w:tcBorders>
          </w:tcPr>
          <w:p w14:paraId="0EC1A632" w14:textId="77777777" w:rsidR="008B4733" w:rsidRDefault="008B4733" w:rsidP="008B4733">
            <w:pPr>
              <w:pStyle w:val="naisc"/>
              <w:spacing w:before="0" w:after="0"/>
            </w:pPr>
            <w:r>
              <w:t>8.</w:t>
            </w:r>
          </w:p>
        </w:tc>
        <w:tc>
          <w:tcPr>
            <w:tcW w:w="3531" w:type="dxa"/>
            <w:gridSpan w:val="2"/>
            <w:tcBorders>
              <w:left w:val="single" w:sz="6" w:space="0" w:color="000000"/>
              <w:bottom w:val="single" w:sz="4" w:space="0" w:color="auto"/>
              <w:right w:val="single" w:sz="6" w:space="0" w:color="000000"/>
            </w:tcBorders>
          </w:tcPr>
          <w:p w14:paraId="0EC1A633" w14:textId="77777777" w:rsidR="008B4733" w:rsidRPr="00A83C92" w:rsidRDefault="008B4733" w:rsidP="008B4733">
            <w:pPr>
              <w:shd w:val="clear" w:color="auto" w:fill="FFFFFF"/>
              <w:spacing w:line="276" w:lineRule="auto"/>
              <w:jc w:val="both"/>
              <w:rPr>
                <w:color w:val="000000"/>
              </w:rPr>
            </w:pPr>
            <w:r w:rsidRPr="00A83C92">
              <w:rPr>
                <w:color w:val="000000"/>
              </w:rPr>
              <w:t>1.2. izteikt 7.4. apakšpunktu šādā redakcijā:</w:t>
            </w:r>
          </w:p>
          <w:p w14:paraId="0EC1A634" w14:textId="77777777" w:rsidR="008B4733" w:rsidRPr="00712B66" w:rsidRDefault="008B4733" w:rsidP="008B4733">
            <w:pPr>
              <w:pStyle w:val="naisc"/>
              <w:spacing w:before="0" w:after="0"/>
              <w:jc w:val="both"/>
            </w:pPr>
            <w:r>
              <w:rPr>
                <w:color w:val="000000"/>
              </w:rPr>
              <w:t>"</w:t>
            </w:r>
            <w:r w:rsidRPr="00A83C92">
              <w:rPr>
                <w:color w:val="000000"/>
              </w:rPr>
              <w:t>7.4. skolēnu skaitam vakara (maiņu) vispārējās izglītības programmās piemēro koeficientu 0,85, neklātienes un tālmācības vispārējās izglītības programmās piemēro koeficientu 0,6. Skolēnu skaitam, kas vienā un tajā pašā klasē tālmācības vispārējās vidējās izglītības programmās mācās ilgāk par vienu mācību gadu, piemēro koeficientu 0,3;</w:t>
            </w:r>
            <w:r>
              <w:rPr>
                <w:color w:val="000000"/>
              </w:rPr>
              <w:t>"</w:t>
            </w:r>
          </w:p>
        </w:tc>
        <w:tc>
          <w:tcPr>
            <w:tcW w:w="4245" w:type="dxa"/>
            <w:tcBorders>
              <w:left w:val="single" w:sz="6" w:space="0" w:color="000000"/>
              <w:bottom w:val="single" w:sz="4" w:space="0" w:color="auto"/>
              <w:right w:val="single" w:sz="6" w:space="0" w:color="000000"/>
            </w:tcBorders>
          </w:tcPr>
          <w:p w14:paraId="0EC1A635" w14:textId="77777777" w:rsidR="008B4733" w:rsidRPr="009051C2" w:rsidRDefault="008B4733" w:rsidP="008B4733">
            <w:pPr>
              <w:pStyle w:val="naisc"/>
              <w:spacing w:before="0" w:after="0"/>
              <w:jc w:val="both"/>
            </w:pPr>
            <w:r w:rsidRPr="009051C2">
              <w:t xml:space="preserve">Iebilstam pret 1.2. punkta grozījumiem "izteikt 7.4. apakšpunktu šādā redakcijā: "…Skolēnu skaitam, kas vienā un tajā pašā klasē tālmācības vispārējās vidējās izglītības programmās mācās ilgāk par vienu mācību gadu, piemēro koeficientu 0,3;" </w:t>
            </w:r>
            <w:r w:rsidRPr="00290CB5">
              <w:t>Uzskatam, ka šādas grozījumu redakcijas piemērošanas rezultātā  tiek diskriminēti tālmācības vispārējās vidējās izglītības programmu izglītojamie, jo netiek nodrošinātas vienlīdzīgas iespējas salīdzinot ar visiem pārējiem vispārējās vidējās izglītības programmu izglītojamajiem.</w:t>
            </w:r>
            <w:r w:rsidRPr="009051C2">
              <w:t xml:space="preserve">  Vēršam uzmanību uz anotāciju, kur rakstīts: “Šādu skolēnu skaitam privāto izglītības iestāžu gadījumā ministrija aprēķina dotāciju pedagogu </w:t>
            </w:r>
            <w:r w:rsidRPr="00AD5F1A">
              <w:t>darba samaksai, piemērojot koeficientu 0,3.”. LIZDA lūdz skaidrojumu vai normas piemērošana ir attiecināma tikai uz privātajām izglītības iestādēm, jo no rosinātās grozījumu redakcijas tas nav saprotams;</w:t>
            </w:r>
          </w:p>
        </w:tc>
        <w:tc>
          <w:tcPr>
            <w:tcW w:w="3000" w:type="dxa"/>
            <w:gridSpan w:val="2"/>
            <w:tcBorders>
              <w:top w:val="single" w:sz="4" w:space="0" w:color="auto"/>
              <w:left w:val="single" w:sz="4" w:space="0" w:color="auto"/>
              <w:bottom w:val="single" w:sz="4" w:space="0" w:color="auto"/>
              <w:right w:val="single" w:sz="4" w:space="0" w:color="auto"/>
            </w:tcBorders>
          </w:tcPr>
          <w:p w14:paraId="0EC1A636" w14:textId="77777777" w:rsidR="008B4733" w:rsidRDefault="008B4733" w:rsidP="008B4733">
            <w:pPr>
              <w:jc w:val="both"/>
            </w:pPr>
            <w:r>
              <w:t>Diskutējot saskaņošanas sanāksmē 2021.gada 18.jūnijā panākta konceptuāla vienošanās par grozījumu projektā ietverto regulējumu.</w:t>
            </w:r>
          </w:p>
          <w:p w14:paraId="0EC1A637" w14:textId="77777777" w:rsidR="008B4733" w:rsidRPr="00567878" w:rsidRDefault="008B4733" w:rsidP="001F3C77">
            <w:pPr>
              <w:jc w:val="both"/>
            </w:pPr>
            <w:r>
              <w:t xml:space="preserve">Grozījumu projekta anotācijā ietverts papildinājums, </w:t>
            </w:r>
            <w:r w:rsidR="001F3C77">
              <w:t xml:space="preserve">par </w:t>
            </w:r>
            <w:r w:rsidR="001F3C77" w:rsidRPr="001F3C77">
              <w:t>koeficientu 0,3 piemēro</w:t>
            </w:r>
            <w:r w:rsidR="001F3C77">
              <w:t>šanu</w:t>
            </w:r>
            <w:r w:rsidR="001F3C77" w:rsidRPr="001F3C77">
              <w:t xml:space="preserve"> </w:t>
            </w:r>
            <w:r w:rsidR="001F3C77">
              <w:t>s</w:t>
            </w:r>
            <w:r w:rsidR="001F3C77" w:rsidRPr="001F3C77">
              <w:t xml:space="preserve">kolēnu skaitam, kas tālmācības vispārējās vidējās izglītības programmās mācības tajā pašā klasē uzsāk atkārtoti, izņemot, ja mācības atkārtoti uzsāktas viena mācību gada ietvaros, arī gadījumos, ja izglītojamais uzsāk mācības citā izglītības iestādē. </w:t>
            </w:r>
          </w:p>
        </w:tc>
        <w:tc>
          <w:tcPr>
            <w:tcW w:w="2799" w:type="dxa"/>
            <w:tcBorders>
              <w:top w:val="single" w:sz="4" w:space="0" w:color="auto"/>
              <w:left w:val="single" w:sz="4" w:space="0" w:color="auto"/>
              <w:bottom w:val="single" w:sz="4" w:space="0" w:color="auto"/>
            </w:tcBorders>
          </w:tcPr>
          <w:p w14:paraId="0EC1A638" w14:textId="77777777" w:rsidR="008B4733" w:rsidRPr="008B4733" w:rsidRDefault="008B4733" w:rsidP="008B4733">
            <w:pPr>
              <w:shd w:val="clear" w:color="auto" w:fill="FFFFFF"/>
              <w:spacing w:line="276" w:lineRule="auto"/>
              <w:jc w:val="both"/>
              <w:rPr>
                <w:color w:val="000000"/>
              </w:rPr>
            </w:pPr>
            <w:r w:rsidRPr="008B4733">
              <w:rPr>
                <w:color w:val="000000"/>
              </w:rPr>
              <w:t>1.2. izteikt 7.4. apakšpunktu šādā redakcijā:</w:t>
            </w:r>
          </w:p>
          <w:p w14:paraId="0EC1A639" w14:textId="77777777" w:rsidR="008B4733" w:rsidRPr="008B4733" w:rsidRDefault="008B4733" w:rsidP="008B4733">
            <w:pPr>
              <w:shd w:val="clear" w:color="auto" w:fill="FFFFFF"/>
              <w:spacing w:line="276" w:lineRule="auto"/>
              <w:jc w:val="both"/>
              <w:rPr>
                <w:color w:val="000000"/>
              </w:rPr>
            </w:pPr>
          </w:p>
          <w:p w14:paraId="0EC1A63A" w14:textId="77777777" w:rsidR="008B4733" w:rsidRPr="00A83C92" w:rsidRDefault="008B4733" w:rsidP="008B4733">
            <w:pPr>
              <w:shd w:val="clear" w:color="auto" w:fill="FFFFFF"/>
              <w:spacing w:line="276" w:lineRule="auto"/>
              <w:jc w:val="both"/>
              <w:rPr>
                <w:color w:val="000000"/>
              </w:rPr>
            </w:pPr>
            <w:r w:rsidRPr="008B4733">
              <w:rPr>
                <w:color w:val="000000"/>
              </w:rPr>
              <w:t>“7.4. skolēnu skaitam vakara (maiņu) vispārējās izglītības programmās piemēro koeficientu 0,85, neklātienes un tālmācības vispārējās izglītības programmās piemēro koeficientu 0,6. Skolēnu skaitam, kas tālmācības vispārējās vidējās izglītības programmās mācības tajā pašā klasē uzsāk atkārtoti, izņemot, ja mācības atkārtoti uzsāktas viena mācību gada ietvaros, piemēro koeficientu 0,3;”;</w:t>
            </w:r>
          </w:p>
        </w:tc>
      </w:tr>
      <w:tr w:rsidR="008B4733" w:rsidRPr="00712B66" w14:paraId="0EC1A63F" w14:textId="77777777" w:rsidTr="008B4733">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0EC1A63C" w14:textId="77777777" w:rsidR="008B4733" w:rsidRPr="00712B66" w:rsidRDefault="008B4733" w:rsidP="008B4733">
            <w:pPr>
              <w:pStyle w:val="naiskr"/>
              <w:spacing w:before="0" w:after="0"/>
            </w:pPr>
          </w:p>
          <w:p w14:paraId="0EC1A63D" w14:textId="77777777" w:rsidR="008B4733" w:rsidRPr="00712B66" w:rsidRDefault="008B4733" w:rsidP="008B4733">
            <w:pPr>
              <w:pStyle w:val="naiskr"/>
              <w:spacing w:before="0" w:after="0"/>
            </w:pPr>
            <w:r w:rsidRPr="00712B66">
              <w:t>Atbildīgā amatpersona</w:t>
            </w:r>
          </w:p>
        </w:tc>
        <w:tc>
          <w:tcPr>
            <w:tcW w:w="6179" w:type="dxa"/>
            <w:gridSpan w:val="3"/>
          </w:tcPr>
          <w:p w14:paraId="0EC1A63E" w14:textId="77777777" w:rsidR="008B4733" w:rsidRPr="00712B66" w:rsidRDefault="008B4733" w:rsidP="008B4733">
            <w:pPr>
              <w:pStyle w:val="naiskr"/>
              <w:spacing w:before="0" w:after="0"/>
              <w:ind w:firstLine="720"/>
            </w:pPr>
            <w:r w:rsidRPr="00712B66">
              <w:t>  </w:t>
            </w:r>
          </w:p>
        </w:tc>
      </w:tr>
      <w:tr w:rsidR="008B4733" w:rsidRPr="00712B66" w14:paraId="0EC1A642" w14:textId="77777777" w:rsidTr="008B4733">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0EC1A640" w14:textId="77777777" w:rsidR="008B4733" w:rsidRPr="00712B66" w:rsidRDefault="008B4733" w:rsidP="008B4733">
            <w:pPr>
              <w:pStyle w:val="naiskr"/>
              <w:spacing w:before="0" w:after="0"/>
              <w:ind w:firstLine="720"/>
            </w:pPr>
          </w:p>
        </w:tc>
        <w:tc>
          <w:tcPr>
            <w:tcW w:w="6179" w:type="dxa"/>
            <w:gridSpan w:val="3"/>
            <w:tcBorders>
              <w:top w:val="single" w:sz="6" w:space="0" w:color="000000"/>
            </w:tcBorders>
          </w:tcPr>
          <w:p w14:paraId="0EC1A641" w14:textId="77777777" w:rsidR="008B4733" w:rsidRPr="00712B66" w:rsidRDefault="008B4733" w:rsidP="008B4733">
            <w:pPr>
              <w:pStyle w:val="naisc"/>
              <w:spacing w:before="0" w:after="0"/>
              <w:ind w:firstLine="720"/>
            </w:pPr>
            <w:r w:rsidRPr="00712B66">
              <w:t>(paraksts)*</w:t>
            </w:r>
          </w:p>
        </w:tc>
      </w:tr>
    </w:tbl>
    <w:p w14:paraId="0EC1A643" w14:textId="77777777" w:rsidR="007116C7" w:rsidRDefault="007116C7" w:rsidP="00DB7395">
      <w:pPr>
        <w:pStyle w:val="naisf"/>
        <w:spacing w:before="0" w:after="0"/>
        <w:ind w:firstLine="720"/>
      </w:pPr>
    </w:p>
    <w:p w14:paraId="0EC1A644" w14:textId="77777777" w:rsidR="003B71E0" w:rsidRPr="00712B66" w:rsidRDefault="003B71E0" w:rsidP="00DB7395">
      <w:pPr>
        <w:pStyle w:val="naisf"/>
        <w:spacing w:before="0" w:after="0"/>
        <w:ind w:firstLine="720"/>
      </w:pPr>
    </w:p>
    <w:p w14:paraId="0EC1A645"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0EC1A646" w14:textId="77777777" w:rsidR="002C4874" w:rsidRDefault="002C4874" w:rsidP="009F6DC0">
      <w:pPr>
        <w:pStyle w:val="naisf"/>
        <w:spacing w:before="0" w:after="0"/>
        <w:ind w:firstLine="0"/>
      </w:pPr>
    </w:p>
    <w:p w14:paraId="0EC1A647" w14:textId="7E5C1462" w:rsidR="009F6DC0" w:rsidRPr="00712B66" w:rsidRDefault="006F4B3B" w:rsidP="009F6DC0">
      <w:pPr>
        <w:pStyle w:val="naisf"/>
        <w:spacing w:before="0" w:after="0"/>
        <w:ind w:firstLine="0"/>
      </w:pPr>
      <w:r>
        <w:t>Agija Nika</w:t>
      </w:r>
    </w:p>
    <w:tbl>
      <w:tblPr>
        <w:tblW w:w="0" w:type="auto"/>
        <w:tblLook w:val="00A0" w:firstRow="1" w:lastRow="0" w:firstColumn="1" w:lastColumn="0" w:noHBand="0" w:noVBand="0"/>
      </w:tblPr>
      <w:tblGrid>
        <w:gridCol w:w="8268"/>
      </w:tblGrid>
      <w:tr w:rsidR="008655A2" w:rsidRPr="00712B66" w14:paraId="0EC1A649" w14:textId="77777777">
        <w:tc>
          <w:tcPr>
            <w:tcW w:w="8268" w:type="dxa"/>
            <w:tcBorders>
              <w:top w:val="single" w:sz="4" w:space="0" w:color="000000"/>
            </w:tcBorders>
          </w:tcPr>
          <w:p w14:paraId="0EC1A648"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0EC1A64B" w14:textId="77777777">
        <w:tc>
          <w:tcPr>
            <w:tcW w:w="8268" w:type="dxa"/>
            <w:tcBorders>
              <w:bottom w:val="single" w:sz="4" w:space="0" w:color="000000"/>
            </w:tcBorders>
          </w:tcPr>
          <w:p w14:paraId="0EC1A64A" w14:textId="7EFF6F73" w:rsidR="008655A2" w:rsidRPr="00712B66" w:rsidRDefault="006F4B3B" w:rsidP="0036160E">
            <w:r>
              <w:t>Vecākā eksperte</w:t>
            </w:r>
          </w:p>
        </w:tc>
      </w:tr>
      <w:tr w:rsidR="008655A2" w:rsidRPr="00712B66" w14:paraId="0EC1A64D" w14:textId="77777777">
        <w:tc>
          <w:tcPr>
            <w:tcW w:w="8268" w:type="dxa"/>
            <w:tcBorders>
              <w:top w:val="single" w:sz="4" w:space="0" w:color="000000"/>
            </w:tcBorders>
          </w:tcPr>
          <w:p w14:paraId="0EC1A64C" w14:textId="77777777" w:rsidR="008655A2" w:rsidRPr="00712B66" w:rsidRDefault="00184479" w:rsidP="00184479">
            <w:pPr>
              <w:jc w:val="center"/>
            </w:pPr>
            <w:r>
              <w:t>(</w:t>
            </w:r>
            <w:r w:rsidR="008655A2" w:rsidRPr="00712B66">
              <w:t>amats</w:t>
            </w:r>
            <w:r>
              <w:t>)</w:t>
            </w:r>
          </w:p>
        </w:tc>
      </w:tr>
      <w:tr w:rsidR="008655A2" w:rsidRPr="00712B66" w14:paraId="0EC1A64F" w14:textId="77777777">
        <w:tc>
          <w:tcPr>
            <w:tcW w:w="8268" w:type="dxa"/>
            <w:tcBorders>
              <w:bottom w:val="single" w:sz="4" w:space="0" w:color="000000"/>
            </w:tcBorders>
          </w:tcPr>
          <w:p w14:paraId="0EC1A64E" w14:textId="79792A6D" w:rsidR="008655A2" w:rsidRPr="00712B66" w:rsidRDefault="006F4B3B" w:rsidP="0036160E">
            <w:r w:rsidRPr="006F4B3B">
              <w:t>67047908</w:t>
            </w:r>
          </w:p>
        </w:tc>
      </w:tr>
      <w:tr w:rsidR="008655A2" w:rsidRPr="00712B66" w14:paraId="0EC1A651" w14:textId="77777777">
        <w:tc>
          <w:tcPr>
            <w:tcW w:w="8268" w:type="dxa"/>
            <w:tcBorders>
              <w:top w:val="single" w:sz="4" w:space="0" w:color="000000"/>
            </w:tcBorders>
          </w:tcPr>
          <w:p w14:paraId="0EC1A650" w14:textId="77777777" w:rsidR="008655A2" w:rsidRPr="00712B66" w:rsidRDefault="00184479" w:rsidP="00184479">
            <w:pPr>
              <w:jc w:val="center"/>
            </w:pPr>
            <w:r>
              <w:t>(</w:t>
            </w:r>
            <w:r w:rsidR="008655A2" w:rsidRPr="00712B66">
              <w:t>tālruņa un faksa numurs</w:t>
            </w:r>
            <w:r>
              <w:t>)</w:t>
            </w:r>
          </w:p>
        </w:tc>
      </w:tr>
      <w:tr w:rsidR="008655A2" w:rsidRPr="00712B66" w14:paraId="0EC1A653" w14:textId="77777777">
        <w:tc>
          <w:tcPr>
            <w:tcW w:w="8268" w:type="dxa"/>
            <w:tcBorders>
              <w:bottom w:val="single" w:sz="4" w:space="0" w:color="000000"/>
            </w:tcBorders>
          </w:tcPr>
          <w:p w14:paraId="0EC1A652" w14:textId="39A1DAFD" w:rsidR="008655A2" w:rsidRPr="00712B66" w:rsidRDefault="006F4B3B" w:rsidP="0036160E">
            <w:r w:rsidRPr="006F4B3B">
              <w:t>agija.nika@izm.gov.lv</w:t>
            </w:r>
          </w:p>
        </w:tc>
      </w:tr>
      <w:tr w:rsidR="008655A2" w:rsidRPr="00712B66" w14:paraId="0EC1A655" w14:textId="77777777">
        <w:tc>
          <w:tcPr>
            <w:tcW w:w="8268" w:type="dxa"/>
            <w:tcBorders>
              <w:top w:val="single" w:sz="4" w:space="0" w:color="000000"/>
            </w:tcBorders>
          </w:tcPr>
          <w:p w14:paraId="0EC1A654" w14:textId="77777777" w:rsidR="008655A2" w:rsidRPr="00712B66" w:rsidRDefault="00184479" w:rsidP="00184479">
            <w:pPr>
              <w:jc w:val="center"/>
            </w:pPr>
            <w:r>
              <w:t>(</w:t>
            </w:r>
            <w:r w:rsidR="008655A2" w:rsidRPr="00712B66">
              <w:t>e-pasta adrese</w:t>
            </w:r>
            <w:r>
              <w:t>)</w:t>
            </w:r>
          </w:p>
        </w:tc>
      </w:tr>
    </w:tbl>
    <w:p w14:paraId="0EC1A656" w14:textId="77777777" w:rsidR="007116C7" w:rsidRPr="003B71E0" w:rsidRDefault="007116C7" w:rsidP="00E74517">
      <w:pPr>
        <w:pStyle w:val="naisf"/>
        <w:spacing w:before="0" w:after="0"/>
        <w:ind w:firstLine="0"/>
        <w:jc w:val="left"/>
        <w:rPr>
          <w:sz w:val="28"/>
          <w:szCs w:val="28"/>
        </w:rPr>
      </w:pPr>
    </w:p>
    <w:p w14:paraId="0EC1A657" w14:textId="77777777" w:rsidR="009623BC" w:rsidRDefault="009623BC" w:rsidP="00E74517">
      <w:pPr>
        <w:pStyle w:val="naisf"/>
        <w:spacing w:before="0" w:after="0"/>
        <w:ind w:firstLine="0"/>
        <w:jc w:val="left"/>
        <w:rPr>
          <w:sz w:val="28"/>
          <w:szCs w:val="28"/>
        </w:rPr>
      </w:pPr>
    </w:p>
    <w:p w14:paraId="0EC1A658" w14:textId="77777777" w:rsidR="003B71E0" w:rsidRPr="003B71E0" w:rsidRDefault="003B71E0" w:rsidP="00E74517">
      <w:pPr>
        <w:pStyle w:val="naisf"/>
        <w:spacing w:before="0" w:after="0"/>
        <w:ind w:firstLine="0"/>
        <w:jc w:val="left"/>
        <w:rPr>
          <w:sz w:val="28"/>
          <w:szCs w:val="28"/>
        </w:rPr>
      </w:pPr>
    </w:p>
    <w:sectPr w:rsidR="003B71E0" w:rsidRPr="003B71E0"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759FA" w14:textId="77777777" w:rsidR="007C6DD0" w:rsidRDefault="007C6DD0">
      <w:r>
        <w:separator/>
      </w:r>
    </w:p>
  </w:endnote>
  <w:endnote w:type="continuationSeparator" w:id="0">
    <w:p w14:paraId="47E0CDB8" w14:textId="77777777" w:rsidR="007C6DD0" w:rsidRDefault="007C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A661" w14:textId="2F4CD909" w:rsidR="006455E7" w:rsidRPr="004A75B6" w:rsidRDefault="007C6DD0" w:rsidP="004A75B6">
    <w:pPr>
      <w:pStyle w:val="Footer"/>
    </w:pPr>
    <w:r>
      <w:rPr>
        <w:noProof/>
      </w:rPr>
      <w:fldChar w:fldCharType="begin"/>
    </w:r>
    <w:r>
      <w:rPr>
        <w:noProof/>
      </w:rPr>
      <w:instrText xml:space="preserve"> FILENAME \* MERGEFORMAT </w:instrText>
    </w:r>
    <w:r>
      <w:rPr>
        <w:noProof/>
      </w:rPr>
      <w:fldChar w:fldCharType="separate"/>
    </w:r>
    <w:r w:rsidR="00DC4CB4">
      <w:rPr>
        <w:noProof/>
      </w:rPr>
      <w:t>IZMIzzina_1</w:t>
    </w:r>
    <w:r w:rsidR="006A393B">
      <w:rPr>
        <w:noProof/>
      </w:rPr>
      <w:t>8</w:t>
    </w:r>
    <w:r w:rsidR="00DC4CB4">
      <w:rPr>
        <w:noProof/>
      </w:rPr>
      <w:t>0621_Groz447_487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A662" w14:textId="20585273" w:rsidR="006455E7" w:rsidRPr="004A75B6" w:rsidRDefault="007C6DD0" w:rsidP="004A75B6">
    <w:pPr>
      <w:pStyle w:val="Footer"/>
    </w:pPr>
    <w:r>
      <w:rPr>
        <w:noProof/>
      </w:rPr>
      <w:fldChar w:fldCharType="begin"/>
    </w:r>
    <w:r>
      <w:rPr>
        <w:noProof/>
      </w:rPr>
      <w:instrText xml:space="preserve"> FILENAME \* MERGEFORMAT </w:instrText>
    </w:r>
    <w:r>
      <w:rPr>
        <w:noProof/>
      </w:rPr>
      <w:fldChar w:fldCharType="separate"/>
    </w:r>
    <w:r w:rsidR="00DC4CB4">
      <w:rPr>
        <w:noProof/>
      </w:rPr>
      <w:t>IZMIzzina_1</w:t>
    </w:r>
    <w:r w:rsidR="006A393B">
      <w:rPr>
        <w:noProof/>
      </w:rPr>
      <w:t>8</w:t>
    </w:r>
    <w:r w:rsidR="00DC4CB4">
      <w:rPr>
        <w:noProof/>
      </w:rPr>
      <w:t>0621_Groz447_487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3EFEA" w14:textId="77777777" w:rsidR="007C6DD0" w:rsidRDefault="007C6DD0">
      <w:r>
        <w:separator/>
      </w:r>
    </w:p>
  </w:footnote>
  <w:footnote w:type="continuationSeparator" w:id="0">
    <w:p w14:paraId="39CFE798" w14:textId="77777777" w:rsidR="007C6DD0" w:rsidRDefault="007C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A65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1A65E" w14:textId="77777777"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A65F"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841">
      <w:rPr>
        <w:rStyle w:val="PageNumber"/>
        <w:noProof/>
      </w:rPr>
      <w:t>2</w:t>
    </w:r>
    <w:r>
      <w:rPr>
        <w:rStyle w:val="PageNumber"/>
      </w:rPr>
      <w:fldChar w:fldCharType="end"/>
    </w:r>
  </w:p>
  <w:p w14:paraId="0EC1A660" w14:textId="77777777"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68D"/>
    <w:multiLevelType w:val="hybridMultilevel"/>
    <w:tmpl w:val="A48C308A"/>
    <w:lvl w:ilvl="0" w:tplc="0409000F">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782407"/>
    <w:multiLevelType w:val="hybridMultilevel"/>
    <w:tmpl w:val="CC4C00DE"/>
    <w:lvl w:ilvl="0" w:tplc="D6E4A1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8E5040"/>
    <w:multiLevelType w:val="hybridMultilevel"/>
    <w:tmpl w:val="217ACFE4"/>
    <w:lvl w:ilvl="0" w:tplc="0426000F">
      <w:start w:val="1"/>
      <w:numFmt w:val="decimal"/>
      <w:lvlText w:val="%1."/>
      <w:lvlJc w:val="left"/>
      <w:pPr>
        <w:ind w:left="8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D5B4151"/>
    <w:multiLevelType w:val="hybridMultilevel"/>
    <w:tmpl w:val="F7BCAB34"/>
    <w:lvl w:ilvl="0" w:tplc="3D041F80">
      <w:start w:val="3"/>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93310A"/>
    <w:multiLevelType w:val="hybridMultilevel"/>
    <w:tmpl w:val="E4645C9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C34D9A"/>
    <w:multiLevelType w:val="hybridMultilevel"/>
    <w:tmpl w:val="13F28BB0"/>
    <w:lvl w:ilvl="0" w:tplc="9216C75E">
      <w:start w:val="1"/>
      <w:numFmt w:val="decimal"/>
      <w:lvlText w:val="(%1)"/>
      <w:lvlJc w:val="left"/>
      <w:pPr>
        <w:ind w:left="420" w:hanging="360"/>
      </w:pPr>
      <w:rPr>
        <w:rFonts w:eastAsia="Times New Roman" w:hint="default"/>
        <w:sz w:val="24"/>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F5A78"/>
    <w:multiLevelType w:val="hybridMultilevel"/>
    <w:tmpl w:val="04B2870C"/>
    <w:lvl w:ilvl="0" w:tplc="0409000F">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3"/>
  </w:num>
  <w:num w:numId="6">
    <w:abstractNumId w:val="2"/>
  </w:num>
  <w:num w:numId="7">
    <w:abstractNumId w:val="11"/>
  </w:num>
  <w:num w:numId="8">
    <w:abstractNumId w:val="5"/>
  </w:num>
  <w:num w:numId="9">
    <w:abstractNumId w:val="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4FCA"/>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EFF"/>
    <w:rsid w:val="00023FD6"/>
    <w:rsid w:val="0002416A"/>
    <w:rsid w:val="00024CCD"/>
    <w:rsid w:val="00024D20"/>
    <w:rsid w:val="000253DB"/>
    <w:rsid w:val="000270B6"/>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4EF3"/>
    <w:rsid w:val="000958A2"/>
    <w:rsid w:val="000965E7"/>
    <w:rsid w:val="000A0041"/>
    <w:rsid w:val="000A06FC"/>
    <w:rsid w:val="000A0E52"/>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1D88"/>
    <w:rsid w:val="000C2555"/>
    <w:rsid w:val="000C3545"/>
    <w:rsid w:val="000C498A"/>
    <w:rsid w:val="000C4C16"/>
    <w:rsid w:val="000C56FC"/>
    <w:rsid w:val="000C7907"/>
    <w:rsid w:val="000C7A11"/>
    <w:rsid w:val="000C7F5E"/>
    <w:rsid w:val="000D00AC"/>
    <w:rsid w:val="000D0AED"/>
    <w:rsid w:val="000D3602"/>
    <w:rsid w:val="000D3D81"/>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32B"/>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5E"/>
    <w:rsid w:val="00114EA9"/>
    <w:rsid w:val="00115ED0"/>
    <w:rsid w:val="0011683C"/>
    <w:rsid w:val="001179E8"/>
    <w:rsid w:val="0012021B"/>
    <w:rsid w:val="0012222D"/>
    <w:rsid w:val="00123CD2"/>
    <w:rsid w:val="001255E6"/>
    <w:rsid w:val="0013053A"/>
    <w:rsid w:val="0013066A"/>
    <w:rsid w:val="001315EF"/>
    <w:rsid w:val="00131F39"/>
    <w:rsid w:val="00132375"/>
    <w:rsid w:val="00132E73"/>
    <w:rsid w:val="00133505"/>
    <w:rsid w:val="00134188"/>
    <w:rsid w:val="001348FA"/>
    <w:rsid w:val="0013603E"/>
    <w:rsid w:val="00137403"/>
    <w:rsid w:val="00140706"/>
    <w:rsid w:val="0014122A"/>
    <w:rsid w:val="00141E85"/>
    <w:rsid w:val="0014319C"/>
    <w:rsid w:val="001436B3"/>
    <w:rsid w:val="00143976"/>
    <w:rsid w:val="00143DAC"/>
    <w:rsid w:val="00144622"/>
    <w:rsid w:val="00144781"/>
    <w:rsid w:val="00144917"/>
    <w:rsid w:val="00146671"/>
    <w:rsid w:val="0014702D"/>
    <w:rsid w:val="00147596"/>
    <w:rsid w:val="00152718"/>
    <w:rsid w:val="001530CF"/>
    <w:rsid w:val="00153F12"/>
    <w:rsid w:val="00154061"/>
    <w:rsid w:val="001543DB"/>
    <w:rsid w:val="00155473"/>
    <w:rsid w:val="00155D66"/>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93"/>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0815"/>
    <w:rsid w:val="001E20A8"/>
    <w:rsid w:val="001E22E7"/>
    <w:rsid w:val="001E2714"/>
    <w:rsid w:val="001E398C"/>
    <w:rsid w:val="001E4456"/>
    <w:rsid w:val="001E4DDC"/>
    <w:rsid w:val="001E6AE6"/>
    <w:rsid w:val="001E7428"/>
    <w:rsid w:val="001E774F"/>
    <w:rsid w:val="001E7C1D"/>
    <w:rsid w:val="001F073F"/>
    <w:rsid w:val="001F3009"/>
    <w:rsid w:val="001F3358"/>
    <w:rsid w:val="001F35CB"/>
    <w:rsid w:val="001F390F"/>
    <w:rsid w:val="001F3C77"/>
    <w:rsid w:val="001F5CD1"/>
    <w:rsid w:val="001F5F72"/>
    <w:rsid w:val="001F7257"/>
    <w:rsid w:val="001F7739"/>
    <w:rsid w:val="0020011B"/>
    <w:rsid w:val="0020187E"/>
    <w:rsid w:val="00201DC6"/>
    <w:rsid w:val="00202375"/>
    <w:rsid w:val="002025EA"/>
    <w:rsid w:val="00202884"/>
    <w:rsid w:val="00202E44"/>
    <w:rsid w:val="00203556"/>
    <w:rsid w:val="00204D0F"/>
    <w:rsid w:val="00204DB6"/>
    <w:rsid w:val="00204DF9"/>
    <w:rsid w:val="002056ED"/>
    <w:rsid w:val="00205C3A"/>
    <w:rsid w:val="0020622C"/>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565A"/>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34F"/>
    <w:rsid w:val="002434B2"/>
    <w:rsid w:val="002442F4"/>
    <w:rsid w:val="002445EA"/>
    <w:rsid w:val="00244ECE"/>
    <w:rsid w:val="00244FC5"/>
    <w:rsid w:val="00245184"/>
    <w:rsid w:val="00245D1D"/>
    <w:rsid w:val="00250EDA"/>
    <w:rsid w:val="00251502"/>
    <w:rsid w:val="002518E8"/>
    <w:rsid w:val="00251C10"/>
    <w:rsid w:val="00252E1E"/>
    <w:rsid w:val="002538BA"/>
    <w:rsid w:val="0025469D"/>
    <w:rsid w:val="002552B1"/>
    <w:rsid w:val="00255D01"/>
    <w:rsid w:val="00256BCB"/>
    <w:rsid w:val="00256E55"/>
    <w:rsid w:val="00257E0E"/>
    <w:rsid w:val="00257FF4"/>
    <w:rsid w:val="00260FCB"/>
    <w:rsid w:val="002615F5"/>
    <w:rsid w:val="002616B9"/>
    <w:rsid w:val="0026217B"/>
    <w:rsid w:val="002621DD"/>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079B"/>
    <w:rsid w:val="002815D0"/>
    <w:rsid w:val="002820A7"/>
    <w:rsid w:val="00282742"/>
    <w:rsid w:val="00283B82"/>
    <w:rsid w:val="00283E13"/>
    <w:rsid w:val="00286478"/>
    <w:rsid w:val="00286CEC"/>
    <w:rsid w:val="00287EDD"/>
    <w:rsid w:val="00290CB5"/>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B2E"/>
    <w:rsid w:val="002B1DBF"/>
    <w:rsid w:val="002B207F"/>
    <w:rsid w:val="002B2A48"/>
    <w:rsid w:val="002B2BEE"/>
    <w:rsid w:val="002B31AD"/>
    <w:rsid w:val="002B3EA7"/>
    <w:rsid w:val="002B4BAE"/>
    <w:rsid w:val="002B538B"/>
    <w:rsid w:val="002B581B"/>
    <w:rsid w:val="002C2892"/>
    <w:rsid w:val="002C4874"/>
    <w:rsid w:val="002C5891"/>
    <w:rsid w:val="002C58AB"/>
    <w:rsid w:val="002C6D84"/>
    <w:rsid w:val="002C7D21"/>
    <w:rsid w:val="002D1564"/>
    <w:rsid w:val="002D1CA4"/>
    <w:rsid w:val="002D24EA"/>
    <w:rsid w:val="002D2C09"/>
    <w:rsid w:val="002D2C45"/>
    <w:rsid w:val="002D2FAD"/>
    <w:rsid w:val="002D4969"/>
    <w:rsid w:val="002D4EE1"/>
    <w:rsid w:val="002D4F49"/>
    <w:rsid w:val="002D778E"/>
    <w:rsid w:val="002E04D7"/>
    <w:rsid w:val="002E06DD"/>
    <w:rsid w:val="002E171A"/>
    <w:rsid w:val="002E2A24"/>
    <w:rsid w:val="002E3D66"/>
    <w:rsid w:val="002E3F11"/>
    <w:rsid w:val="002E4B11"/>
    <w:rsid w:val="002E4C57"/>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98C"/>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42BD"/>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77D"/>
    <w:rsid w:val="00372221"/>
    <w:rsid w:val="00372CF2"/>
    <w:rsid w:val="00374C7E"/>
    <w:rsid w:val="00377353"/>
    <w:rsid w:val="0037736B"/>
    <w:rsid w:val="00381F57"/>
    <w:rsid w:val="0038216E"/>
    <w:rsid w:val="003822E5"/>
    <w:rsid w:val="003830B8"/>
    <w:rsid w:val="00383262"/>
    <w:rsid w:val="00392A37"/>
    <w:rsid w:val="003A157A"/>
    <w:rsid w:val="003A283F"/>
    <w:rsid w:val="003A2A16"/>
    <w:rsid w:val="003A2FDD"/>
    <w:rsid w:val="003A3C43"/>
    <w:rsid w:val="003A5694"/>
    <w:rsid w:val="003A5CCC"/>
    <w:rsid w:val="003A70FF"/>
    <w:rsid w:val="003A74D2"/>
    <w:rsid w:val="003A756B"/>
    <w:rsid w:val="003A7902"/>
    <w:rsid w:val="003B1E5E"/>
    <w:rsid w:val="003B23D7"/>
    <w:rsid w:val="003B34CB"/>
    <w:rsid w:val="003B3AB4"/>
    <w:rsid w:val="003B3CA8"/>
    <w:rsid w:val="003B3D98"/>
    <w:rsid w:val="003B45D5"/>
    <w:rsid w:val="003B52FE"/>
    <w:rsid w:val="003B572A"/>
    <w:rsid w:val="003B6325"/>
    <w:rsid w:val="003B71E0"/>
    <w:rsid w:val="003B7645"/>
    <w:rsid w:val="003B78A4"/>
    <w:rsid w:val="003C144E"/>
    <w:rsid w:val="003C1A07"/>
    <w:rsid w:val="003C1E74"/>
    <w:rsid w:val="003C20A2"/>
    <w:rsid w:val="003C2673"/>
    <w:rsid w:val="003C27A2"/>
    <w:rsid w:val="003C567C"/>
    <w:rsid w:val="003C59B8"/>
    <w:rsid w:val="003C6809"/>
    <w:rsid w:val="003C6ADB"/>
    <w:rsid w:val="003C7897"/>
    <w:rsid w:val="003D0937"/>
    <w:rsid w:val="003D17E6"/>
    <w:rsid w:val="003D1A20"/>
    <w:rsid w:val="003D1AC9"/>
    <w:rsid w:val="003D2AC9"/>
    <w:rsid w:val="003D2CD8"/>
    <w:rsid w:val="003D3724"/>
    <w:rsid w:val="003D3FF7"/>
    <w:rsid w:val="003D46A7"/>
    <w:rsid w:val="003D6376"/>
    <w:rsid w:val="003D7313"/>
    <w:rsid w:val="003E1235"/>
    <w:rsid w:val="003E1BCF"/>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1743E"/>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8BC"/>
    <w:rsid w:val="00454EC3"/>
    <w:rsid w:val="0045530A"/>
    <w:rsid w:val="004554AE"/>
    <w:rsid w:val="004554C3"/>
    <w:rsid w:val="00455FB6"/>
    <w:rsid w:val="00457197"/>
    <w:rsid w:val="00457555"/>
    <w:rsid w:val="00457971"/>
    <w:rsid w:val="00457DD8"/>
    <w:rsid w:val="004603D0"/>
    <w:rsid w:val="004624AE"/>
    <w:rsid w:val="0046250E"/>
    <w:rsid w:val="00462AC6"/>
    <w:rsid w:val="00462E9C"/>
    <w:rsid w:val="00464B48"/>
    <w:rsid w:val="00465231"/>
    <w:rsid w:val="004662AD"/>
    <w:rsid w:val="00466516"/>
    <w:rsid w:val="00467B65"/>
    <w:rsid w:val="00467CF0"/>
    <w:rsid w:val="00470E62"/>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085"/>
    <w:rsid w:val="00486B79"/>
    <w:rsid w:val="00486CA2"/>
    <w:rsid w:val="00490B25"/>
    <w:rsid w:val="00490FD6"/>
    <w:rsid w:val="004911C4"/>
    <w:rsid w:val="00491CA7"/>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5B6"/>
    <w:rsid w:val="004A794C"/>
    <w:rsid w:val="004B3EC7"/>
    <w:rsid w:val="004B5664"/>
    <w:rsid w:val="004B7C50"/>
    <w:rsid w:val="004C2107"/>
    <w:rsid w:val="004C5FC6"/>
    <w:rsid w:val="004C6435"/>
    <w:rsid w:val="004C649B"/>
    <w:rsid w:val="004C7B9C"/>
    <w:rsid w:val="004C7D55"/>
    <w:rsid w:val="004D089A"/>
    <w:rsid w:val="004D2962"/>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AF1"/>
    <w:rsid w:val="004F6BFB"/>
    <w:rsid w:val="004F7E4A"/>
    <w:rsid w:val="0050147C"/>
    <w:rsid w:val="0050182B"/>
    <w:rsid w:val="00502579"/>
    <w:rsid w:val="005029F7"/>
    <w:rsid w:val="00503D4C"/>
    <w:rsid w:val="00504C0C"/>
    <w:rsid w:val="00504E48"/>
    <w:rsid w:val="005070FF"/>
    <w:rsid w:val="00511B5C"/>
    <w:rsid w:val="00512BBC"/>
    <w:rsid w:val="005134FB"/>
    <w:rsid w:val="005135FD"/>
    <w:rsid w:val="0051366C"/>
    <w:rsid w:val="0051684F"/>
    <w:rsid w:val="00516A92"/>
    <w:rsid w:val="00516B9F"/>
    <w:rsid w:val="00517693"/>
    <w:rsid w:val="005205AB"/>
    <w:rsid w:val="00522841"/>
    <w:rsid w:val="00523378"/>
    <w:rsid w:val="0052550F"/>
    <w:rsid w:val="00526C0F"/>
    <w:rsid w:val="0052702A"/>
    <w:rsid w:val="00530397"/>
    <w:rsid w:val="00530F73"/>
    <w:rsid w:val="00533B8E"/>
    <w:rsid w:val="00535417"/>
    <w:rsid w:val="00535833"/>
    <w:rsid w:val="00536D28"/>
    <w:rsid w:val="005372C5"/>
    <w:rsid w:val="0053778C"/>
    <w:rsid w:val="00537A26"/>
    <w:rsid w:val="00540E47"/>
    <w:rsid w:val="00543283"/>
    <w:rsid w:val="0054364C"/>
    <w:rsid w:val="005458C3"/>
    <w:rsid w:val="00546747"/>
    <w:rsid w:val="00547510"/>
    <w:rsid w:val="005476FE"/>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878"/>
    <w:rsid w:val="00567E8F"/>
    <w:rsid w:val="005702D6"/>
    <w:rsid w:val="00572588"/>
    <w:rsid w:val="00573341"/>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833"/>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4FD1"/>
    <w:rsid w:val="005D6543"/>
    <w:rsid w:val="005D67F7"/>
    <w:rsid w:val="005D7D7E"/>
    <w:rsid w:val="005E0B59"/>
    <w:rsid w:val="005E1105"/>
    <w:rsid w:val="005E162F"/>
    <w:rsid w:val="005E2C60"/>
    <w:rsid w:val="005E31F6"/>
    <w:rsid w:val="005E3622"/>
    <w:rsid w:val="005E60B3"/>
    <w:rsid w:val="005E676C"/>
    <w:rsid w:val="005E6CB9"/>
    <w:rsid w:val="005E7C40"/>
    <w:rsid w:val="005E7F14"/>
    <w:rsid w:val="005F0154"/>
    <w:rsid w:val="005F0176"/>
    <w:rsid w:val="005F021D"/>
    <w:rsid w:val="005F1EAC"/>
    <w:rsid w:val="005F308F"/>
    <w:rsid w:val="005F4869"/>
    <w:rsid w:val="005F4BFD"/>
    <w:rsid w:val="005F5748"/>
    <w:rsid w:val="005F5834"/>
    <w:rsid w:val="005F5E11"/>
    <w:rsid w:val="005F7A1A"/>
    <w:rsid w:val="006003E5"/>
    <w:rsid w:val="00600E63"/>
    <w:rsid w:val="00601561"/>
    <w:rsid w:val="00601E55"/>
    <w:rsid w:val="00602037"/>
    <w:rsid w:val="006029DD"/>
    <w:rsid w:val="00602C6A"/>
    <w:rsid w:val="00603AF5"/>
    <w:rsid w:val="00606C66"/>
    <w:rsid w:val="00610145"/>
    <w:rsid w:val="00610D1F"/>
    <w:rsid w:val="00611C1D"/>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4EC6"/>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C56"/>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5986"/>
    <w:rsid w:val="0066630C"/>
    <w:rsid w:val="00667BBD"/>
    <w:rsid w:val="0067010A"/>
    <w:rsid w:val="00671149"/>
    <w:rsid w:val="0067148A"/>
    <w:rsid w:val="00671615"/>
    <w:rsid w:val="00671741"/>
    <w:rsid w:val="00671766"/>
    <w:rsid w:val="00672914"/>
    <w:rsid w:val="006744C3"/>
    <w:rsid w:val="0067537F"/>
    <w:rsid w:val="00676410"/>
    <w:rsid w:val="00680509"/>
    <w:rsid w:val="006805CB"/>
    <w:rsid w:val="00681273"/>
    <w:rsid w:val="00681CC1"/>
    <w:rsid w:val="0068233B"/>
    <w:rsid w:val="00682E11"/>
    <w:rsid w:val="00683081"/>
    <w:rsid w:val="00683C98"/>
    <w:rsid w:val="00684C95"/>
    <w:rsid w:val="006850D3"/>
    <w:rsid w:val="00685249"/>
    <w:rsid w:val="006856B9"/>
    <w:rsid w:val="00685BDE"/>
    <w:rsid w:val="00686085"/>
    <w:rsid w:val="00686AC9"/>
    <w:rsid w:val="00687C0D"/>
    <w:rsid w:val="00691237"/>
    <w:rsid w:val="006920E6"/>
    <w:rsid w:val="00692555"/>
    <w:rsid w:val="006932E5"/>
    <w:rsid w:val="00696566"/>
    <w:rsid w:val="006966BA"/>
    <w:rsid w:val="00696A37"/>
    <w:rsid w:val="0069722D"/>
    <w:rsid w:val="006A0052"/>
    <w:rsid w:val="006A0A9E"/>
    <w:rsid w:val="006A1F1C"/>
    <w:rsid w:val="006A3836"/>
    <w:rsid w:val="006A393B"/>
    <w:rsid w:val="006A3DD3"/>
    <w:rsid w:val="006A4625"/>
    <w:rsid w:val="006A47AE"/>
    <w:rsid w:val="006A5B5E"/>
    <w:rsid w:val="006A67CB"/>
    <w:rsid w:val="006B0368"/>
    <w:rsid w:val="006B0F6E"/>
    <w:rsid w:val="006B1D7B"/>
    <w:rsid w:val="006B27D4"/>
    <w:rsid w:val="006B2C9C"/>
    <w:rsid w:val="006B48EB"/>
    <w:rsid w:val="006B4C00"/>
    <w:rsid w:val="006B4CD4"/>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6F78"/>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4B3B"/>
    <w:rsid w:val="006F643D"/>
    <w:rsid w:val="006F675C"/>
    <w:rsid w:val="006F6D13"/>
    <w:rsid w:val="006F7759"/>
    <w:rsid w:val="006F7D95"/>
    <w:rsid w:val="00700D41"/>
    <w:rsid w:val="00701B21"/>
    <w:rsid w:val="00702384"/>
    <w:rsid w:val="00702C9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A44"/>
    <w:rsid w:val="00716B3C"/>
    <w:rsid w:val="007170C2"/>
    <w:rsid w:val="00717EE4"/>
    <w:rsid w:val="00717F2D"/>
    <w:rsid w:val="00720453"/>
    <w:rsid w:val="007205AA"/>
    <w:rsid w:val="00720853"/>
    <w:rsid w:val="00721F2C"/>
    <w:rsid w:val="00722129"/>
    <w:rsid w:val="00724173"/>
    <w:rsid w:val="007265B9"/>
    <w:rsid w:val="00726730"/>
    <w:rsid w:val="00730598"/>
    <w:rsid w:val="00731C24"/>
    <w:rsid w:val="0073257E"/>
    <w:rsid w:val="00732A32"/>
    <w:rsid w:val="00733066"/>
    <w:rsid w:val="00733469"/>
    <w:rsid w:val="00733539"/>
    <w:rsid w:val="00735557"/>
    <w:rsid w:val="00736CEA"/>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362"/>
    <w:rsid w:val="0076467D"/>
    <w:rsid w:val="00766D90"/>
    <w:rsid w:val="00767C19"/>
    <w:rsid w:val="00767D4E"/>
    <w:rsid w:val="00771067"/>
    <w:rsid w:val="00771F7D"/>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C17"/>
    <w:rsid w:val="00787D47"/>
    <w:rsid w:val="0079014E"/>
    <w:rsid w:val="0079078C"/>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767"/>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2B6B"/>
    <w:rsid w:val="007B3045"/>
    <w:rsid w:val="007B4C0F"/>
    <w:rsid w:val="007B5A80"/>
    <w:rsid w:val="007B5E25"/>
    <w:rsid w:val="007B6E0E"/>
    <w:rsid w:val="007C27FB"/>
    <w:rsid w:val="007C2CBB"/>
    <w:rsid w:val="007C309C"/>
    <w:rsid w:val="007C4209"/>
    <w:rsid w:val="007C5EB9"/>
    <w:rsid w:val="007C6DD0"/>
    <w:rsid w:val="007C7449"/>
    <w:rsid w:val="007C7EA5"/>
    <w:rsid w:val="007D1A95"/>
    <w:rsid w:val="007D245E"/>
    <w:rsid w:val="007D3764"/>
    <w:rsid w:val="007D485A"/>
    <w:rsid w:val="007D4CE6"/>
    <w:rsid w:val="007D54FF"/>
    <w:rsid w:val="007D574D"/>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4B87"/>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4F1"/>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4F3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1E7"/>
    <w:rsid w:val="00861375"/>
    <w:rsid w:val="00861C56"/>
    <w:rsid w:val="00861F29"/>
    <w:rsid w:val="008620A2"/>
    <w:rsid w:val="00862741"/>
    <w:rsid w:val="00862A25"/>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77EC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1EB9"/>
    <w:rsid w:val="008B251F"/>
    <w:rsid w:val="008B2602"/>
    <w:rsid w:val="008B2727"/>
    <w:rsid w:val="008B316B"/>
    <w:rsid w:val="008B4733"/>
    <w:rsid w:val="008B5059"/>
    <w:rsid w:val="008B5BF2"/>
    <w:rsid w:val="008B6934"/>
    <w:rsid w:val="008B6CF8"/>
    <w:rsid w:val="008B6F5D"/>
    <w:rsid w:val="008B7111"/>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C3C"/>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2D3"/>
    <w:rsid w:val="008F57DD"/>
    <w:rsid w:val="008F5AEE"/>
    <w:rsid w:val="008F6EAA"/>
    <w:rsid w:val="008F7800"/>
    <w:rsid w:val="008F7BCA"/>
    <w:rsid w:val="00900F4D"/>
    <w:rsid w:val="00901533"/>
    <w:rsid w:val="0090167B"/>
    <w:rsid w:val="00902DEC"/>
    <w:rsid w:val="0090342E"/>
    <w:rsid w:val="00903D3A"/>
    <w:rsid w:val="009044B9"/>
    <w:rsid w:val="009047B1"/>
    <w:rsid w:val="00904C86"/>
    <w:rsid w:val="009051C2"/>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3A2"/>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170"/>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2BF3"/>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1E1"/>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C2A"/>
    <w:rsid w:val="009C058F"/>
    <w:rsid w:val="009C0748"/>
    <w:rsid w:val="009C2B3E"/>
    <w:rsid w:val="009C2EA2"/>
    <w:rsid w:val="009C3721"/>
    <w:rsid w:val="009C4141"/>
    <w:rsid w:val="009C4B55"/>
    <w:rsid w:val="009C5FCC"/>
    <w:rsid w:val="009C60B6"/>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E32"/>
    <w:rsid w:val="009E02DC"/>
    <w:rsid w:val="009E2040"/>
    <w:rsid w:val="009E49AE"/>
    <w:rsid w:val="009E4DC7"/>
    <w:rsid w:val="009E660A"/>
    <w:rsid w:val="009E6B64"/>
    <w:rsid w:val="009E72E5"/>
    <w:rsid w:val="009E72F1"/>
    <w:rsid w:val="009F46C8"/>
    <w:rsid w:val="009F4F2A"/>
    <w:rsid w:val="009F660B"/>
    <w:rsid w:val="009F671E"/>
    <w:rsid w:val="009F6DC0"/>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B84"/>
    <w:rsid w:val="00A23ECC"/>
    <w:rsid w:val="00A24CD3"/>
    <w:rsid w:val="00A25461"/>
    <w:rsid w:val="00A26367"/>
    <w:rsid w:val="00A2678A"/>
    <w:rsid w:val="00A269E1"/>
    <w:rsid w:val="00A27C1C"/>
    <w:rsid w:val="00A30F6A"/>
    <w:rsid w:val="00A32AEA"/>
    <w:rsid w:val="00A32F32"/>
    <w:rsid w:val="00A33E80"/>
    <w:rsid w:val="00A33EFE"/>
    <w:rsid w:val="00A37EB3"/>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26DB"/>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A51"/>
    <w:rsid w:val="00A83BF5"/>
    <w:rsid w:val="00A84CD1"/>
    <w:rsid w:val="00A85E2E"/>
    <w:rsid w:val="00A861BB"/>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A20"/>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A8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1CCD"/>
    <w:rsid w:val="00AD224D"/>
    <w:rsid w:val="00AD2B03"/>
    <w:rsid w:val="00AD2E07"/>
    <w:rsid w:val="00AD38A9"/>
    <w:rsid w:val="00AD4071"/>
    <w:rsid w:val="00AD44EA"/>
    <w:rsid w:val="00AD4782"/>
    <w:rsid w:val="00AD5236"/>
    <w:rsid w:val="00AD527D"/>
    <w:rsid w:val="00AD54E0"/>
    <w:rsid w:val="00AD5F1A"/>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0F7"/>
    <w:rsid w:val="00AE68E2"/>
    <w:rsid w:val="00AF0157"/>
    <w:rsid w:val="00AF2EC7"/>
    <w:rsid w:val="00AF3AC0"/>
    <w:rsid w:val="00AF4F4A"/>
    <w:rsid w:val="00AF6320"/>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1E8"/>
    <w:rsid w:val="00B16973"/>
    <w:rsid w:val="00B2036A"/>
    <w:rsid w:val="00B21057"/>
    <w:rsid w:val="00B2202B"/>
    <w:rsid w:val="00B23422"/>
    <w:rsid w:val="00B24948"/>
    <w:rsid w:val="00B24CBD"/>
    <w:rsid w:val="00B25CA3"/>
    <w:rsid w:val="00B2664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483"/>
    <w:rsid w:val="00B61665"/>
    <w:rsid w:val="00B61972"/>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0BC"/>
    <w:rsid w:val="00C103F9"/>
    <w:rsid w:val="00C104AC"/>
    <w:rsid w:val="00C110E1"/>
    <w:rsid w:val="00C1198F"/>
    <w:rsid w:val="00C11FA1"/>
    <w:rsid w:val="00C12E21"/>
    <w:rsid w:val="00C12E65"/>
    <w:rsid w:val="00C13C20"/>
    <w:rsid w:val="00C13F74"/>
    <w:rsid w:val="00C146D3"/>
    <w:rsid w:val="00C16BE0"/>
    <w:rsid w:val="00C207D5"/>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3D0"/>
    <w:rsid w:val="00C8398D"/>
    <w:rsid w:val="00C84BC2"/>
    <w:rsid w:val="00C85139"/>
    <w:rsid w:val="00C85657"/>
    <w:rsid w:val="00C91C88"/>
    <w:rsid w:val="00C939C3"/>
    <w:rsid w:val="00C94010"/>
    <w:rsid w:val="00C94228"/>
    <w:rsid w:val="00C95DC3"/>
    <w:rsid w:val="00C9639E"/>
    <w:rsid w:val="00C96D56"/>
    <w:rsid w:val="00C977E6"/>
    <w:rsid w:val="00CA0020"/>
    <w:rsid w:val="00CA0B2E"/>
    <w:rsid w:val="00CA18CA"/>
    <w:rsid w:val="00CA2557"/>
    <w:rsid w:val="00CA5413"/>
    <w:rsid w:val="00CA5674"/>
    <w:rsid w:val="00CA58D8"/>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8C0"/>
    <w:rsid w:val="00CB4B1A"/>
    <w:rsid w:val="00CB4E1F"/>
    <w:rsid w:val="00CC152E"/>
    <w:rsid w:val="00CC1C00"/>
    <w:rsid w:val="00CC2493"/>
    <w:rsid w:val="00CC3222"/>
    <w:rsid w:val="00CC35F1"/>
    <w:rsid w:val="00CC35FF"/>
    <w:rsid w:val="00CD0E6E"/>
    <w:rsid w:val="00CD23AE"/>
    <w:rsid w:val="00CD27DF"/>
    <w:rsid w:val="00CD2D8A"/>
    <w:rsid w:val="00CD3BAC"/>
    <w:rsid w:val="00CD3FF2"/>
    <w:rsid w:val="00CD4A65"/>
    <w:rsid w:val="00CD531F"/>
    <w:rsid w:val="00CD66C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DF3"/>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4ED"/>
    <w:rsid w:val="00D301FF"/>
    <w:rsid w:val="00D3257F"/>
    <w:rsid w:val="00D33BA6"/>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AA5"/>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22B"/>
    <w:rsid w:val="00DB1487"/>
    <w:rsid w:val="00DB19B4"/>
    <w:rsid w:val="00DB19F1"/>
    <w:rsid w:val="00DB26AE"/>
    <w:rsid w:val="00DB4411"/>
    <w:rsid w:val="00DB466D"/>
    <w:rsid w:val="00DB5FD0"/>
    <w:rsid w:val="00DB7395"/>
    <w:rsid w:val="00DB75C2"/>
    <w:rsid w:val="00DB7E2C"/>
    <w:rsid w:val="00DC027B"/>
    <w:rsid w:val="00DC0A64"/>
    <w:rsid w:val="00DC0EF0"/>
    <w:rsid w:val="00DC0FC4"/>
    <w:rsid w:val="00DC1B9A"/>
    <w:rsid w:val="00DC2344"/>
    <w:rsid w:val="00DC2E4F"/>
    <w:rsid w:val="00DC384C"/>
    <w:rsid w:val="00DC40C4"/>
    <w:rsid w:val="00DC4AFD"/>
    <w:rsid w:val="00DC4CB4"/>
    <w:rsid w:val="00DC4D87"/>
    <w:rsid w:val="00DC4D8A"/>
    <w:rsid w:val="00DC5C4F"/>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D7931"/>
    <w:rsid w:val="00DE0E5D"/>
    <w:rsid w:val="00DE447F"/>
    <w:rsid w:val="00DE48F0"/>
    <w:rsid w:val="00DE4A77"/>
    <w:rsid w:val="00DE68EE"/>
    <w:rsid w:val="00DE6D24"/>
    <w:rsid w:val="00DE7285"/>
    <w:rsid w:val="00DE737C"/>
    <w:rsid w:val="00DE7C40"/>
    <w:rsid w:val="00DF0EA5"/>
    <w:rsid w:val="00DF1F1D"/>
    <w:rsid w:val="00DF23A5"/>
    <w:rsid w:val="00DF4C6E"/>
    <w:rsid w:val="00DF6666"/>
    <w:rsid w:val="00DF745E"/>
    <w:rsid w:val="00DF762E"/>
    <w:rsid w:val="00E0044E"/>
    <w:rsid w:val="00E00816"/>
    <w:rsid w:val="00E0100E"/>
    <w:rsid w:val="00E0239F"/>
    <w:rsid w:val="00E0267B"/>
    <w:rsid w:val="00E04441"/>
    <w:rsid w:val="00E05F03"/>
    <w:rsid w:val="00E06370"/>
    <w:rsid w:val="00E06B7B"/>
    <w:rsid w:val="00E06E20"/>
    <w:rsid w:val="00E07DD9"/>
    <w:rsid w:val="00E1018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7C1"/>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44"/>
    <w:rsid w:val="00E91F96"/>
    <w:rsid w:val="00E92E99"/>
    <w:rsid w:val="00E968FD"/>
    <w:rsid w:val="00E96D55"/>
    <w:rsid w:val="00E97993"/>
    <w:rsid w:val="00EA0D5D"/>
    <w:rsid w:val="00EA1192"/>
    <w:rsid w:val="00EA153F"/>
    <w:rsid w:val="00EA250B"/>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C7D94"/>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3444"/>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35AD"/>
    <w:rsid w:val="00F15523"/>
    <w:rsid w:val="00F16391"/>
    <w:rsid w:val="00F17C87"/>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5F39"/>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5906"/>
    <w:rsid w:val="00F5603C"/>
    <w:rsid w:val="00F5605C"/>
    <w:rsid w:val="00F564B9"/>
    <w:rsid w:val="00F57909"/>
    <w:rsid w:val="00F6100F"/>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17A5"/>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BA4"/>
    <w:rsid w:val="00FD0C93"/>
    <w:rsid w:val="00FD1062"/>
    <w:rsid w:val="00FD2589"/>
    <w:rsid w:val="00FD4876"/>
    <w:rsid w:val="00FD52A3"/>
    <w:rsid w:val="00FD68D4"/>
    <w:rsid w:val="00FD7647"/>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1A568"/>
  <w15:chartTrackingRefBased/>
  <w15:docId w15:val="{09C740F9-CF53-44B4-A49D-14CD942F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D8"/>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TOCHeading">
    <w:name w:val="TOC Heading"/>
    <w:basedOn w:val="Heading1"/>
    <w:next w:val="Normal"/>
    <w:uiPriority w:val="39"/>
    <w:unhideWhenUsed/>
    <w:qFormat/>
    <w:rsid w:val="00470E62"/>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customStyle="1" w:styleId="Parastais">
    <w:name w:val="Parastais"/>
    <w:qFormat/>
    <w:rsid w:val="00C833D0"/>
    <w:rPr>
      <w:sz w:val="24"/>
      <w:szCs w:val="24"/>
    </w:rPr>
  </w:style>
  <w:style w:type="paragraph" w:customStyle="1" w:styleId="tvhtml">
    <w:name w:val="tv_html"/>
    <w:basedOn w:val="Normal"/>
    <w:rsid w:val="00D64AA5"/>
    <w:pPr>
      <w:spacing w:before="100" w:beforeAutospacing="1" w:after="100" w:afterAutospacing="1"/>
    </w:pPr>
  </w:style>
  <w:style w:type="paragraph" w:styleId="Revision">
    <w:name w:val="Revision"/>
    <w:hidden/>
    <w:uiPriority w:val="99"/>
    <w:semiHidden/>
    <w:rsid w:val="005458C3"/>
    <w:rPr>
      <w:sz w:val="24"/>
      <w:szCs w:val="24"/>
    </w:rPr>
  </w:style>
  <w:style w:type="paragraph" w:customStyle="1" w:styleId="tv213">
    <w:name w:val="tv213"/>
    <w:basedOn w:val="Normal"/>
    <w:rsid w:val="00624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C294-FA85-478A-A8C7-3C06084E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20628</Words>
  <Characters>11759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32323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Sandra Obodova</cp:lastModifiedBy>
  <cp:revision>2</cp:revision>
  <cp:lastPrinted>2009-04-08T08:39:00Z</cp:lastPrinted>
  <dcterms:created xsi:type="dcterms:W3CDTF">2021-07-01T06:26:00Z</dcterms:created>
  <dcterms:modified xsi:type="dcterms:W3CDTF">2021-07-01T06:26:00Z</dcterms:modified>
</cp:coreProperties>
</file>