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509DD" w14:textId="77777777" w:rsidR="00237B49" w:rsidRPr="00DF072A" w:rsidRDefault="00237B49" w:rsidP="00237B49">
      <w:pPr>
        <w:ind w:firstLine="301"/>
        <w:jc w:val="right"/>
        <w:rPr>
          <w:i/>
          <w:color w:val="000000"/>
          <w:shd w:val="clear" w:color="auto" w:fill="FFFFFF"/>
        </w:rPr>
      </w:pPr>
      <w:r w:rsidRPr="00DF072A">
        <w:rPr>
          <w:i/>
          <w:color w:val="000000"/>
          <w:shd w:val="clear" w:color="auto" w:fill="FFFFFF"/>
        </w:rPr>
        <w:t>Projekts</w:t>
      </w:r>
    </w:p>
    <w:p w14:paraId="53B509DE" w14:textId="77777777" w:rsidR="00237B49" w:rsidRPr="00DF072A" w:rsidRDefault="00237B49" w:rsidP="00237B49">
      <w:pPr>
        <w:ind w:firstLine="301"/>
        <w:jc w:val="center"/>
        <w:rPr>
          <w:b/>
          <w:color w:val="000000"/>
          <w:shd w:val="clear" w:color="auto" w:fill="FFFFFF"/>
        </w:rPr>
      </w:pPr>
    </w:p>
    <w:p w14:paraId="53B509DF" w14:textId="77777777" w:rsidR="00237B49" w:rsidRPr="00DF072A" w:rsidRDefault="00237B49" w:rsidP="00237B49">
      <w:pPr>
        <w:ind w:firstLine="301"/>
        <w:jc w:val="center"/>
        <w:rPr>
          <w:b/>
          <w:color w:val="000000"/>
          <w:shd w:val="clear" w:color="auto" w:fill="FFFFFF"/>
        </w:rPr>
      </w:pPr>
      <w:r w:rsidRPr="00DF072A">
        <w:rPr>
          <w:b/>
          <w:color w:val="000000"/>
          <w:shd w:val="clear" w:color="auto" w:fill="FFFFFF"/>
        </w:rPr>
        <w:t>Informatīvais ziņojums “Par apropriācijas pārdali no budžeta apakšprogrammas 42.09.00 “Latvijas Zinātnes padome” uz budžeta apakšprogrammu 42.05.00 “Valsts izglītības attīstības aģentūras darbības nodrošināšana””</w:t>
      </w:r>
    </w:p>
    <w:p w14:paraId="53B509E0" w14:textId="77777777" w:rsidR="00237B49" w:rsidRPr="00DF072A" w:rsidRDefault="00237B49" w:rsidP="00934FCF">
      <w:pPr>
        <w:jc w:val="both"/>
        <w:rPr>
          <w:color w:val="000000"/>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532DF" w:rsidRPr="00DF072A" w14:paraId="53B509EE" w14:textId="77777777" w:rsidTr="003532DF">
        <w:trPr>
          <w:trHeight w:val="68"/>
          <w:tblCellSpacing w:w="0" w:type="dxa"/>
        </w:trPr>
        <w:tc>
          <w:tcPr>
            <w:tcW w:w="0" w:type="auto"/>
            <w:shd w:val="clear" w:color="auto" w:fill="FFFFFF"/>
            <w:tcMar>
              <w:top w:w="0" w:type="dxa"/>
              <w:left w:w="150" w:type="dxa"/>
              <w:bottom w:w="0" w:type="dxa"/>
              <w:right w:w="0" w:type="dxa"/>
            </w:tcMar>
            <w:vAlign w:val="center"/>
            <w:hideMark/>
          </w:tcPr>
          <w:p w14:paraId="53B509E1" w14:textId="77777777" w:rsidR="003532DF" w:rsidRPr="00DF072A" w:rsidRDefault="004E2834" w:rsidP="00B717CE">
            <w:pPr>
              <w:ind w:firstLine="701"/>
              <w:jc w:val="both"/>
              <w:rPr>
                <w:lang w:eastAsia="en-US"/>
              </w:rPr>
            </w:pPr>
            <w:r>
              <w:rPr>
                <w:rFonts w:eastAsiaTheme="minorHAnsi"/>
                <w:lang w:eastAsia="en-US"/>
              </w:rPr>
              <w:t>Ministru kabinets</w:t>
            </w:r>
            <w:r w:rsidR="00237B49" w:rsidRPr="00DF072A">
              <w:rPr>
                <w:rFonts w:eastAsiaTheme="minorHAnsi"/>
                <w:lang w:eastAsia="en-US"/>
              </w:rPr>
              <w:t xml:space="preserve"> š.g. 29.jūnijā </w:t>
            </w:r>
            <w:r w:rsidR="003532DF" w:rsidRPr="00DF072A">
              <w:rPr>
                <w:rFonts w:eastAsiaTheme="minorHAnsi"/>
                <w:lang w:eastAsia="en-US"/>
              </w:rPr>
              <w:t>(</w:t>
            </w:r>
            <w:r w:rsidR="00237B49" w:rsidRPr="00DF072A">
              <w:rPr>
                <w:rFonts w:eastAsiaTheme="minorHAnsi"/>
                <w:lang w:eastAsia="en-US"/>
              </w:rPr>
              <w:t>prot.</w:t>
            </w:r>
            <w:r w:rsidR="003532DF" w:rsidRPr="00DF072A">
              <w:rPr>
                <w:rFonts w:eastAsiaTheme="minorHAnsi"/>
                <w:lang w:eastAsia="en-US"/>
              </w:rPr>
              <w:t xml:space="preserve"> </w:t>
            </w:r>
            <w:r w:rsidR="00237B49" w:rsidRPr="00DF072A">
              <w:rPr>
                <w:rFonts w:eastAsiaTheme="minorHAnsi"/>
                <w:lang w:eastAsia="en-US"/>
              </w:rPr>
              <w:t>Nr. 50</w:t>
            </w:r>
            <w:r w:rsidR="003532DF" w:rsidRPr="00DF072A">
              <w:rPr>
                <w:rFonts w:eastAsiaTheme="minorHAnsi"/>
                <w:lang w:eastAsia="en-US"/>
              </w:rPr>
              <w:t>,</w:t>
            </w:r>
            <w:r w:rsidR="00237B49" w:rsidRPr="00DF072A">
              <w:rPr>
                <w:rFonts w:eastAsiaTheme="minorHAnsi"/>
                <w:lang w:eastAsia="en-US"/>
              </w:rPr>
              <w:t xml:space="preserve"> </w:t>
            </w:r>
            <w:r w:rsidR="00237B49" w:rsidRPr="00DF072A">
              <w:rPr>
                <w:bCs/>
                <w:lang w:eastAsia="en-US"/>
              </w:rPr>
              <w:t>33.§)</w:t>
            </w:r>
            <w:r w:rsidR="003532DF" w:rsidRPr="00DF072A">
              <w:rPr>
                <w:rStyle w:val="FootnoteReference"/>
                <w:lang w:eastAsia="en-US"/>
              </w:rPr>
              <w:footnoteReference w:id="1"/>
            </w:r>
            <w:r w:rsidR="003532DF" w:rsidRPr="00DF072A">
              <w:rPr>
                <w:bCs/>
                <w:lang w:eastAsia="en-US"/>
              </w:rPr>
              <w:t xml:space="preserve"> </w:t>
            </w:r>
            <w:r w:rsidR="003532DF" w:rsidRPr="00DF072A">
              <w:rPr>
                <w:rFonts w:eastAsiaTheme="minorHAnsi"/>
                <w:lang w:eastAsia="en-US"/>
              </w:rPr>
              <w:t xml:space="preserve">pieņēma Ministru kabineta </w:t>
            </w:r>
            <w:r w:rsidR="003532DF" w:rsidRPr="00DF072A">
              <w:rPr>
                <w:lang w:eastAsia="en-US"/>
              </w:rPr>
              <w:t>noteikumus Nr.452 "Grozījums Ministru kabineta 2012.gada 18.decembra noteikumos Nr.934 "Valsts izglītības attīstības aģentūras nolikums"" (spēkā ar 2021.gada 2.jūliju)</w:t>
            </w:r>
            <w:r w:rsidR="003532DF" w:rsidRPr="00DF072A">
              <w:rPr>
                <w:rStyle w:val="FootnoteReference"/>
                <w:lang w:eastAsia="en-US"/>
              </w:rPr>
              <w:footnoteReference w:id="2"/>
            </w:r>
            <w:r w:rsidR="003532DF" w:rsidRPr="00DF072A">
              <w:rPr>
                <w:lang w:eastAsia="en-US"/>
              </w:rPr>
              <w:t xml:space="preserve"> (turpmāk – MK noteikumi).</w:t>
            </w:r>
          </w:p>
          <w:p w14:paraId="53B509E2" w14:textId="5433F4EC" w:rsidR="005815EC" w:rsidRPr="00DF072A" w:rsidRDefault="005815EC" w:rsidP="00B717CE">
            <w:pPr>
              <w:ind w:firstLine="701"/>
              <w:jc w:val="both"/>
            </w:pPr>
            <w:r w:rsidRPr="00DF072A">
              <w:rPr>
                <w:lang w:eastAsia="en-US"/>
              </w:rPr>
              <w:t xml:space="preserve">Ar </w:t>
            </w:r>
            <w:r w:rsidRPr="00DF072A">
              <w:rPr>
                <w:shd w:val="clear" w:color="auto" w:fill="FFFFFF"/>
              </w:rPr>
              <w:t>MK noteikumiem pagarina Valsts izglītības attīst</w:t>
            </w:r>
            <w:r w:rsidR="004E2834">
              <w:rPr>
                <w:shd w:val="clear" w:color="auto" w:fill="FFFFFF"/>
              </w:rPr>
              <w:t>ības aģentūrai (turpmāk – aģentūra</w:t>
            </w:r>
            <w:r w:rsidRPr="00DF072A">
              <w:rPr>
                <w:shd w:val="clear" w:color="auto" w:fill="FFFFFF"/>
              </w:rPr>
              <w:t>) zinātnes politikas īstenošanas funkcijas termiņu no 2021.gada 1. jūlija līdz 2021.gada 31.decembrim</w:t>
            </w:r>
            <w:r w:rsidR="00EC3C9D">
              <w:rPr>
                <w:shd w:val="clear" w:color="auto" w:fill="FFFFFF"/>
              </w:rPr>
              <w:t xml:space="preserve"> (6 mēneši)</w:t>
            </w:r>
            <w:r w:rsidRPr="00DF072A">
              <w:rPr>
                <w:shd w:val="clear" w:color="auto" w:fill="FFFFFF"/>
              </w:rPr>
              <w:t>,</w:t>
            </w:r>
            <w:r w:rsidR="00DF072A">
              <w:rPr>
                <w:shd w:val="clear" w:color="auto" w:fill="FFFFFF"/>
              </w:rPr>
              <w:t xml:space="preserve"> tas ir,</w:t>
            </w:r>
            <w:r w:rsidRPr="00DF072A">
              <w:rPr>
                <w:shd w:val="clear" w:color="auto" w:fill="FFFFFF"/>
              </w:rPr>
              <w:t xml:space="preserve"> nosakot, ka </w:t>
            </w:r>
            <w:r w:rsidRPr="00DF072A">
              <w:rPr>
                <w:bCs/>
              </w:rPr>
              <w:t xml:space="preserve">Ministru kabineta </w:t>
            </w:r>
            <w:r w:rsidRPr="00DF072A">
              <w:t xml:space="preserve">2020. gada 30. jūnija </w:t>
            </w:r>
            <w:r w:rsidRPr="00DF072A">
              <w:rPr>
                <w:bCs/>
              </w:rPr>
              <w:t xml:space="preserve">noteikumos Nr. 417 </w:t>
            </w:r>
            <w:r w:rsidRPr="00DF072A">
              <w:t>“</w:t>
            </w:r>
            <w:r w:rsidRPr="00DF072A">
              <w:rPr>
                <w:bCs/>
              </w:rPr>
              <w:t>Grozījumi Ministru kabineta 2012. gada 18. decembra noteikumos Nr. 934 "</w:t>
            </w:r>
            <w:hyperlink r:id="rId7" w:tgtFrame="_blank" w:history="1">
              <w:r w:rsidRPr="00DF072A">
                <w:rPr>
                  <w:bCs/>
                </w:rPr>
                <w:t>Valsts izglītības attīstības aģentūras nolikums</w:t>
              </w:r>
            </w:hyperlink>
            <w:r w:rsidRPr="00DF072A">
              <w:rPr>
                <w:bCs/>
              </w:rPr>
              <w:t>””</w:t>
            </w:r>
            <w:r w:rsidRPr="00DF072A">
              <w:t xml:space="preserve"> noteiktie grozījumi Ministru kabineta 2012. gada 18. decembra noteikumu Nr. 934 "</w:t>
            </w:r>
            <w:hyperlink r:id="rId8" w:tgtFrame="_blank" w:history="1">
              <w:r w:rsidRPr="00DF072A">
                <w:t>Valsts izglītības attīstības aģentūras nolikums</w:t>
              </w:r>
            </w:hyperlink>
            <w:r w:rsidRPr="00DF072A">
              <w:t xml:space="preserve">" </w:t>
            </w:r>
            <w:r w:rsidRPr="00DF072A">
              <w:rPr>
                <w:shd w:val="clear" w:color="auto" w:fill="FFFFFF"/>
              </w:rPr>
              <w:t xml:space="preserve">2.punktā, </w:t>
            </w:r>
            <w:r w:rsidRPr="00DF072A">
              <w:t xml:space="preserve">3.1., 3.4., 3.7., 3.9., 3.10., 3.14., 3.15., 3.17., 3.18., 3.19., 3.20. un 7.5.apakšpunktā stājas spēkā 2022.gada 1.janvārī. </w:t>
            </w:r>
          </w:p>
          <w:p w14:paraId="53B509E3" w14:textId="77777777" w:rsidR="005815EC" w:rsidRPr="00DF072A" w:rsidRDefault="009E0D95" w:rsidP="00B717CE">
            <w:pPr>
              <w:ind w:firstLine="701"/>
              <w:jc w:val="both"/>
              <w:rPr>
                <w:bCs/>
                <w:lang w:eastAsia="en-US"/>
              </w:rPr>
            </w:pPr>
            <w:r w:rsidRPr="00DF072A">
              <w:t>Ar 2022.gada 1.jānvāri</w:t>
            </w:r>
            <w:r w:rsidR="005815EC" w:rsidRPr="00DF072A">
              <w:t xml:space="preserve"> zinātnes politikas īstenošanas funkciju no aģentūras pārņem Latvijas zinātnes padome, pamatojoties uz </w:t>
            </w:r>
            <w:r w:rsidR="005815EC" w:rsidRPr="00DF072A">
              <w:rPr>
                <w:bCs/>
                <w:lang w:eastAsia="en-US"/>
              </w:rPr>
              <w:t xml:space="preserve">Ministru kabineta </w:t>
            </w:r>
            <w:r w:rsidRPr="00DF072A">
              <w:rPr>
                <w:lang w:eastAsia="en-US"/>
              </w:rPr>
              <w:t xml:space="preserve">2020. gada 30. jūnija </w:t>
            </w:r>
            <w:r w:rsidRPr="00DF072A">
              <w:rPr>
                <w:bCs/>
                <w:lang w:eastAsia="en-US"/>
              </w:rPr>
              <w:t>noteikumu</w:t>
            </w:r>
            <w:r w:rsidR="005815EC" w:rsidRPr="00DF072A">
              <w:rPr>
                <w:bCs/>
                <w:lang w:eastAsia="en-US"/>
              </w:rPr>
              <w:t xml:space="preserve"> Nr. 408</w:t>
            </w:r>
            <w:r w:rsidRPr="00DF072A">
              <w:rPr>
                <w:lang w:eastAsia="en-US"/>
              </w:rPr>
              <w:t xml:space="preserve"> </w:t>
            </w:r>
            <w:r w:rsidRPr="00DF072A">
              <w:rPr>
                <w:bCs/>
                <w:lang w:eastAsia="en-US"/>
              </w:rPr>
              <w:t>“</w:t>
            </w:r>
            <w:r w:rsidR="005815EC" w:rsidRPr="00DF072A">
              <w:rPr>
                <w:bCs/>
                <w:lang w:eastAsia="en-US"/>
              </w:rPr>
              <w:t>Latvijas Zinātnes padomes nolikums</w:t>
            </w:r>
            <w:r w:rsidRPr="00DF072A">
              <w:rPr>
                <w:bCs/>
                <w:lang w:eastAsia="en-US"/>
              </w:rPr>
              <w:t>” 22.punktu.</w:t>
            </w:r>
          </w:p>
          <w:p w14:paraId="53B509E4" w14:textId="76135E7F" w:rsidR="00DA237E" w:rsidRPr="00DF072A" w:rsidRDefault="00934FCF" w:rsidP="00B717CE">
            <w:pPr>
              <w:ind w:firstLine="701"/>
              <w:jc w:val="both"/>
              <w:rPr>
                <w:color w:val="000000"/>
                <w:shd w:val="clear" w:color="auto" w:fill="FFFFFF"/>
              </w:rPr>
            </w:pPr>
            <w:r w:rsidRPr="00DF072A">
              <w:rPr>
                <w:lang w:eastAsia="en-US"/>
              </w:rPr>
              <w:t xml:space="preserve">MK noteikumu </w:t>
            </w:r>
            <w:r w:rsidRPr="00DF072A">
              <w:rPr>
                <w:bCs/>
              </w:rPr>
              <w:t>sākotnējās ietekmes novērtējuma ziņojuma (anotācijas)</w:t>
            </w:r>
            <w:r w:rsidRPr="00DF072A">
              <w:rPr>
                <w:rStyle w:val="FootnoteReference"/>
                <w:lang w:eastAsia="en-US"/>
              </w:rPr>
              <w:footnoteReference w:id="3"/>
            </w:r>
            <w:r w:rsidRPr="00DF072A">
              <w:rPr>
                <w:bCs/>
              </w:rPr>
              <w:t xml:space="preserve"> (turpmāk anotācija) III sadaļas 6.punktā </w:t>
            </w:r>
            <w:r w:rsidR="00EC3C9D">
              <w:rPr>
                <w:bCs/>
              </w:rPr>
              <w:t xml:space="preserve">tika </w:t>
            </w:r>
            <w:r w:rsidRPr="00DF072A">
              <w:rPr>
                <w:bCs/>
              </w:rPr>
              <w:t>norādīts, ka, lai</w:t>
            </w:r>
            <w:r w:rsidRPr="00DF072A">
              <w:t xml:space="preserve"> aģentūra vēl laika posmā no 2021.gada 1.jūlija līdz 2021.gada 31.decembrim varētu turpināt īstenot zinātnes politikas īstenošanas funkcijas</w:t>
            </w:r>
            <w:r w:rsidR="00DF072A">
              <w:t xml:space="preserve"> vēl  6 mēnešus</w:t>
            </w:r>
            <w:r w:rsidRPr="00DF072A">
              <w:t xml:space="preserve">, </w:t>
            </w:r>
            <w:r w:rsidR="00DF072A">
              <w:t xml:space="preserve">tad </w:t>
            </w:r>
            <w:r w:rsidRPr="00DF072A">
              <w:t xml:space="preserve">2021. gadā nepieciešama apropriācijas pārdale 88 333 </w:t>
            </w:r>
            <w:proofErr w:type="spellStart"/>
            <w:r w:rsidRPr="00DF072A">
              <w:rPr>
                <w:i/>
              </w:rPr>
              <w:t>euro</w:t>
            </w:r>
            <w:proofErr w:type="spellEnd"/>
            <w:r w:rsidRPr="00DF072A">
              <w:t xml:space="preserve"> apmērā no apakšprogrammas 42.09.00 “Latvijas Zinātnes padome” uz apakšprogrammu 42.05.00 “Valsts izglītības attīstības aģentūras darbības nodrošināšana”. Apropriācijas pārdale tiek veikta, atgriežot aģentūrai atpakaļ summu, kas ir ieplānota 42.09.00 apakšprogrammā “Latvijas Zinātnes padome” likumā „Par valsts budžetu 2021. gadam”, </w:t>
            </w:r>
            <w:r w:rsidRPr="00DF072A">
              <w:rPr>
                <w:shd w:val="clear" w:color="auto" w:fill="FFFFFF"/>
              </w:rPr>
              <w:t xml:space="preserve">zinātnes politikas īstenošanas </w:t>
            </w:r>
            <w:r w:rsidRPr="00DF072A">
              <w:t>funkcijas īstenošanai</w:t>
            </w:r>
            <w:r w:rsidR="00EC3C9D">
              <w:t xml:space="preserve"> 6 mēnešu termiņā</w:t>
            </w:r>
            <w:r w:rsidRPr="00DF072A">
              <w:t>.</w:t>
            </w:r>
            <w:r w:rsidR="00DA237E" w:rsidRPr="00DF072A">
              <w:t xml:space="preserve"> Līdz ar to </w:t>
            </w:r>
            <w:r w:rsidRPr="00DF072A">
              <w:t xml:space="preserve">ir nepieciešams Ministru kabineta uzdevums Izglītības un zinātnes ministrijai </w:t>
            </w:r>
            <w:r w:rsidRPr="00DF072A">
              <w:rPr>
                <w:color w:val="414142"/>
                <w:shd w:val="clear" w:color="auto" w:fill="FFFFFF"/>
              </w:rPr>
              <w:t xml:space="preserve">iesniegt Finanšu ministrijā </w:t>
            </w:r>
            <w:r w:rsidRPr="00DF072A">
              <w:rPr>
                <w:color w:val="000000"/>
                <w:shd w:val="clear" w:color="auto" w:fill="FFFFFF"/>
              </w:rPr>
              <w:t xml:space="preserve">priekšlikumu minētās apropriācijas pārdalei. </w:t>
            </w:r>
          </w:p>
          <w:p w14:paraId="53B509E5" w14:textId="4463A0C7" w:rsidR="00934FCF" w:rsidRPr="00DF072A" w:rsidRDefault="00DA237E" w:rsidP="00B717CE">
            <w:pPr>
              <w:ind w:firstLine="701"/>
              <w:jc w:val="both"/>
              <w:rPr>
                <w:color w:val="000000"/>
                <w:shd w:val="clear" w:color="auto" w:fill="FFFFFF"/>
              </w:rPr>
            </w:pPr>
            <w:r w:rsidRPr="00DF072A">
              <w:rPr>
                <w:color w:val="000000"/>
                <w:shd w:val="clear" w:color="auto" w:fill="FFFFFF"/>
              </w:rPr>
              <w:t xml:space="preserve">Ievērojot minēto, anotācijas I sadaļas 4.punktā </w:t>
            </w:r>
            <w:r w:rsidR="00EC3C9D">
              <w:rPr>
                <w:color w:val="000000"/>
                <w:shd w:val="clear" w:color="auto" w:fill="FFFFFF"/>
              </w:rPr>
              <w:t>tika</w:t>
            </w:r>
            <w:r w:rsidRPr="00DF072A">
              <w:rPr>
                <w:color w:val="000000"/>
                <w:shd w:val="clear" w:color="auto" w:fill="FFFFFF"/>
              </w:rPr>
              <w:t xml:space="preserve"> norādīts, ka </w:t>
            </w:r>
            <w:r w:rsidRPr="00DF072A">
              <w:t xml:space="preserve">projektam ir pievienots Ministru kabineta </w:t>
            </w:r>
            <w:proofErr w:type="spellStart"/>
            <w:r w:rsidRPr="00DF072A">
              <w:t>protokollēmuma</w:t>
            </w:r>
            <w:proofErr w:type="spellEnd"/>
            <w:r w:rsidRPr="00DF072A">
              <w:t xml:space="preserve"> projekts, kas paredz</w:t>
            </w:r>
            <w:r w:rsidR="00EC3C9D">
              <w:t xml:space="preserve"> </w:t>
            </w:r>
            <w:r w:rsidRPr="00DF072A">
              <w:t xml:space="preserve">Izglītības un zinātnes ministrijai uzdevumu </w:t>
            </w:r>
            <w:r w:rsidRPr="00DF072A">
              <w:rPr>
                <w:color w:val="414142"/>
                <w:shd w:val="clear" w:color="auto" w:fill="FFFFFF"/>
              </w:rPr>
              <w:t xml:space="preserve">iesniegt Finanšu ministrijā </w:t>
            </w:r>
            <w:r w:rsidRPr="00DF072A">
              <w:rPr>
                <w:color w:val="000000"/>
                <w:shd w:val="clear" w:color="auto" w:fill="FFFFFF"/>
              </w:rPr>
              <w:t>priekšlikumu apropriācijas pārdalei 2021.gada valsts budžetā 88 333 </w:t>
            </w:r>
            <w:proofErr w:type="spellStart"/>
            <w:r w:rsidRPr="00DF072A">
              <w:rPr>
                <w:i/>
                <w:iCs/>
                <w:color w:val="000000"/>
                <w:shd w:val="clear" w:color="auto" w:fill="FFFFFF"/>
              </w:rPr>
              <w:t>euro</w:t>
            </w:r>
            <w:proofErr w:type="spellEnd"/>
            <w:r w:rsidRPr="00DF072A">
              <w:rPr>
                <w:i/>
                <w:iCs/>
                <w:color w:val="000000"/>
                <w:shd w:val="clear" w:color="auto" w:fill="FFFFFF"/>
              </w:rPr>
              <w:t> </w:t>
            </w:r>
            <w:r w:rsidRPr="00DF072A">
              <w:rPr>
                <w:color w:val="000000"/>
                <w:shd w:val="clear" w:color="auto" w:fill="FFFFFF"/>
              </w:rPr>
              <w:t>apmērā no budžeta apakšprogrammas 42.09.00 “Latvijas Zinātnes padome” uz budžeta apakšprogrammu 42.05.00 “Valsts izglītības attīstības aģentūras darbības nodrošināšana”, tai skaitā izdevumiem atlīdzībai (1000.kods) 60 823 </w:t>
            </w:r>
            <w:proofErr w:type="spellStart"/>
            <w:r w:rsidRPr="00DF072A">
              <w:rPr>
                <w:i/>
                <w:iCs/>
                <w:color w:val="000000"/>
                <w:shd w:val="clear" w:color="auto" w:fill="FFFFFF"/>
              </w:rPr>
              <w:t>euro</w:t>
            </w:r>
            <w:proofErr w:type="spellEnd"/>
            <w:r w:rsidRPr="00DF072A">
              <w:rPr>
                <w:color w:val="000000"/>
                <w:shd w:val="clear" w:color="auto" w:fill="FFFFFF"/>
              </w:rPr>
              <w:t> apmērā un precēm un pakalpojumiem (2000.kods) 27 510 </w:t>
            </w:r>
            <w:proofErr w:type="spellStart"/>
            <w:r w:rsidRPr="00DF072A">
              <w:rPr>
                <w:i/>
                <w:iCs/>
                <w:color w:val="000000"/>
                <w:shd w:val="clear" w:color="auto" w:fill="FFFFFF"/>
              </w:rPr>
              <w:t>euro</w:t>
            </w:r>
            <w:proofErr w:type="spellEnd"/>
            <w:r w:rsidRPr="00DF072A">
              <w:rPr>
                <w:color w:val="000000"/>
                <w:shd w:val="clear" w:color="auto" w:fill="FFFFFF"/>
              </w:rPr>
              <w:t> apmērā.</w:t>
            </w:r>
          </w:p>
          <w:p w14:paraId="53B509E6" w14:textId="404FAA2F" w:rsidR="00DA237E" w:rsidRPr="00DF072A" w:rsidRDefault="00DA237E" w:rsidP="00B717CE">
            <w:pPr>
              <w:ind w:firstLine="701"/>
              <w:jc w:val="both"/>
            </w:pPr>
            <w:r w:rsidRPr="00DF072A">
              <w:t>Izglītības un zinātnes ministrija 2021.gada 21.jūnija pavadvēstulē Nr. Nr.4-3.1e/21/2376, ar kuru iesniedza Valsts kancelejai MK noteikumu kā proj</w:t>
            </w:r>
            <w:r w:rsidR="00DF072A">
              <w:t>ekt</w:t>
            </w:r>
            <w:r w:rsidR="00EC3C9D">
              <w:t xml:space="preserve">u, </w:t>
            </w:r>
            <w:r w:rsidR="00DF072A">
              <w:t>tika</w:t>
            </w:r>
            <w:r w:rsidRPr="00DF072A">
              <w:t xml:space="preserve"> norādīts arī minētais Ministru kabineta </w:t>
            </w:r>
            <w:proofErr w:type="spellStart"/>
            <w:r w:rsidRPr="00DF072A">
              <w:t>protokollēmuma</w:t>
            </w:r>
            <w:proofErr w:type="spellEnd"/>
            <w:r w:rsidRPr="00DF072A">
              <w:t xml:space="preserve"> projekts, </w:t>
            </w:r>
            <w:r w:rsidRPr="00DF072A">
              <w:rPr>
                <w:u w:val="single"/>
              </w:rPr>
              <w:t xml:space="preserve">taču tas </w:t>
            </w:r>
            <w:r w:rsidR="00EC3C9D">
              <w:rPr>
                <w:u w:val="single"/>
              </w:rPr>
              <w:t xml:space="preserve">tehnisku iemeslu dēļ </w:t>
            </w:r>
            <w:r w:rsidRPr="00DF072A">
              <w:rPr>
                <w:u w:val="single"/>
              </w:rPr>
              <w:t xml:space="preserve">netika nosūtīts Valsts kancelejai </w:t>
            </w:r>
            <w:r w:rsidRPr="00DF072A">
              <w:rPr>
                <w:u w:val="single"/>
              </w:rPr>
              <w:lastRenderedPageBreak/>
              <w:t>sistēmā DAUKS</w:t>
            </w:r>
            <w:r w:rsidR="00DF072A">
              <w:rPr>
                <w:u w:val="single"/>
              </w:rPr>
              <w:t xml:space="preserve"> projekta paketes ietvaros</w:t>
            </w:r>
            <w:r w:rsidR="00B717CE" w:rsidRPr="00DF072A">
              <w:rPr>
                <w:u w:val="single"/>
              </w:rPr>
              <w:t>.</w:t>
            </w:r>
            <w:r w:rsidR="00DF072A">
              <w:rPr>
                <w:u w:val="single"/>
              </w:rPr>
              <w:t xml:space="preserve"> </w:t>
            </w:r>
            <w:r w:rsidR="00DF072A" w:rsidRPr="00DF072A">
              <w:rPr>
                <w:u w:val="single"/>
              </w:rPr>
              <w:t xml:space="preserve">Līdz ar to </w:t>
            </w:r>
            <w:r w:rsidR="00DF072A" w:rsidRPr="00DF072A">
              <w:rPr>
                <w:rFonts w:eastAsiaTheme="minorHAnsi"/>
                <w:u w:val="single"/>
                <w:lang w:eastAsia="en-US"/>
              </w:rPr>
              <w:t>Minis</w:t>
            </w:r>
            <w:r w:rsidR="00EC3C9D">
              <w:rPr>
                <w:rFonts w:eastAsiaTheme="minorHAnsi"/>
                <w:u w:val="single"/>
                <w:lang w:eastAsia="en-US"/>
              </w:rPr>
              <w:t>tru kabineta š.g. 29.jūnija sēdē</w:t>
            </w:r>
            <w:r w:rsidR="00DF072A" w:rsidRPr="00DF072A">
              <w:rPr>
                <w:rFonts w:eastAsiaTheme="minorHAnsi"/>
                <w:u w:val="single"/>
                <w:lang w:eastAsia="en-US"/>
              </w:rPr>
              <w:t xml:space="preserve"> netika pieņemts lēmums par</w:t>
            </w:r>
            <w:r w:rsidR="00EC3C9D">
              <w:rPr>
                <w:rFonts w:eastAsiaTheme="minorHAnsi"/>
                <w:u w:val="single"/>
                <w:lang w:eastAsia="en-US"/>
              </w:rPr>
              <w:t xml:space="preserve"> minēto </w:t>
            </w:r>
            <w:bookmarkStart w:id="0" w:name="_GoBack"/>
            <w:bookmarkEnd w:id="0"/>
            <w:r w:rsidR="00DF072A" w:rsidRPr="00DF072A">
              <w:rPr>
                <w:rFonts w:eastAsiaTheme="minorHAnsi"/>
                <w:u w:val="single"/>
                <w:lang w:eastAsia="en-US"/>
              </w:rPr>
              <w:t>nepieciešamo finanšu pārdali</w:t>
            </w:r>
            <w:r w:rsidR="00DF072A">
              <w:rPr>
                <w:rFonts w:eastAsiaTheme="minorHAnsi"/>
                <w:lang w:eastAsia="en-US"/>
              </w:rPr>
              <w:t>.</w:t>
            </w:r>
          </w:p>
          <w:p w14:paraId="53B509E7" w14:textId="77777777" w:rsidR="00B717CE" w:rsidRPr="00DF072A" w:rsidRDefault="00B717CE" w:rsidP="00B717CE">
            <w:pPr>
              <w:tabs>
                <w:tab w:val="left" w:pos="7275"/>
              </w:tabs>
              <w:ind w:firstLine="701"/>
              <w:jc w:val="both"/>
            </w:pPr>
          </w:p>
          <w:p w14:paraId="53B509E8" w14:textId="77777777" w:rsidR="001F38B7" w:rsidRPr="001F38B7" w:rsidRDefault="00DA237E" w:rsidP="00B717CE">
            <w:pPr>
              <w:tabs>
                <w:tab w:val="left" w:pos="7275"/>
              </w:tabs>
              <w:ind w:firstLine="701"/>
              <w:jc w:val="both"/>
            </w:pPr>
            <w:r w:rsidRPr="001F38B7">
              <w:t xml:space="preserve">Lai </w:t>
            </w:r>
            <w:r w:rsidR="00B717CE" w:rsidRPr="001F38B7">
              <w:t>veiktu minēto apropriācijas pārdali</w:t>
            </w:r>
            <w:r w:rsidR="001F38B7" w:rsidRPr="001F38B7">
              <w:t>, Ministru kabinetam jāizskata</w:t>
            </w:r>
            <w:r w:rsidR="00B717CE" w:rsidRPr="001F38B7">
              <w:t xml:space="preserve"> </w:t>
            </w:r>
            <w:r w:rsidR="001F38B7">
              <w:t xml:space="preserve">šāds jautājums </w:t>
            </w:r>
            <w:r w:rsidR="00DF072A" w:rsidRPr="001F38B7">
              <w:t xml:space="preserve">Ministru kabineta </w:t>
            </w:r>
            <w:proofErr w:type="spellStart"/>
            <w:r w:rsidR="00DF072A" w:rsidRPr="001F38B7">
              <w:t>protokollēmum</w:t>
            </w:r>
            <w:r w:rsidR="001F38B7">
              <w:t>a</w:t>
            </w:r>
            <w:proofErr w:type="spellEnd"/>
            <w:r w:rsidR="001F38B7">
              <w:t xml:space="preserve"> projektā</w:t>
            </w:r>
            <w:r w:rsidR="001F38B7" w:rsidRPr="001F38B7">
              <w:t>:</w:t>
            </w:r>
          </w:p>
          <w:p w14:paraId="53B509E9" w14:textId="77777777" w:rsidR="001F38B7" w:rsidRDefault="001F38B7" w:rsidP="001F38B7">
            <w:pPr>
              <w:ind w:firstLine="301"/>
              <w:jc w:val="both"/>
              <w:rPr>
                <w:shd w:val="clear" w:color="auto" w:fill="FFFFFF"/>
              </w:rPr>
            </w:pPr>
          </w:p>
          <w:p w14:paraId="53B509EA" w14:textId="77777777" w:rsidR="001F38B7" w:rsidRPr="001F38B7" w:rsidRDefault="001F38B7" w:rsidP="001F38B7">
            <w:pPr>
              <w:ind w:firstLine="301"/>
              <w:jc w:val="both"/>
              <w:rPr>
                <w:color w:val="000000"/>
                <w:shd w:val="clear" w:color="auto" w:fill="FFFFFF"/>
              </w:rPr>
            </w:pPr>
            <w:r w:rsidRPr="001F38B7">
              <w:rPr>
                <w:shd w:val="clear" w:color="auto" w:fill="FFFFFF"/>
              </w:rPr>
              <w:t xml:space="preserve">“Atbalstīt apropriācijas pārdali 2021. gadā no Izglītības un zinātnes ministrijas budžeta apakšprogrammas 42.09.00 “Latvijas Zinātnes padome”, samazinot vispārējā kārtībā sadalāmo dotāciju no vispārējiem ieņēmumiem 88 333 </w:t>
            </w:r>
            <w:proofErr w:type="spellStart"/>
            <w:r w:rsidRPr="001F38B7">
              <w:rPr>
                <w:i/>
                <w:shd w:val="clear" w:color="auto" w:fill="FFFFFF"/>
              </w:rPr>
              <w:t>euro</w:t>
            </w:r>
            <w:proofErr w:type="spellEnd"/>
            <w:r w:rsidRPr="001F38B7">
              <w:rPr>
                <w:shd w:val="clear" w:color="auto" w:fill="FFFFFF"/>
              </w:rPr>
              <w:t xml:space="preserve"> apmērā un attiecīgi izdevumus precēm un </w:t>
            </w:r>
            <w:r w:rsidRPr="001F38B7">
              <w:rPr>
                <w:color w:val="000000"/>
                <w:shd w:val="clear" w:color="auto" w:fill="FFFFFF"/>
              </w:rPr>
              <w:t xml:space="preserve">pakalpojumiem 27 510 </w:t>
            </w:r>
            <w:proofErr w:type="spellStart"/>
            <w:r w:rsidRPr="001F38B7">
              <w:rPr>
                <w:i/>
                <w:color w:val="000000"/>
                <w:shd w:val="clear" w:color="auto" w:fill="FFFFFF"/>
              </w:rPr>
              <w:t>euro</w:t>
            </w:r>
            <w:proofErr w:type="spellEnd"/>
            <w:r w:rsidRPr="001F38B7">
              <w:rPr>
                <w:color w:val="000000"/>
                <w:shd w:val="clear" w:color="auto" w:fill="FFFFFF"/>
              </w:rPr>
              <w:t xml:space="preserve"> apmērā un izdevumus atlīdzībai 60 823 </w:t>
            </w:r>
            <w:proofErr w:type="spellStart"/>
            <w:r w:rsidRPr="001F38B7">
              <w:rPr>
                <w:i/>
                <w:color w:val="000000"/>
                <w:shd w:val="clear" w:color="auto" w:fill="FFFFFF"/>
              </w:rPr>
              <w:t>euro</w:t>
            </w:r>
            <w:proofErr w:type="spellEnd"/>
            <w:r w:rsidRPr="001F38B7">
              <w:rPr>
                <w:i/>
                <w:color w:val="000000"/>
                <w:shd w:val="clear" w:color="auto" w:fill="FFFFFF"/>
              </w:rPr>
              <w:t xml:space="preserve"> </w:t>
            </w:r>
            <w:r w:rsidRPr="001F38B7">
              <w:rPr>
                <w:color w:val="000000"/>
                <w:shd w:val="clear" w:color="auto" w:fill="FFFFFF"/>
              </w:rPr>
              <w:t>apmērā, uz budžeta apakšprogrammu 42.05.00 “Valsts izglītības attīstības aģentūras darbības nodrošināšana”, palielinot vispārējā kārtībā sadalāmo dotāciju no vispārējiem ieņēmumiem 88 333</w:t>
            </w:r>
            <w:r w:rsidRPr="001F38B7">
              <w:rPr>
                <w:i/>
                <w:color w:val="000000"/>
                <w:shd w:val="clear" w:color="auto" w:fill="FFFFFF"/>
              </w:rPr>
              <w:t xml:space="preserve"> </w:t>
            </w:r>
            <w:proofErr w:type="spellStart"/>
            <w:r w:rsidRPr="001F38B7">
              <w:rPr>
                <w:i/>
                <w:color w:val="000000"/>
                <w:shd w:val="clear" w:color="auto" w:fill="FFFFFF"/>
              </w:rPr>
              <w:t>euro</w:t>
            </w:r>
            <w:proofErr w:type="spellEnd"/>
            <w:r w:rsidRPr="001F38B7">
              <w:rPr>
                <w:color w:val="000000"/>
                <w:shd w:val="clear" w:color="auto" w:fill="FFFFFF"/>
              </w:rPr>
              <w:t xml:space="preserve"> apmērā un attiecīgi izdevumus precēm un pakalpojumiem 27 510 </w:t>
            </w:r>
            <w:proofErr w:type="spellStart"/>
            <w:r w:rsidRPr="001F38B7">
              <w:rPr>
                <w:i/>
                <w:color w:val="000000"/>
                <w:shd w:val="clear" w:color="auto" w:fill="FFFFFF"/>
              </w:rPr>
              <w:t>euro</w:t>
            </w:r>
            <w:proofErr w:type="spellEnd"/>
            <w:r w:rsidRPr="001F38B7">
              <w:rPr>
                <w:i/>
                <w:color w:val="000000"/>
                <w:shd w:val="clear" w:color="auto" w:fill="FFFFFF"/>
              </w:rPr>
              <w:t xml:space="preserve"> </w:t>
            </w:r>
            <w:r w:rsidRPr="001F38B7">
              <w:rPr>
                <w:color w:val="000000"/>
                <w:shd w:val="clear" w:color="auto" w:fill="FFFFFF"/>
              </w:rPr>
              <w:t xml:space="preserve">apmērā un izdevumus atlīdzībai 60 823 </w:t>
            </w:r>
            <w:proofErr w:type="spellStart"/>
            <w:r w:rsidRPr="001F38B7">
              <w:rPr>
                <w:i/>
                <w:color w:val="000000"/>
                <w:shd w:val="clear" w:color="auto" w:fill="FFFFFF"/>
              </w:rPr>
              <w:t>euro</w:t>
            </w:r>
            <w:proofErr w:type="spellEnd"/>
            <w:r w:rsidRPr="001F38B7">
              <w:rPr>
                <w:i/>
                <w:color w:val="000000"/>
                <w:shd w:val="clear" w:color="auto" w:fill="FFFFFF"/>
              </w:rPr>
              <w:t xml:space="preserve"> </w:t>
            </w:r>
            <w:r w:rsidRPr="001F38B7">
              <w:rPr>
                <w:color w:val="000000"/>
                <w:shd w:val="clear" w:color="auto" w:fill="FFFFFF"/>
              </w:rPr>
              <w:t>apmērā, lai nodrošinātu finansējumu Valsts izglītības attīstības aģentūras darbības nodrošināšanai saistībā ar Latvijas Zinātnes padomes un Valsts izglītības attīstības aģentūras reorganizāciju.”</w:t>
            </w:r>
          </w:p>
          <w:p w14:paraId="53B509EB" w14:textId="77777777" w:rsidR="001F38B7" w:rsidRPr="001F38B7" w:rsidRDefault="001F38B7" w:rsidP="00B717CE">
            <w:pPr>
              <w:tabs>
                <w:tab w:val="left" w:pos="7275"/>
              </w:tabs>
              <w:ind w:firstLine="701"/>
              <w:jc w:val="both"/>
            </w:pPr>
          </w:p>
          <w:p w14:paraId="53B509EC" w14:textId="77777777" w:rsidR="001F38B7" w:rsidRDefault="001F38B7" w:rsidP="00B717CE">
            <w:pPr>
              <w:tabs>
                <w:tab w:val="left" w:pos="7275"/>
              </w:tabs>
              <w:ind w:firstLine="701"/>
              <w:jc w:val="both"/>
            </w:pPr>
          </w:p>
          <w:p w14:paraId="53B509ED" w14:textId="77777777" w:rsidR="003532DF" w:rsidRPr="00DF072A" w:rsidRDefault="003532DF" w:rsidP="001F38B7">
            <w:pPr>
              <w:ind w:firstLine="301"/>
              <w:jc w:val="both"/>
              <w:rPr>
                <w:lang w:eastAsia="en-US"/>
              </w:rPr>
            </w:pPr>
          </w:p>
        </w:tc>
      </w:tr>
      <w:tr w:rsidR="003532DF" w:rsidRPr="00DF072A" w14:paraId="53B509F0" w14:textId="77777777" w:rsidTr="003532DF">
        <w:trPr>
          <w:tblCellSpacing w:w="0" w:type="dxa"/>
        </w:trPr>
        <w:tc>
          <w:tcPr>
            <w:tcW w:w="0" w:type="auto"/>
            <w:shd w:val="clear" w:color="auto" w:fill="FFFFFF"/>
            <w:tcMar>
              <w:top w:w="0" w:type="dxa"/>
              <w:left w:w="150" w:type="dxa"/>
              <w:bottom w:w="0" w:type="dxa"/>
              <w:right w:w="0" w:type="dxa"/>
            </w:tcMar>
            <w:vAlign w:val="center"/>
            <w:hideMark/>
          </w:tcPr>
          <w:p w14:paraId="53B509EF" w14:textId="77777777" w:rsidR="003532DF" w:rsidRPr="00DF072A" w:rsidRDefault="003532DF" w:rsidP="00B717CE">
            <w:pPr>
              <w:jc w:val="both"/>
              <w:rPr>
                <w:color w:val="2A2A2A"/>
                <w:lang w:val="en-US" w:eastAsia="en-US"/>
              </w:rPr>
            </w:pPr>
          </w:p>
        </w:tc>
      </w:tr>
    </w:tbl>
    <w:p w14:paraId="53B509F1" w14:textId="77777777" w:rsidR="00B717CE" w:rsidRPr="00DF072A" w:rsidRDefault="00B717CE" w:rsidP="00B717CE">
      <w:pPr>
        <w:spacing w:line="259" w:lineRule="auto"/>
        <w:ind w:firstLine="720"/>
        <w:jc w:val="both"/>
        <w:rPr>
          <w:rFonts w:eastAsiaTheme="minorHAnsi"/>
          <w:lang w:eastAsia="en-US"/>
        </w:rPr>
      </w:pPr>
      <w:r w:rsidRPr="00DF072A">
        <w:rPr>
          <w:rFonts w:eastAsiaTheme="minorHAnsi"/>
          <w:lang w:eastAsia="en-US"/>
        </w:rPr>
        <w:t xml:space="preserve">Izglītības un zinātnes ministre       </w:t>
      </w:r>
      <w:r w:rsidRPr="00DF072A">
        <w:rPr>
          <w:rFonts w:eastAsiaTheme="minorHAnsi"/>
          <w:lang w:eastAsia="en-US"/>
        </w:rPr>
        <w:tab/>
      </w:r>
      <w:r w:rsidRPr="00DF072A">
        <w:rPr>
          <w:rFonts w:eastAsiaTheme="minorHAnsi"/>
          <w:lang w:eastAsia="en-US"/>
        </w:rPr>
        <w:tab/>
      </w:r>
      <w:r w:rsidRPr="00DF072A">
        <w:rPr>
          <w:rFonts w:eastAsiaTheme="minorHAnsi"/>
          <w:lang w:eastAsia="en-US"/>
        </w:rPr>
        <w:tab/>
      </w:r>
      <w:r w:rsidRPr="00DF072A">
        <w:rPr>
          <w:rFonts w:eastAsiaTheme="minorHAnsi"/>
          <w:lang w:eastAsia="en-US"/>
        </w:rPr>
        <w:tab/>
        <w:t>Anita Muižniece</w:t>
      </w:r>
    </w:p>
    <w:p w14:paraId="53B509F2" w14:textId="77777777" w:rsidR="00B717CE" w:rsidRPr="00DF072A" w:rsidRDefault="00B717CE" w:rsidP="00B717CE">
      <w:pPr>
        <w:spacing w:line="259" w:lineRule="auto"/>
        <w:jc w:val="both"/>
        <w:rPr>
          <w:rFonts w:eastAsiaTheme="minorHAnsi"/>
          <w:lang w:eastAsia="en-US"/>
        </w:rPr>
      </w:pPr>
    </w:p>
    <w:p w14:paraId="53B509F3" w14:textId="77777777" w:rsidR="00B717CE" w:rsidRPr="00DF072A" w:rsidRDefault="00B717CE" w:rsidP="00B717CE">
      <w:pPr>
        <w:spacing w:line="259" w:lineRule="auto"/>
        <w:jc w:val="both"/>
        <w:rPr>
          <w:rFonts w:eastAsiaTheme="minorHAnsi"/>
          <w:lang w:eastAsia="en-US"/>
        </w:rPr>
      </w:pPr>
    </w:p>
    <w:p w14:paraId="53B509F4" w14:textId="77777777" w:rsidR="00362B0C" w:rsidRDefault="00B717CE" w:rsidP="00362B0C">
      <w:pPr>
        <w:tabs>
          <w:tab w:val="right" w:pos="9356"/>
        </w:tabs>
        <w:ind w:firstLine="851"/>
        <w:rPr>
          <w:noProof/>
          <w:lang w:eastAsia="en-US"/>
        </w:rPr>
      </w:pPr>
      <w:r w:rsidRPr="00DF072A">
        <w:rPr>
          <w:rFonts w:eastAsiaTheme="minorHAnsi"/>
          <w:lang w:eastAsia="en-US"/>
        </w:rPr>
        <w:t xml:space="preserve">Vizē: </w:t>
      </w:r>
      <w:r w:rsidR="00362B0C">
        <w:rPr>
          <w:noProof/>
        </w:rPr>
        <w:t>Valsts sekretāra vietnieks –</w:t>
      </w:r>
    </w:p>
    <w:p w14:paraId="53B509F5" w14:textId="77777777" w:rsidR="00362B0C" w:rsidRDefault="00362B0C" w:rsidP="00362B0C">
      <w:pPr>
        <w:tabs>
          <w:tab w:val="right" w:pos="9356"/>
        </w:tabs>
        <w:ind w:firstLine="851"/>
        <w:rPr>
          <w:noProof/>
        </w:rPr>
      </w:pPr>
      <w:r>
        <w:rPr>
          <w:noProof/>
        </w:rPr>
        <w:t>Sporta departamenta direktors,</w:t>
      </w:r>
    </w:p>
    <w:p w14:paraId="53B509F6" w14:textId="77777777" w:rsidR="00362B0C" w:rsidRDefault="00362B0C" w:rsidP="00362B0C">
      <w:pPr>
        <w:tabs>
          <w:tab w:val="right" w:pos="9356"/>
        </w:tabs>
        <w:ind w:firstLine="851"/>
      </w:pPr>
      <w:r>
        <w:rPr>
          <w:noProof/>
        </w:rPr>
        <w:t>valsts sekretāra pienākumu izpildītājs</w:t>
      </w:r>
      <w:r>
        <w:t xml:space="preserve">                                 Edgars </w:t>
      </w:r>
      <w:proofErr w:type="spellStart"/>
      <w:r>
        <w:t>Severs</w:t>
      </w:r>
      <w:proofErr w:type="spellEnd"/>
    </w:p>
    <w:p w14:paraId="53B509F7" w14:textId="77777777" w:rsidR="00DF072A" w:rsidRDefault="00DF072A" w:rsidP="00362B0C">
      <w:pPr>
        <w:spacing w:line="259" w:lineRule="auto"/>
        <w:ind w:firstLine="720"/>
        <w:jc w:val="both"/>
        <w:rPr>
          <w:color w:val="000000"/>
          <w:sz w:val="28"/>
          <w:szCs w:val="28"/>
          <w:shd w:val="clear" w:color="auto" w:fill="FFFFFF"/>
        </w:rPr>
      </w:pPr>
    </w:p>
    <w:p w14:paraId="53B509F8" w14:textId="77777777" w:rsidR="00DF072A" w:rsidRDefault="00DF072A" w:rsidP="00B717CE">
      <w:pPr>
        <w:tabs>
          <w:tab w:val="left" w:pos="7275"/>
        </w:tabs>
        <w:jc w:val="both"/>
        <w:rPr>
          <w:color w:val="000000"/>
          <w:sz w:val="28"/>
          <w:szCs w:val="28"/>
          <w:shd w:val="clear" w:color="auto" w:fill="FFFFFF"/>
        </w:rPr>
      </w:pPr>
    </w:p>
    <w:p w14:paraId="53B509F9" w14:textId="77777777" w:rsidR="00DF072A" w:rsidRDefault="00DF072A" w:rsidP="00B717CE">
      <w:pPr>
        <w:tabs>
          <w:tab w:val="left" w:pos="7275"/>
        </w:tabs>
        <w:jc w:val="both"/>
        <w:rPr>
          <w:color w:val="000000"/>
          <w:sz w:val="28"/>
          <w:szCs w:val="28"/>
          <w:shd w:val="clear" w:color="auto" w:fill="FFFFFF"/>
        </w:rPr>
      </w:pPr>
    </w:p>
    <w:p w14:paraId="53B509FA" w14:textId="77777777" w:rsidR="00DF072A" w:rsidRDefault="00DF072A" w:rsidP="00B717CE">
      <w:pPr>
        <w:tabs>
          <w:tab w:val="left" w:pos="7275"/>
        </w:tabs>
        <w:jc w:val="both"/>
        <w:rPr>
          <w:color w:val="000000"/>
          <w:sz w:val="28"/>
          <w:szCs w:val="28"/>
          <w:shd w:val="clear" w:color="auto" w:fill="FFFFFF"/>
        </w:rPr>
      </w:pPr>
    </w:p>
    <w:p w14:paraId="53B509FB" w14:textId="77777777" w:rsidR="00DF072A" w:rsidRDefault="00DF072A" w:rsidP="00B717CE">
      <w:pPr>
        <w:tabs>
          <w:tab w:val="left" w:pos="7275"/>
        </w:tabs>
        <w:jc w:val="both"/>
        <w:rPr>
          <w:color w:val="000000"/>
          <w:sz w:val="28"/>
          <w:szCs w:val="28"/>
          <w:shd w:val="clear" w:color="auto" w:fill="FFFFFF"/>
        </w:rPr>
      </w:pPr>
    </w:p>
    <w:p w14:paraId="53B509FC" w14:textId="77777777" w:rsidR="00DF072A" w:rsidRDefault="00DF072A" w:rsidP="00B717CE">
      <w:pPr>
        <w:tabs>
          <w:tab w:val="left" w:pos="7275"/>
        </w:tabs>
        <w:jc w:val="both"/>
        <w:rPr>
          <w:color w:val="000000"/>
          <w:sz w:val="28"/>
          <w:szCs w:val="28"/>
          <w:shd w:val="clear" w:color="auto" w:fill="FFFFFF"/>
        </w:rPr>
      </w:pPr>
    </w:p>
    <w:p w14:paraId="53B509FD" w14:textId="77777777" w:rsidR="00DF072A" w:rsidRDefault="00DF072A" w:rsidP="00B717CE">
      <w:pPr>
        <w:tabs>
          <w:tab w:val="left" w:pos="7275"/>
        </w:tabs>
        <w:jc w:val="both"/>
        <w:rPr>
          <w:color w:val="000000"/>
          <w:sz w:val="28"/>
          <w:szCs w:val="28"/>
          <w:shd w:val="clear" w:color="auto" w:fill="FFFFFF"/>
        </w:rPr>
      </w:pPr>
    </w:p>
    <w:p w14:paraId="53B509FE" w14:textId="77777777" w:rsidR="00DF072A" w:rsidRDefault="00DF072A" w:rsidP="00B717CE">
      <w:pPr>
        <w:tabs>
          <w:tab w:val="left" w:pos="7275"/>
        </w:tabs>
        <w:jc w:val="both"/>
        <w:rPr>
          <w:color w:val="000000"/>
          <w:sz w:val="28"/>
          <w:szCs w:val="28"/>
          <w:shd w:val="clear" w:color="auto" w:fill="FFFFFF"/>
        </w:rPr>
      </w:pPr>
    </w:p>
    <w:p w14:paraId="53B509FF" w14:textId="77777777" w:rsidR="00237B49" w:rsidRPr="00B717CE" w:rsidRDefault="00B717CE" w:rsidP="00B717CE">
      <w:pPr>
        <w:tabs>
          <w:tab w:val="left" w:pos="7275"/>
        </w:tabs>
        <w:jc w:val="both"/>
        <w:rPr>
          <w:sz w:val="28"/>
          <w:szCs w:val="28"/>
        </w:rPr>
      </w:pPr>
      <w:r w:rsidRPr="00B717CE">
        <w:rPr>
          <w:color w:val="000000"/>
          <w:sz w:val="28"/>
          <w:szCs w:val="28"/>
          <w:shd w:val="clear" w:color="auto" w:fill="FFFFFF"/>
        </w:rPr>
        <w:tab/>
      </w:r>
    </w:p>
    <w:p w14:paraId="53B50A00" w14:textId="77777777" w:rsidR="00B43676" w:rsidRPr="00DF072A" w:rsidRDefault="00DF072A" w:rsidP="00B717CE">
      <w:pPr>
        <w:rPr>
          <w:sz w:val="18"/>
          <w:szCs w:val="18"/>
        </w:rPr>
      </w:pPr>
      <w:r>
        <w:tab/>
      </w:r>
      <w:r w:rsidRPr="00DF072A">
        <w:rPr>
          <w:sz w:val="18"/>
          <w:szCs w:val="18"/>
        </w:rPr>
        <w:t>Depkovska,67047772</w:t>
      </w:r>
    </w:p>
    <w:p w14:paraId="53B50A01" w14:textId="77777777" w:rsidR="00DF072A" w:rsidRPr="00DF072A" w:rsidRDefault="00DF072A" w:rsidP="00DF072A">
      <w:pPr>
        <w:ind w:firstLine="720"/>
        <w:rPr>
          <w:sz w:val="18"/>
          <w:szCs w:val="18"/>
        </w:rPr>
      </w:pPr>
      <w:r w:rsidRPr="00DF072A">
        <w:rPr>
          <w:sz w:val="18"/>
          <w:szCs w:val="18"/>
        </w:rPr>
        <w:t>anita.depkovska@.izm.gov.lv</w:t>
      </w:r>
    </w:p>
    <w:sectPr w:rsidR="00DF072A" w:rsidRPr="00DF072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0A04" w14:textId="77777777" w:rsidR="007D4FA6" w:rsidRDefault="007D4FA6" w:rsidP="003532DF">
      <w:r>
        <w:separator/>
      </w:r>
    </w:p>
  </w:endnote>
  <w:endnote w:type="continuationSeparator" w:id="0">
    <w:p w14:paraId="53B50A05" w14:textId="77777777" w:rsidR="007D4FA6" w:rsidRDefault="007D4FA6" w:rsidP="0035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0A06" w14:textId="77777777" w:rsidR="00B717CE" w:rsidRDefault="00DF072A">
    <w:pPr>
      <w:pStyle w:val="Footer"/>
    </w:pPr>
    <w:r>
      <w:t>IZMzino_12</w:t>
    </w:r>
    <w:r w:rsidR="00B717CE">
      <w:t>0721_VIAA.fin.pardale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0A02" w14:textId="77777777" w:rsidR="007D4FA6" w:rsidRDefault="007D4FA6" w:rsidP="003532DF">
      <w:r>
        <w:separator/>
      </w:r>
    </w:p>
  </w:footnote>
  <w:footnote w:type="continuationSeparator" w:id="0">
    <w:p w14:paraId="53B50A03" w14:textId="77777777" w:rsidR="007D4FA6" w:rsidRDefault="007D4FA6" w:rsidP="003532DF">
      <w:r>
        <w:continuationSeparator/>
      </w:r>
    </w:p>
  </w:footnote>
  <w:footnote w:id="1">
    <w:p w14:paraId="53B50A07" w14:textId="77777777" w:rsidR="003532DF" w:rsidRDefault="003532DF" w:rsidP="003532DF">
      <w:pPr>
        <w:pStyle w:val="FootnoteText"/>
      </w:pPr>
      <w:r>
        <w:rPr>
          <w:rStyle w:val="FootnoteReference"/>
        </w:rPr>
        <w:footnoteRef/>
      </w:r>
      <w:r>
        <w:t xml:space="preserve"> </w:t>
      </w:r>
      <w:hyperlink r:id="rId1" w:history="1">
        <w:r w:rsidRPr="007D471B">
          <w:rPr>
            <w:rStyle w:val="Hyperlink"/>
          </w:rPr>
          <w:t>http://tap.mk.gov.lv/mk/mksedes/saraksts/protokols/?protokols=2021-06-29</w:t>
        </w:r>
      </w:hyperlink>
      <w:r>
        <w:t xml:space="preserve"> </w:t>
      </w:r>
    </w:p>
  </w:footnote>
  <w:footnote w:id="2">
    <w:p w14:paraId="53B50A08" w14:textId="77777777" w:rsidR="003532DF" w:rsidRDefault="003532DF">
      <w:pPr>
        <w:pStyle w:val="FootnoteText"/>
      </w:pPr>
      <w:r>
        <w:rPr>
          <w:rStyle w:val="FootnoteReference"/>
        </w:rPr>
        <w:footnoteRef/>
      </w:r>
      <w:r>
        <w:t xml:space="preserve"> </w:t>
      </w:r>
      <w:hyperlink r:id="rId2" w:history="1">
        <w:r w:rsidRPr="007D471B">
          <w:rPr>
            <w:rStyle w:val="Hyperlink"/>
          </w:rPr>
          <w:t>https://likumi.lv/ta/id/324382-grozijums-ministru-kabineta-2012-gada-18-decembra-noteikumos-nr-934-valsts-izglitibas-attistibas-agenturas-nolikums-</w:t>
        </w:r>
      </w:hyperlink>
      <w:r>
        <w:t xml:space="preserve"> </w:t>
      </w:r>
    </w:p>
  </w:footnote>
  <w:footnote w:id="3">
    <w:p w14:paraId="53B50A09" w14:textId="77777777" w:rsidR="00934FCF" w:rsidRDefault="00934FCF" w:rsidP="00934FCF">
      <w:pPr>
        <w:pStyle w:val="FootnoteText"/>
      </w:pPr>
      <w:r>
        <w:rPr>
          <w:rStyle w:val="FootnoteReference"/>
        </w:rPr>
        <w:footnoteRef/>
      </w:r>
      <w:r>
        <w:t xml:space="preserve"> </w:t>
      </w:r>
      <w:hyperlink r:id="rId3" w:history="1">
        <w:r w:rsidRPr="007D471B">
          <w:rPr>
            <w:rStyle w:val="Hyperlink"/>
          </w:rPr>
          <w:t>http://tap.mk.gov.lv/lv/mk/tap/?pid=40504232&amp;mode=mk&amp;date=2021-06-29</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9F"/>
    <w:rsid w:val="000C6912"/>
    <w:rsid w:val="00196C9F"/>
    <w:rsid w:val="001D69CB"/>
    <w:rsid w:val="001F38B7"/>
    <w:rsid w:val="00237B49"/>
    <w:rsid w:val="003532DF"/>
    <w:rsid w:val="00362B0C"/>
    <w:rsid w:val="004E2834"/>
    <w:rsid w:val="005815EC"/>
    <w:rsid w:val="007D4FA6"/>
    <w:rsid w:val="00934FCF"/>
    <w:rsid w:val="009631D8"/>
    <w:rsid w:val="009E0D95"/>
    <w:rsid w:val="009F6639"/>
    <w:rsid w:val="00B43676"/>
    <w:rsid w:val="00B717CE"/>
    <w:rsid w:val="00BF6FA2"/>
    <w:rsid w:val="00D9107B"/>
    <w:rsid w:val="00DA237E"/>
    <w:rsid w:val="00DF072A"/>
    <w:rsid w:val="00EC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509DD"/>
  <w15:chartTrackingRefBased/>
  <w15:docId w15:val="{4530B266-F82D-4F88-A711-FCC3D767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4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2DF"/>
    <w:rPr>
      <w:color w:val="0000FF"/>
      <w:u w:val="single"/>
    </w:rPr>
  </w:style>
  <w:style w:type="paragraph" w:styleId="FootnoteText">
    <w:name w:val="footnote text"/>
    <w:basedOn w:val="Normal"/>
    <w:link w:val="FootnoteTextChar"/>
    <w:uiPriority w:val="99"/>
    <w:semiHidden/>
    <w:unhideWhenUsed/>
    <w:rsid w:val="003532DF"/>
    <w:rPr>
      <w:sz w:val="20"/>
      <w:szCs w:val="20"/>
    </w:rPr>
  </w:style>
  <w:style w:type="character" w:customStyle="1" w:styleId="FootnoteTextChar">
    <w:name w:val="Footnote Text Char"/>
    <w:basedOn w:val="DefaultParagraphFont"/>
    <w:link w:val="FootnoteText"/>
    <w:uiPriority w:val="99"/>
    <w:semiHidden/>
    <w:rsid w:val="003532D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3532DF"/>
    <w:rPr>
      <w:vertAlign w:val="superscript"/>
    </w:rPr>
  </w:style>
  <w:style w:type="paragraph" w:styleId="EndnoteText">
    <w:name w:val="endnote text"/>
    <w:basedOn w:val="Normal"/>
    <w:link w:val="EndnoteTextChar"/>
    <w:uiPriority w:val="99"/>
    <w:semiHidden/>
    <w:unhideWhenUsed/>
    <w:rsid w:val="00934FCF"/>
    <w:rPr>
      <w:sz w:val="20"/>
      <w:szCs w:val="20"/>
    </w:rPr>
  </w:style>
  <w:style w:type="character" w:customStyle="1" w:styleId="EndnoteTextChar">
    <w:name w:val="Endnote Text Char"/>
    <w:basedOn w:val="DefaultParagraphFont"/>
    <w:link w:val="EndnoteText"/>
    <w:uiPriority w:val="99"/>
    <w:semiHidden/>
    <w:rsid w:val="00934FCF"/>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934FCF"/>
    <w:rPr>
      <w:vertAlign w:val="superscript"/>
    </w:rPr>
  </w:style>
  <w:style w:type="paragraph" w:styleId="Header">
    <w:name w:val="header"/>
    <w:basedOn w:val="Normal"/>
    <w:link w:val="HeaderChar"/>
    <w:uiPriority w:val="99"/>
    <w:unhideWhenUsed/>
    <w:rsid w:val="00B717CE"/>
    <w:pPr>
      <w:tabs>
        <w:tab w:val="center" w:pos="4680"/>
        <w:tab w:val="right" w:pos="9360"/>
      </w:tabs>
    </w:pPr>
  </w:style>
  <w:style w:type="character" w:customStyle="1" w:styleId="HeaderChar">
    <w:name w:val="Header Char"/>
    <w:basedOn w:val="DefaultParagraphFont"/>
    <w:link w:val="Header"/>
    <w:uiPriority w:val="99"/>
    <w:rsid w:val="00B717CE"/>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717CE"/>
    <w:pPr>
      <w:tabs>
        <w:tab w:val="center" w:pos="4680"/>
        <w:tab w:val="right" w:pos="9360"/>
      </w:tabs>
    </w:pPr>
  </w:style>
  <w:style w:type="character" w:customStyle="1" w:styleId="FooterChar">
    <w:name w:val="Footer Char"/>
    <w:basedOn w:val="DefaultParagraphFont"/>
    <w:link w:val="Footer"/>
    <w:uiPriority w:val="99"/>
    <w:rsid w:val="00B717CE"/>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79976">
      <w:bodyDiv w:val="1"/>
      <w:marLeft w:val="0"/>
      <w:marRight w:val="0"/>
      <w:marTop w:val="0"/>
      <w:marBottom w:val="0"/>
      <w:divBdr>
        <w:top w:val="none" w:sz="0" w:space="0" w:color="auto"/>
        <w:left w:val="none" w:sz="0" w:space="0" w:color="auto"/>
        <w:bottom w:val="none" w:sz="0" w:space="0" w:color="auto"/>
        <w:right w:val="none" w:sz="0" w:space="0" w:color="auto"/>
      </w:divBdr>
    </w:div>
    <w:div w:id="416289463">
      <w:bodyDiv w:val="1"/>
      <w:marLeft w:val="0"/>
      <w:marRight w:val="0"/>
      <w:marTop w:val="0"/>
      <w:marBottom w:val="0"/>
      <w:divBdr>
        <w:top w:val="none" w:sz="0" w:space="0" w:color="auto"/>
        <w:left w:val="none" w:sz="0" w:space="0" w:color="auto"/>
        <w:bottom w:val="none" w:sz="0" w:space="0" w:color="auto"/>
        <w:right w:val="none" w:sz="0" w:space="0" w:color="auto"/>
      </w:divBdr>
      <w:divsChild>
        <w:div w:id="1083912301">
          <w:marLeft w:val="0"/>
          <w:marRight w:val="0"/>
          <w:marTop w:val="480"/>
          <w:marBottom w:val="240"/>
          <w:divBdr>
            <w:top w:val="none" w:sz="0" w:space="0" w:color="auto"/>
            <w:left w:val="none" w:sz="0" w:space="0" w:color="auto"/>
            <w:bottom w:val="none" w:sz="0" w:space="0" w:color="auto"/>
            <w:right w:val="none" w:sz="0" w:space="0" w:color="auto"/>
          </w:divBdr>
        </w:div>
        <w:div w:id="1415317969">
          <w:marLeft w:val="0"/>
          <w:marRight w:val="0"/>
          <w:marTop w:val="0"/>
          <w:marBottom w:val="567"/>
          <w:divBdr>
            <w:top w:val="none" w:sz="0" w:space="0" w:color="auto"/>
            <w:left w:val="none" w:sz="0" w:space="0" w:color="auto"/>
            <w:bottom w:val="none" w:sz="0" w:space="0" w:color="auto"/>
            <w:right w:val="none" w:sz="0" w:space="0" w:color="auto"/>
          </w:divBdr>
        </w:div>
      </w:divsChild>
    </w:div>
    <w:div w:id="605575001">
      <w:bodyDiv w:val="1"/>
      <w:marLeft w:val="0"/>
      <w:marRight w:val="0"/>
      <w:marTop w:val="0"/>
      <w:marBottom w:val="0"/>
      <w:divBdr>
        <w:top w:val="none" w:sz="0" w:space="0" w:color="auto"/>
        <w:left w:val="none" w:sz="0" w:space="0" w:color="auto"/>
        <w:bottom w:val="none" w:sz="0" w:space="0" w:color="auto"/>
        <w:right w:val="none" w:sz="0" w:space="0" w:color="auto"/>
      </w:divBdr>
    </w:div>
    <w:div w:id="835077833">
      <w:bodyDiv w:val="1"/>
      <w:marLeft w:val="0"/>
      <w:marRight w:val="0"/>
      <w:marTop w:val="0"/>
      <w:marBottom w:val="0"/>
      <w:divBdr>
        <w:top w:val="none" w:sz="0" w:space="0" w:color="auto"/>
        <w:left w:val="none" w:sz="0" w:space="0" w:color="auto"/>
        <w:bottom w:val="none" w:sz="0" w:space="0" w:color="auto"/>
        <w:right w:val="none" w:sz="0" w:space="0" w:color="auto"/>
      </w:divBdr>
    </w:div>
    <w:div w:id="980042053">
      <w:bodyDiv w:val="1"/>
      <w:marLeft w:val="0"/>
      <w:marRight w:val="0"/>
      <w:marTop w:val="0"/>
      <w:marBottom w:val="0"/>
      <w:divBdr>
        <w:top w:val="none" w:sz="0" w:space="0" w:color="auto"/>
        <w:left w:val="none" w:sz="0" w:space="0" w:color="auto"/>
        <w:bottom w:val="none" w:sz="0" w:space="0" w:color="auto"/>
        <w:right w:val="none" w:sz="0" w:space="0" w:color="auto"/>
      </w:divBdr>
      <w:divsChild>
        <w:div w:id="564923663">
          <w:marLeft w:val="-225"/>
          <w:marRight w:val="-225"/>
          <w:marTop w:val="0"/>
          <w:marBottom w:val="0"/>
          <w:divBdr>
            <w:top w:val="none" w:sz="0" w:space="0" w:color="auto"/>
            <w:left w:val="none" w:sz="0" w:space="0" w:color="auto"/>
            <w:bottom w:val="none" w:sz="0" w:space="0" w:color="auto"/>
            <w:right w:val="none" w:sz="0" w:space="0" w:color="auto"/>
          </w:divBdr>
          <w:divsChild>
            <w:div w:id="1361931686">
              <w:marLeft w:val="0"/>
              <w:marRight w:val="0"/>
              <w:marTop w:val="0"/>
              <w:marBottom w:val="0"/>
              <w:divBdr>
                <w:top w:val="none" w:sz="0" w:space="0" w:color="auto"/>
                <w:left w:val="none" w:sz="0" w:space="0" w:color="auto"/>
                <w:bottom w:val="none" w:sz="0" w:space="0" w:color="auto"/>
                <w:right w:val="none" w:sz="0" w:space="0" w:color="auto"/>
              </w:divBdr>
            </w:div>
          </w:divsChild>
        </w:div>
        <w:div w:id="672683145">
          <w:marLeft w:val="-225"/>
          <w:marRight w:val="-225"/>
          <w:marTop w:val="0"/>
          <w:marBottom w:val="0"/>
          <w:divBdr>
            <w:top w:val="none" w:sz="0" w:space="0" w:color="auto"/>
            <w:left w:val="none" w:sz="0" w:space="0" w:color="auto"/>
            <w:bottom w:val="none" w:sz="0" w:space="0" w:color="auto"/>
            <w:right w:val="none" w:sz="0" w:space="0" w:color="auto"/>
          </w:divBdr>
          <w:divsChild>
            <w:div w:id="1977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803">
      <w:bodyDiv w:val="1"/>
      <w:marLeft w:val="0"/>
      <w:marRight w:val="0"/>
      <w:marTop w:val="0"/>
      <w:marBottom w:val="0"/>
      <w:divBdr>
        <w:top w:val="none" w:sz="0" w:space="0" w:color="auto"/>
        <w:left w:val="none" w:sz="0" w:space="0" w:color="auto"/>
        <w:bottom w:val="none" w:sz="0" w:space="0" w:color="auto"/>
        <w:right w:val="none" w:sz="0" w:space="0" w:color="auto"/>
      </w:divBdr>
    </w:div>
    <w:div w:id="17949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757-valsts-izglitibas-attistibas-agenturas-nolikums" TargetMode="External"/><Relationship Id="rId3" Type="http://schemas.openxmlformats.org/officeDocument/2006/relationships/settings" Target="settings.xml"/><Relationship Id="rId7" Type="http://schemas.openxmlformats.org/officeDocument/2006/relationships/hyperlink" Target="https://likumi.lv/ta/id/253757-valsts-izglitibas-attistibas-agenturas-no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504232&amp;mode=mk&amp;date=2021-06-29" TargetMode="External"/><Relationship Id="rId2" Type="http://schemas.openxmlformats.org/officeDocument/2006/relationships/hyperlink" Target="https://likumi.lv/ta/id/324382-grozijums-ministru-kabineta-2012-gada-18-decembra-noteikumos-nr-934-valsts-izglitibas-attistibas-agenturas-nolikums-" TargetMode="External"/><Relationship Id="rId1" Type="http://schemas.openxmlformats.org/officeDocument/2006/relationships/hyperlink" Target="http://tap.mk.gov.lv/mk/mksedes/saraksts/protokols/?protokols=2021-0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6D0D-AD6D-4B95-A844-F7BE6F27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2</cp:revision>
  <dcterms:created xsi:type="dcterms:W3CDTF">2021-07-19T15:30:00Z</dcterms:created>
  <dcterms:modified xsi:type="dcterms:W3CDTF">2021-07-19T15:30:00Z</dcterms:modified>
</cp:coreProperties>
</file>