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160" w:rsidRPr="003E0EE3" w:rsidRDefault="00656160" w:rsidP="00656160">
      <w:pPr>
        <w:pStyle w:val="naislab"/>
        <w:spacing w:before="0" w:after="0"/>
        <w:ind w:firstLine="720"/>
        <w:rPr>
          <w:sz w:val="26"/>
          <w:szCs w:val="26"/>
        </w:rPr>
      </w:pPr>
      <w:r w:rsidRPr="003E0EE3">
        <w:rPr>
          <w:sz w:val="26"/>
          <w:szCs w:val="26"/>
        </w:rPr>
        <w:t> </w:t>
      </w:r>
    </w:p>
    <w:p w:rsidR="00656160" w:rsidRPr="003E0EE3" w:rsidRDefault="00656160" w:rsidP="00656160">
      <w:pPr>
        <w:pStyle w:val="naisnod"/>
        <w:spacing w:before="0" w:after="0"/>
        <w:rPr>
          <w:sz w:val="26"/>
          <w:szCs w:val="26"/>
        </w:rPr>
      </w:pPr>
      <w:r w:rsidRPr="003E0EE3">
        <w:rPr>
          <w:sz w:val="26"/>
          <w:szCs w:val="26"/>
        </w:rPr>
        <w:t>Izziņa par atzinumos sniegtajiem iebildumiem</w:t>
      </w:r>
    </w:p>
    <w:p w:rsidR="00656160" w:rsidRPr="003E0EE3" w:rsidRDefault="00656160" w:rsidP="00656160">
      <w:pPr>
        <w:pStyle w:val="naisnod"/>
        <w:spacing w:before="0" w:after="0"/>
        <w:rPr>
          <w:sz w:val="26"/>
          <w:szCs w:val="26"/>
        </w:rPr>
      </w:pPr>
    </w:p>
    <w:tbl>
      <w:tblPr>
        <w:tblW w:w="0" w:type="auto"/>
        <w:jc w:val="center"/>
        <w:tblLook w:val="00A0" w:firstRow="1" w:lastRow="0" w:firstColumn="1" w:lastColumn="0" w:noHBand="0" w:noVBand="0"/>
      </w:tblPr>
      <w:tblGrid>
        <w:gridCol w:w="10188"/>
      </w:tblGrid>
      <w:tr w:rsidR="00656160" w:rsidRPr="003E0EE3" w:rsidTr="0043580C">
        <w:trPr>
          <w:jc w:val="center"/>
        </w:trPr>
        <w:tc>
          <w:tcPr>
            <w:tcW w:w="10188" w:type="dxa"/>
            <w:tcBorders>
              <w:bottom w:val="single" w:sz="6" w:space="0" w:color="000000"/>
            </w:tcBorders>
          </w:tcPr>
          <w:p w:rsidR="00656160" w:rsidRPr="003E0EE3" w:rsidRDefault="00656160" w:rsidP="0043580C">
            <w:pPr>
              <w:shd w:val="clear" w:color="auto" w:fill="FFFFFF"/>
              <w:ind w:hanging="33"/>
              <w:jc w:val="center"/>
              <w:rPr>
                <w:b/>
                <w:sz w:val="26"/>
                <w:szCs w:val="26"/>
              </w:rPr>
            </w:pPr>
            <w:r w:rsidRPr="003E0EE3">
              <w:rPr>
                <w:b/>
                <w:sz w:val="26"/>
                <w:szCs w:val="26"/>
              </w:rPr>
              <w:t xml:space="preserve">noteikumu projektam </w:t>
            </w:r>
            <w:r w:rsidRPr="003E0EE3">
              <w:rPr>
                <w:b/>
                <w:bCs/>
                <w:sz w:val="26"/>
                <w:szCs w:val="26"/>
              </w:rPr>
              <w:t>“Grozījumi Ministru kabineta 2007. gada 18. septembra noteikumos Nr. 639</w:t>
            </w:r>
            <w:r w:rsidRPr="003E0EE3">
              <w:rPr>
                <w:b/>
                <w:sz w:val="26"/>
                <w:szCs w:val="26"/>
              </w:rPr>
              <w:t xml:space="preserve"> “</w:t>
            </w:r>
            <w:r w:rsidRPr="003E0EE3">
              <w:rPr>
                <w:b/>
                <w:bCs/>
                <w:sz w:val="26"/>
                <w:szCs w:val="26"/>
              </w:rPr>
              <w:t>Kārtība, kādā iekļauj, labo un dzēš ziņojumus Šengenas informācijas sistēmā, kā arī nodrošina papildinformācijas pieejamību SIRENE Latvijas birojam, un kārtība, kādā institūcijas un iestādes apmainās ar papildinformāciju””</w:t>
            </w:r>
            <w:r w:rsidRPr="003E0EE3">
              <w:rPr>
                <w:b/>
                <w:sz w:val="26"/>
                <w:szCs w:val="26"/>
              </w:rPr>
              <w:t xml:space="preserve"> </w:t>
            </w:r>
          </w:p>
          <w:p w:rsidR="00656160" w:rsidRPr="003E0EE3" w:rsidRDefault="00656160" w:rsidP="0043580C">
            <w:pPr>
              <w:shd w:val="clear" w:color="auto" w:fill="FFFFFF"/>
              <w:ind w:hanging="33"/>
              <w:jc w:val="center"/>
              <w:rPr>
                <w:b/>
                <w:sz w:val="26"/>
                <w:szCs w:val="26"/>
              </w:rPr>
            </w:pPr>
            <w:r w:rsidRPr="003E0EE3">
              <w:rPr>
                <w:b/>
                <w:bCs/>
                <w:sz w:val="26"/>
                <w:szCs w:val="26"/>
              </w:rPr>
              <w:t>(VSS-454)</w:t>
            </w:r>
          </w:p>
        </w:tc>
      </w:tr>
    </w:tbl>
    <w:p w:rsidR="00656160" w:rsidRPr="003E0EE3" w:rsidRDefault="00656160" w:rsidP="00656160">
      <w:pPr>
        <w:pStyle w:val="naisf"/>
        <w:spacing w:before="0" w:after="0"/>
        <w:ind w:firstLine="720"/>
        <w:rPr>
          <w:sz w:val="26"/>
          <w:szCs w:val="26"/>
        </w:rPr>
      </w:pPr>
    </w:p>
    <w:p w:rsidR="00656160" w:rsidRPr="003E0EE3" w:rsidRDefault="00656160" w:rsidP="00656160">
      <w:pPr>
        <w:pStyle w:val="naisf"/>
        <w:spacing w:before="0" w:after="0"/>
        <w:ind w:firstLine="0"/>
        <w:jc w:val="center"/>
        <w:rPr>
          <w:b/>
          <w:sz w:val="26"/>
          <w:szCs w:val="26"/>
        </w:rPr>
      </w:pPr>
      <w:r w:rsidRPr="003E0EE3">
        <w:rPr>
          <w:b/>
          <w:sz w:val="26"/>
          <w:szCs w:val="26"/>
        </w:rPr>
        <w:t>I. Jautājumi, par kuriem saskaņošanā vienošanās nav panākta</w:t>
      </w:r>
    </w:p>
    <w:p w:rsidR="00656160" w:rsidRPr="003E0EE3" w:rsidRDefault="00656160" w:rsidP="00656160">
      <w:pPr>
        <w:pStyle w:val="naisf"/>
        <w:spacing w:before="0" w:after="0"/>
        <w:ind w:firstLine="720"/>
        <w:rPr>
          <w:sz w:val="26"/>
          <w:szCs w:val="26"/>
        </w:rPr>
      </w:pPr>
    </w:p>
    <w:tbl>
      <w:tblPr>
        <w:tblW w:w="14268"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694"/>
        <w:gridCol w:w="3543"/>
        <w:gridCol w:w="2694"/>
        <w:gridCol w:w="2742"/>
        <w:gridCol w:w="1920"/>
      </w:tblGrid>
      <w:tr w:rsidR="00656160" w:rsidRPr="003E0EE3" w:rsidTr="0043580C">
        <w:tc>
          <w:tcPr>
            <w:tcW w:w="675" w:type="dxa"/>
            <w:tcBorders>
              <w:top w:val="single" w:sz="6" w:space="0" w:color="000000"/>
              <w:left w:val="single" w:sz="6" w:space="0" w:color="000000"/>
              <w:bottom w:val="single" w:sz="6" w:space="0" w:color="000000"/>
              <w:right w:val="single" w:sz="6" w:space="0" w:color="000000"/>
            </w:tcBorders>
            <w:vAlign w:val="center"/>
          </w:tcPr>
          <w:p w:rsidR="00656160" w:rsidRPr="003E0EE3" w:rsidRDefault="00656160" w:rsidP="0043580C">
            <w:pPr>
              <w:pStyle w:val="naisc"/>
              <w:spacing w:before="0" w:after="0"/>
              <w:rPr>
                <w:sz w:val="26"/>
                <w:szCs w:val="26"/>
              </w:rPr>
            </w:pPr>
            <w:r w:rsidRPr="003E0EE3">
              <w:rPr>
                <w:sz w:val="26"/>
                <w:szCs w:val="26"/>
              </w:rPr>
              <w:t>Nr. p.k.</w:t>
            </w:r>
          </w:p>
        </w:tc>
        <w:tc>
          <w:tcPr>
            <w:tcW w:w="2694" w:type="dxa"/>
            <w:tcBorders>
              <w:top w:val="single" w:sz="6" w:space="0" w:color="000000"/>
              <w:left w:val="single" w:sz="6" w:space="0" w:color="000000"/>
              <w:bottom w:val="single" w:sz="6" w:space="0" w:color="000000"/>
              <w:right w:val="single" w:sz="6" w:space="0" w:color="000000"/>
            </w:tcBorders>
            <w:vAlign w:val="center"/>
          </w:tcPr>
          <w:p w:rsidR="00656160" w:rsidRPr="003E0EE3" w:rsidRDefault="00656160" w:rsidP="0043580C">
            <w:pPr>
              <w:pStyle w:val="naisc"/>
              <w:spacing w:before="0" w:after="0"/>
              <w:ind w:firstLine="12"/>
              <w:rPr>
                <w:sz w:val="26"/>
                <w:szCs w:val="26"/>
              </w:rPr>
            </w:pPr>
            <w:r w:rsidRPr="003E0EE3">
              <w:rPr>
                <w:sz w:val="26"/>
                <w:szCs w:val="26"/>
              </w:rPr>
              <w:t>Saskaņošanai nosūtītā projekta redakcija (konkrēta punkta (panta) redakcija)</w:t>
            </w:r>
          </w:p>
        </w:tc>
        <w:tc>
          <w:tcPr>
            <w:tcW w:w="3543" w:type="dxa"/>
            <w:tcBorders>
              <w:top w:val="single" w:sz="6" w:space="0" w:color="000000"/>
              <w:left w:val="single" w:sz="6" w:space="0" w:color="000000"/>
              <w:bottom w:val="single" w:sz="6" w:space="0" w:color="000000"/>
              <w:right w:val="single" w:sz="6" w:space="0" w:color="000000"/>
            </w:tcBorders>
            <w:vAlign w:val="center"/>
          </w:tcPr>
          <w:p w:rsidR="00656160" w:rsidRPr="003E0EE3" w:rsidRDefault="00656160" w:rsidP="0043580C">
            <w:pPr>
              <w:pStyle w:val="naisc"/>
              <w:spacing w:before="0" w:after="0"/>
              <w:ind w:right="3"/>
              <w:rPr>
                <w:sz w:val="26"/>
                <w:szCs w:val="26"/>
              </w:rPr>
            </w:pPr>
            <w:r w:rsidRPr="003E0EE3">
              <w:rPr>
                <w:sz w:val="26"/>
                <w:szCs w:val="26"/>
              </w:rPr>
              <w:t>Atzinumā norādītais ministrijas (citas institūcijas) iebildums, kā arī saskaņošanā papildus izteiktais iebildums par projekta konkrēto punktu (pantu)</w:t>
            </w:r>
          </w:p>
        </w:tc>
        <w:tc>
          <w:tcPr>
            <w:tcW w:w="2694" w:type="dxa"/>
            <w:tcBorders>
              <w:top w:val="single" w:sz="6" w:space="0" w:color="000000"/>
              <w:left w:val="single" w:sz="6" w:space="0" w:color="000000"/>
              <w:bottom w:val="single" w:sz="6" w:space="0" w:color="000000"/>
              <w:right w:val="single" w:sz="6" w:space="0" w:color="000000"/>
            </w:tcBorders>
            <w:vAlign w:val="center"/>
          </w:tcPr>
          <w:p w:rsidR="00656160" w:rsidRPr="003E0EE3" w:rsidRDefault="00656160" w:rsidP="0043580C">
            <w:pPr>
              <w:pStyle w:val="naisc"/>
              <w:spacing w:before="0" w:after="0"/>
              <w:ind w:firstLine="21"/>
              <w:rPr>
                <w:sz w:val="26"/>
                <w:szCs w:val="26"/>
              </w:rPr>
            </w:pPr>
            <w:r w:rsidRPr="003E0EE3">
              <w:rPr>
                <w:sz w:val="26"/>
                <w:szCs w:val="26"/>
              </w:rPr>
              <w:t>Atbildīgās ministrijas pamatojums iebilduma noraidījumam</w:t>
            </w:r>
          </w:p>
        </w:tc>
        <w:tc>
          <w:tcPr>
            <w:tcW w:w="2742" w:type="dxa"/>
            <w:tcBorders>
              <w:top w:val="single" w:sz="4" w:space="0" w:color="auto"/>
              <w:left w:val="single" w:sz="4" w:space="0" w:color="auto"/>
              <w:bottom w:val="single" w:sz="4" w:space="0" w:color="auto"/>
              <w:right w:val="single" w:sz="4" w:space="0" w:color="auto"/>
            </w:tcBorders>
            <w:vAlign w:val="center"/>
          </w:tcPr>
          <w:p w:rsidR="00656160" w:rsidRPr="003E0EE3" w:rsidRDefault="00656160" w:rsidP="0043580C">
            <w:pPr>
              <w:jc w:val="center"/>
              <w:rPr>
                <w:sz w:val="26"/>
                <w:szCs w:val="26"/>
              </w:rPr>
            </w:pPr>
            <w:r w:rsidRPr="003E0EE3">
              <w:rPr>
                <w:sz w:val="26"/>
                <w:szCs w:val="26"/>
              </w:rPr>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rsidR="00656160" w:rsidRPr="003E0EE3" w:rsidRDefault="00656160" w:rsidP="0043580C">
            <w:pPr>
              <w:jc w:val="center"/>
              <w:rPr>
                <w:sz w:val="26"/>
                <w:szCs w:val="26"/>
              </w:rPr>
            </w:pPr>
            <w:r w:rsidRPr="003E0EE3">
              <w:rPr>
                <w:sz w:val="26"/>
                <w:szCs w:val="26"/>
              </w:rPr>
              <w:t>Projekta attiecīgā punkta (panta) galīgā redakcija</w:t>
            </w:r>
          </w:p>
        </w:tc>
      </w:tr>
      <w:tr w:rsidR="00656160" w:rsidRPr="003E0EE3" w:rsidTr="0043580C">
        <w:tc>
          <w:tcPr>
            <w:tcW w:w="675" w:type="dxa"/>
            <w:tcBorders>
              <w:top w:val="single" w:sz="6" w:space="0" w:color="000000"/>
              <w:left w:val="single" w:sz="6" w:space="0" w:color="000000"/>
              <w:bottom w:val="single" w:sz="6" w:space="0" w:color="000000"/>
              <w:right w:val="single" w:sz="6" w:space="0" w:color="000000"/>
            </w:tcBorders>
          </w:tcPr>
          <w:p w:rsidR="00656160" w:rsidRPr="003E0EE3" w:rsidRDefault="00656160" w:rsidP="0043580C">
            <w:pPr>
              <w:pStyle w:val="naisc"/>
              <w:spacing w:before="0" w:after="0"/>
              <w:rPr>
                <w:sz w:val="26"/>
                <w:szCs w:val="26"/>
              </w:rPr>
            </w:pPr>
            <w:r w:rsidRPr="003E0EE3">
              <w:rPr>
                <w:sz w:val="26"/>
                <w:szCs w:val="26"/>
              </w:rPr>
              <w:t>1</w:t>
            </w:r>
          </w:p>
        </w:tc>
        <w:tc>
          <w:tcPr>
            <w:tcW w:w="2694" w:type="dxa"/>
            <w:tcBorders>
              <w:top w:val="single" w:sz="6" w:space="0" w:color="000000"/>
              <w:left w:val="single" w:sz="6" w:space="0" w:color="000000"/>
              <w:bottom w:val="single" w:sz="6" w:space="0" w:color="000000"/>
              <w:right w:val="single" w:sz="6" w:space="0" w:color="000000"/>
            </w:tcBorders>
          </w:tcPr>
          <w:p w:rsidR="00656160" w:rsidRPr="003E0EE3" w:rsidRDefault="00656160" w:rsidP="0043580C">
            <w:pPr>
              <w:pStyle w:val="naisc"/>
              <w:tabs>
                <w:tab w:val="left" w:pos="1877"/>
              </w:tabs>
              <w:spacing w:before="0" w:after="0"/>
              <w:ind w:firstLine="601"/>
              <w:jc w:val="left"/>
              <w:rPr>
                <w:sz w:val="26"/>
                <w:szCs w:val="26"/>
              </w:rPr>
            </w:pPr>
            <w:r w:rsidRPr="003E0EE3">
              <w:rPr>
                <w:sz w:val="26"/>
                <w:szCs w:val="26"/>
              </w:rPr>
              <w:t xml:space="preserve">          2</w:t>
            </w:r>
          </w:p>
        </w:tc>
        <w:tc>
          <w:tcPr>
            <w:tcW w:w="3543" w:type="dxa"/>
            <w:tcBorders>
              <w:top w:val="single" w:sz="6" w:space="0" w:color="000000"/>
              <w:left w:val="single" w:sz="6" w:space="0" w:color="000000"/>
              <w:bottom w:val="single" w:sz="6" w:space="0" w:color="000000"/>
              <w:right w:val="single" w:sz="6" w:space="0" w:color="000000"/>
            </w:tcBorders>
          </w:tcPr>
          <w:p w:rsidR="00656160" w:rsidRPr="003E0EE3" w:rsidRDefault="00656160" w:rsidP="0043580C">
            <w:pPr>
              <w:pStyle w:val="naisc"/>
              <w:spacing w:before="0" w:after="0"/>
              <w:jc w:val="left"/>
              <w:rPr>
                <w:sz w:val="26"/>
                <w:szCs w:val="26"/>
              </w:rPr>
            </w:pPr>
            <w:r w:rsidRPr="003E0EE3">
              <w:rPr>
                <w:sz w:val="26"/>
                <w:szCs w:val="26"/>
              </w:rPr>
              <w:t xml:space="preserve">                                3</w:t>
            </w:r>
          </w:p>
        </w:tc>
        <w:tc>
          <w:tcPr>
            <w:tcW w:w="2694" w:type="dxa"/>
            <w:tcBorders>
              <w:top w:val="single" w:sz="6" w:space="0" w:color="000000"/>
              <w:left w:val="single" w:sz="6" w:space="0" w:color="000000"/>
              <w:bottom w:val="single" w:sz="6" w:space="0" w:color="000000"/>
              <w:right w:val="single" w:sz="6" w:space="0" w:color="000000"/>
            </w:tcBorders>
          </w:tcPr>
          <w:p w:rsidR="00656160" w:rsidRPr="003E0EE3" w:rsidRDefault="00656160" w:rsidP="0043580C">
            <w:pPr>
              <w:pStyle w:val="naisc"/>
              <w:spacing w:before="0" w:after="0"/>
              <w:ind w:firstLine="1168"/>
              <w:jc w:val="left"/>
              <w:rPr>
                <w:sz w:val="26"/>
                <w:szCs w:val="26"/>
              </w:rPr>
            </w:pPr>
            <w:r w:rsidRPr="003E0EE3">
              <w:rPr>
                <w:sz w:val="26"/>
                <w:szCs w:val="26"/>
              </w:rPr>
              <w:t>4</w:t>
            </w:r>
          </w:p>
        </w:tc>
        <w:tc>
          <w:tcPr>
            <w:tcW w:w="2742" w:type="dxa"/>
            <w:tcBorders>
              <w:top w:val="single" w:sz="4" w:space="0" w:color="auto"/>
              <w:left w:val="single" w:sz="4" w:space="0" w:color="auto"/>
              <w:bottom w:val="single" w:sz="4" w:space="0" w:color="auto"/>
              <w:right w:val="single" w:sz="4" w:space="0" w:color="auto"/>
            </w:tcBorders>
          </w:tcPr>
          <w:p w:rsidR="00656160" w:rsidRPr="003E0EE3" w:rsidRDefault="00656160" w:rsidP="0043580C">
            <w:pPr>
              <w:jc w:val="center"/>
              <w:rPr>
                <w:sz w:val="26"/>
                <w:szCs w:val="26"/>
              </w:rPr>
            </w:pPr>
            <w:r w:rsidRPr="003E0EE3">
              <w:rPr>
                <w:sz w:val="26"/>
                <w:szCs w:val="26"/>
              </w:rPr>
              <w:t>5</w:t>
            </w:r>
          </w:p>
        </w:tc>
        <w:tc>
          <w:tcPr>
            <w:tcW w:w="1920" w:type="dxa"/>
            <w:tcBorders>
              <w:top w:val="single" w:sz="4" w:space="0" w:color="auto"/>
              <w:left w:val="single" w:sz="4" w:space="0" w:color="auto"/>
              <w:bottom w:val="single" w:sz="4" w:space="0" w:color="auto"/>
            </w:tcBorders>
          </w:tcPr>
          <w:p w:rsidR="00656160" w:rsidRPr="003E0EE3" w:rsidRDefault="00656160" w:rsidP="0043580C">
            <w:pPr>
              <w:jc w:val="center"/>
              <w:rPr>
                <w:sz w:val="26"/>
                <w:szCs w:val="26"/>
              </w:rPr>
            </w:pPr>
            <w:r w:rsidRPr="003E0EE3">
              <w:rPr>
                <w:sz w:val="26"/>
                <w:szCs w:val="26"/>
              </w:rPr>
              <w:t>6</w:t>
            </w:r>
          </w:p>
        </w:tc>
      </w:tr>
      <w:tr w:rsidR="00656160" w:rsidRPr="003E0EE3" w:rsidTr="0043580C">
        <w:tc>
          <w:tcPr>
            <w:tcW w:w="14268" w:type="dxa"/>
            <w:gridSpan w:val="6"/>
            <w:tcBorders>
              <w:top w:val="single" w:sz="6" w:space="0" w:color="000000"/>
              <w:left w:val="single" w:sz="6" w:space="0" w:color="000000"/>
              <w:bottom w:val="single" w:sz="6" w:space="0" w:color="000000"/>
            </w:tcBorders>
          </w:tcPr>
          <w:p w:rsidR="00656160" w:rsidRPr="003E0EE3" w:rsidRDefault="00656160" w:rsidP="0043580C">
            <w:pPr>
              <w:rPr>
                <w:b/>
                <w:sz w:val="26"/>
                <w:szCs w:val="26"/>
              </w:rPr>
            </w:pPr>
          </w:p>
        </w:tc>
      </w:tr>
    </w:tbl>
    <w:p w:rsidR="00656160" w:rsidRPr="003E0EE3" w:rsidRDefault="00656160" w:rsidP="00656160">
      <w:pPr>
        <w:pStyle w:val="naisf"/>
        <w:spacing w:before="0" w:after="0"/>
        <w:ind w:firstLine="0"/>
        <w:rPr>
          <w:b/>
          <w:sz w:val="26"/>
          <w:szCs w:val="26"/>
        </w:rPr>
      </w:pPr>
    </w:p>
    <w:p w:rsidR="00656160" w:rsidRPr="003E0EE3" w:rsidRDefault="00656160" w:rsidP="00656160">
      <w:pPr>
        <w:pStyle w:val="naisf"/>
        <w:spacing w:before="0" w:after="0"/>
        <w:ind w:firstLine="0"/>
        <w:rPr>
          <w:b/>
          <w:sz w:val="26"/>
          <w:szCs w:val="26"/>
        </w:rPr>
      </w:pPr>
    </w:p>
    <w:p w:rsidR="00656160" w:rsidRPr="003E0EE3" w:rsidRDefault="00656160" w:rsidP="00656160">
      <w:pPr>
        <w:pStyle w:val="naisf"/>
        <w:spacing w:before="0" w:after="0"/>
        <w:ind w:firstLine="0"/>
        <w:rPr>
          <w:b/>
          <w:sz w:val="26"/>
          <w:szCs w:val="26"/>
        </w:rPr>
      </w:pPr>
      <w:r w:rsidRPr="003E0EE3">
        <w:rPr>
          <w:b/>
          <w:sz w:val="26"/>
          <w:szCs w:val="26"/>
        </w:rPr>
        <w:t xml:space="preserve">Informācija par </w:t>
      </w:r>
      <w:proofErr w:type="spellStart"/>
      <w:r w:rsidRPr="003E0EE3">
        <w:rPr>
          <w:b/>
          <w:sz w:val="26"/>
          <w:szCs w:val="26"/>
        </w:rPr>
        <w:t>starpministriju</w:t>
      </w:r>
      <w:proofErr w:type="spellEnd"/>
      <w:r w:rsidRPr="003E0EE3">
        <w:rPr>
          <w:b/>
          <w:sz w:val="26"/>
          <w:szCs w:val="26"/>
        </w:rPr>
        <w:t xml:space="preserve"> (starpinstitūciju) sanāksmi vai elektronisko saskaņošanu</w:t>
      </w:r>
    </w:p>
    <w:p w:rsidR="00656160" w:rsidRPr="003E0EE3" w:rsidRDefault="00656160" w:rsidP="00656160">
      <w:pPr>
        <w:pStyle w:val="naisf"/>
        <w:spacing w:before="0" w:after="0"/>
        <w:ind w:firstLine="0"/>
        <w:rPr>
          <w:b/>
          <w:sz w:val="26"/>
          <w:szCs w:val="26"/>
        </w:rPr>
      </w:pPr>
    </w:p>
    <w:tbl>
      <w:tblPr>
        <w:tblW w:w="14198" w:type="dxa"/>
        <w:tblLook w:val="00A0" w:firstRow="1" w:lastRow="0" w:firstColumn="1" w:lastColumn="0" w:noHBand="0" w:noVBand="0"/>
      </w:tblPr>
      <w:tblGrid>
        <w:gridCol w:w="7150"/>
        <w:gridCol w:w="1355"/>
        <w:gridCol w:w="5693"/>
      </w:tblGrid>
      <w:tr w:rsidR="00656160" w:rsidRPr="003E0EE3" w:rsidTr="0043580C">
        <w:trPr>
          <w:trHeight w:val="300"/>
        </w:trPr>
        <w:tc>
          <w:tcPr>
            <w:tcW w:w="7150" w:type="dxa"/>
          </w:tcPr>
          <w:p w:rsidR="00656160" w:rsidRPr="003E0EE3" w:rsidRDefault="00656160" w:rsidP="0043580C">
            <w:pPr>
              <w:pStyle w:val="naisf"/>
              <w:spacing w:before="0" w:after="0"/>
              <w:ind w:firstLine="0"/>
              <w:rPr>
                <w:sz w:val="26"/>
                <w:szCs w:val="26"/>
              </w:rPr>
            </w:pPr>
            <w:r w:rsidRPr="003E0EE3">
              <w:rPr>
                <w:sz w:val="26"/>
                <w:szCs w:val="26"/>
              </w:rPr>
              <w:t>Datums</w:t>
            </w:r>
          </w:p>
        </w:tc>
        <w:tc>
          <w:tcPr>
            <w:tcW w:w="7048" w:type="dxa"/>
            <w:gridSpan w:val="2"/>
            <w:tcBorders>
              <w:bottom w:val="single" w:sz="4" w:space="0" w:color="auto"/>
            </w:tcBorders>
          </w:tcPr>
          <w:p w:rsidR="00656160" w:rsidRPr="003E0EE3" w:rsidRDefault="00656160" w:rsidP="0043580C">
            <w:pPr>
              <w:pStyle w:val="NormalWeb"/>
              <w:spacing w:before="0" w:beforeAutospacing="0" w:after="0" w:afterAutospacing="0"/>
              <w:rPr>
                <w:sz w:val="26"/>
                <w:szCs w:val="26"/>
              </w:rPr>
            </w:pPr>
            <w:r w:rsidRPr="00242BD6">
              <w:rPr>
                <w:sz w:val="26"/>
                <w:szCs w:val="26"/>
              </w:rPr>
              <w:t xml:space="preserve">Elektroniskā saskaņošana no 2021. gada </w:t>
            </w:r>
            <w:r>
              <w:rPr>
                <w:sz w:val="26"/>
                <w:szCs w:val="26"/>
              </w:rPr>
              <w:t>10. jūnija līdz 16</w:t>
            </w:r>
            <w:r w:rsidRPr="00242BD6">
              <w:rPr>
                <w:sz w:val="26"/>
                <w:szCs w:val="26"/>
              </w:rPr>
              <w:t>.</w:t>
            </w:r>
            <w:r>
              <w:rPr>
                <w:sz w:val="26"/>
                <w:szCs w:val="26"/>
              </w:rPr>
              <w:t> </w:t>
            </w:r>
            <w:r w:rsidRPr="00242BD6">
              <w:rPr>
                <w:sz w:val="26"/>
                <w:szCs w:val="26"/>
              </w:rPr>
              <w:t>jūnijam;</w:t>
            </w:r>
          </w:p>
        </w:tc>
      </w:tr>
      <w:tr w:rsidR="00656160" w:rsidRPr="003E0EE3" w:rsidTr="0043580C">
        <w:trPr>
          <w:trHeight w:val="300"/>
        </w:trPr>
        <w:tc>
          <w:tcPr>
            <w:tcW w:w="7150" w:type="dxa"/>
          </w:tcPr>
          <w:p w:rsidR="00656160" w:rsidRPr="003E0EE3" w:rsidRDefault="00656160" w:rsidP="0043580C">
            <w:pPr>
              <w:pStyle w:val="naisf"/>
              <w:spacing w:before="0" w:after="0"/>
              <w:ind w:firstLine="0"/>
              <w:rPr>
                <w:sz w:val="26"/>
                <w:szCs w:val="26"/>
              </w:rPr>
            </w:pPr>
          </w:p>
        </w:tc>
        <w:tc>
          <w:tcPr>
            <w:tcW w:w="7048" w:type="dxa"/>
            <w:gridSpan w:val="2"/>
            <w:tcBorders>
              <w:top w:val="single" w:sz="4" w:space="0" w:color="auto"/>
            </w:tcBorders>
          </w:tcPr>
          <w:p w:rsidR="00656160" w:rsidRPr="003E0EE3" w:rsidRDefault="00656160" w:rsidP="0043580C">
            <w:pPr>
              <w:pStyle w:val="NormalWeb"/>
              <w:spacing w:before="0" w:beforeAutospacing="0" w:after="0" w:afterAutospacing="0"/>
              <w:ind w:firstLine="720"/>
              <w:rPr>
                <w:sz w:val="26"/>
                <w:szCs w:val="26"/>
              </w:rPr>
            </w:pPr>
          </w:p>
        </w:tc>
      </w:tr>
      <w:tr w:rsidR="00656160" w:rsidRPr="003E0EE3" w:rsidTr="0043580C">
        <w:trPr>
          <w:trHeight w:val="547"/>
        </w:trPr>
        <w:tc>
          <w:tcPr>
            <w:tcW w:w="7150" w:type="dxa"/>
          </w:tcPr>
          <w:p w:rsidR="00656160" w:rsidRPr="003E0EE3" w:rsidRDefault="00656160" w:rsidP="0043580C">
            <w:pPr>
              <w:pStyle w:val="naiskr"/>
              <w:spacing w:before="0" w:after="0"/>
              <w:rPr>
                <w:sz w:val="26"/>
                <w:szCs w:val="26"/>
              </w:rPr>
            </w:pPr>
            <w:r w:rsidRPr="003E0EE3">
              <w:rPr>
                <w:sz w:val="26"/>
                <w:szCs w:val="26"/>
              </w:rPr>
              <w:t>Saskaņošanas dalībnieki</w:t>
            </w:r>
          </w:p>
        </w:tc>
        <w:tc>
          <w:tcPr>
            <w:tcW w:w="7048" w:type="dxa"/>
            <w:gridSpan w:val="2"/>
          </w:tcPr>
          <w:p w:rsidR="00656160" w:rsidRPr="003E0EE3" w:rsidRDefault="00656160" w:rsidP="0043580C">
            <w:pPr>
              <w:pStyle w:val="NormalWeb"/>
              <w:spacing w:before="0" w:beforeAutospacing="0" w:after="0" w:afterAutospacing="0"/>
              <w:rPr>
                <w:sz w:val="26"/>
                <w:szCs w:val="26"/>
              </w:rPr>
            </w:pPr>
            <w:r w:rsidRPr="003E0EE3">
              <w:rPr>
                <w:sz w:val="26"/>
                <w:szCs w:val="26"/>
              </w:rPr>
              <w:t>Tieslietu ministrija, Finanšu ministrija, Vides aizsardzības un reģionālās attīstības ministrija, Aizsardzības ministrija,</w:t>
            </w:r>
          </w:p>
        </w:tc>
      </w:tr>
      <w:tr w:rsidR="00656160" w:rsidRPr="003E0EE3" w:rsidTr="0043580C">
        <w:trPr>
          <w:trHeight w:val="317"/>
        </w:trPr>
        <w:tc>
          <w:tcPr>
            <w:tcW w:w="7150" w:type="dxa"/>
          </w:tcPr>
          <w:p w:rsidR="00656160" w:rsidRPr="003E0EE3" w:rsidRDefault="00656160" w:rsidP="0043580C">
            <w:pPr>
              <w:pStyle w:val="naiskr"/>
              <w:spacing w:before="0" w:after="0"/>
              <w:ind w:firstLine="720"/>
              <w:rPr>
                <w:sz w:val="26"/>
                <w:szCs w:val="26"/>
              </w:rPr>
            </w:pPr>
            <w:r w:rsidRPr="003E0EE3">
              <w:rPr>
                <w:sz w:val="26"/>
                <w:szCs w:val="26"/>
              </w:rPr>
              <w:t>  </w:t>
            </w:r>
          </w:p>
        </w:tc>
        <w:tc>
          <w:tcPr>
            <w:tcW w:w="7048" w:type="dxa"/>
            <w:gridSpan w:val="2"/>
            <w:tcBorders>
              <w:top w:val="single" w:sz="6" w:space="0" w:color="000000"/>
              <w:bottom w:val="single" w:sz="6" w:space="0" w:color="000000"/>
            </w:tcBorders>
          </w:tcPr>
          <w:p w:rsidR="00656160" w:rsidRPr="003E0EE3" w:rsidRDefault="00656160" w:rsidP="0043580C">
            <w:pPr>
              <w:pStyle w:val="naiskr"/>
              <w:spacing w:before="0" w:after="0"/>
              <w:rPr>
                <w:sz w:val="26"/>
                <w:szCs w:val="26"/>
              </w:rPr>
            </w:pPr>
            <w:r w:rsidRPr="003E0EE3">
              <w:rPr>
                <w:sz w:val="26"/>
                <w:szCs w:val="26"/>
              </w:rPr>
              <w:t>Ārlietu ministrija, Satiksmes ministrija, Ģenerālprokuratūra, Korupcijas novēršanas un apkarošanas birojs</w:t>
            </w:r>
          </w:p>
        </w:tc>
      </w:tr>
      <w:tr w:rsidR="00656160" w:rsidRPr="003E0EE3" w:rsidTr="0043580C">
        <w:trPr>
          <w:trHeight w:val="317"/>
        </w:trPr>
        <w:tc>
          <w:tcPr>
            <w:tcW w:w="7150" w:type="dxa"/>
          </w:tcPr>
          <w:p w:rsidR="00656160" w:rsidRPr="003E0EE3" w:rsidRDefault="00656160" w:rsidP="0043580C">
            <w:pPr>
              <w:pStyle w:val="naiskr"/>
              <w:spacing w:before="0" w:after="0"/>
              <w:ind w:firstLine="720"/>
              <w:rPr>
                <w:sz w:val="26"/>
                <w:szCs w:val="26"/>
              </w:rPr>
            </w:pPr>
          </w:p>
        </w:tc>
        <w:tc>
          <w:tcPr>
            <w:tcW w:w="7048" w:type="dxa"/>
            <w:gridSpan w:val="2"/>
            <w:tcBorders>
              <w:top w:val="single" w:sz="6" w:space="0" w:color="000000"/>
              <w:bottom w:val="single" w:sz="6" w:space="0" w:color="000000"/>
            </w:tcBorders>
          </w:tcPr>
          <w:p w:rsidR="00656160" w:rsidRPr="003E0EE3" w:rsidRDefault="00656160" w:rsidP="0043580C">
            <w:pPr>
              <w:pStyle w:val="naiskr"/>
              <w:spacing w:before="0" w:after="0"/>
              <w:rPr>
                <w:sz w:val="26"/>
                <w:szCs w:val="26"/>
              </w:rPr>
            </w:pPr>
          </w:p>
        </w:tc>
      </w:tr>
      <w:tr w:rsidR="00656160" w:rsidRPr="003E0EE3" w:rsidTr="0043580C">
        <w:trPr>
          <w:trHeight w:val="317"/>
        </w:trPr>
        <w:tc>
          <w:tcPr>
            <w:tcW w:w="7150" w:type="dxa"/>
          </w:tcPr>
          <w:p w:rsidR="00656160" w:rsidRPr="003E0EE3" w:rsidRDefault="00656160" w:rsidP="0043580C">
            <w:pPr>
              <w:pStyle w:val="naiskr"/>
              <w:spacing w:before="0" w:after="0"/>
              <w:rPr>
                <w:sz w:val="26"/>
                <w:szCs w:val="26"/>
              </w:rPr>
            </w:pPr>
          </w:p>
        </w:tc>
        <w:tc>
          <w:tcPr>
            <w:tcW w:w="1355" w:type="dxa"/>
          </w:tcPr>
          <w:p w:rsidR="00656160" w:rsidRPr="003E0EE3" w:rsidRDefault="00656160" w:rsidP="0043580C">
            <w:pPr>
              <w:pStyle w:val="naiskr"/>
              <w:spacing w:before="0" w:after="0"/>
              <w:ind w:firstLine="720"/>
              <w:rPr>
                <w:sz w:val="26"/>
                <w:szCs w:val="26"/>
              </w:rPr>
            </w:pPr>
          </w:p>
        </w:tc>
        <w:tc>
          <w:tcPr>
            <w:tcW w:w="5693" w:type="dxa"/>
          </w:tcPr>
          <w:p w:rsidR="00656160" w:rsidRPr="003E0EE3" w:rsidRDefault="00656160" w:rsidP="0043580C">
            <w:pPr>
              <w:pStyle w:val="naiskr"/>
              <w:spacing w:before="0" w:after="0"/>
              <w:ind w:firstLine="12"/>
              <w:rPr>
                <w:sz w:val="26"/>
                <w:szCs w:val="26"/>
              </w:rPr>
            </w:pPr>
          </w:p>
        </w:tc>
      </w:tr>
    </w:tbl>
    <w:p w:rsidR="00656160" w:rsidRPr="003E0EE3" w:rsidRDefault="00656160" w:rsidP="00656160">
      <w:pPr>
        <w:ind w:right="2237"/>
        <w:rPr>
          <w:sz w:val="26"/>
          <w:szCs w:val="26"/>
        </w:rPr>
      </w:pPr>
    </w:p>
    <w:tbl>
      <w:tblPr>
        <w:tblW w:w="18500" w:type="dxa"/>
        <w:tblLook w:val="00A0" w:firstRow="1" w:lastRow="0" w:firstColumn="1" w:lastColumn="0" w:noHBand="0" w:noVBand="0"/>
      </w:tblPr>
      <w:tblGrid>
        <w:gridCol w:w="5980"/>
        <w:gridCol w:w="8162"/>
        <w:gridCol w:w="4358"/>
      </w:tblGrid>
      <w:tr w:rsidR="00656160" w:rsidRPr="003E0EE3" w:rsidTr="0043580C">
        <w:trPr>
          <w:trHeight w:val="285"/>
        </w:trPr>
        <w:tc>
          <w:tcPr>
            <w:tcW w:w="5980" w:type="dxa"/>
          </w:tcPr>
          <w:p w:rsidR="00656160" w:rsidRPr="003E0EE3" w:rsidRDefault="00656160" w:rsidP="0043580C">
            <w:pPr>
              <w:pStyle w:val="naiskr"/>
              <w:spacing w:before="0" w:after="0"/>
              <w:rPr>
                <w:sz w:val="26"/>
                <w:szCs w:val="26"/>
              </w:rPr>
            </w:pPr>
            <w:r w:rsidRPr="003E0EE3">
              <w:rPr>
                <w:sz w:val="26"/>
                <w:szCs w:val="26"/>
              </w:rPr>
              <w:t>Saskaņošanas dalībnieki izskatīja šādu ministriju (citu institūciju) iebildumus</w:t>
            </w:r>
          </w:p>
        </w:tc>
        <w:tc>
          <w:tcPr>
            <w:tcW w:w="8162" w:type="dxa"/>
          </w:tcPr>
          <w:p w:rsidR="00656160" w:rsidRPr="003E0EE3" w:rsidRDefault="00656160" w:rsidP="0043580C">
            <w:pPr>
              <w:pStyle w:val="naiskr"/>
              <w:spacing w:before="0" w:after="0"/>
              <w:ind w:left="1110" w:right="-244"/>
              <w:rPr>
                <w:sz w:val="26"/>
                <w:szCs w:val="26"/>
              </w:rPr>
            </w:pPr>
            <w:r w:rsidRPr="003E0EE3">
              <w:rPr>
                <w:sz w:val="26"/>
                <w:szCs w:val="26"/>
              </w:rPr>
              <w:t>Tieslietu ministrija</w:t>
            </w:r>
          </w:p>
        </w:tc>
        <w:tc>
          <w:tcPr>
            <w:tcW w:w="4358" w:type="dxa"/>
          </w:tcPr>
          <w:p w:rsidR="00656160" w:rsidRPr="003E0EE3" w:rsidRDefault="00656160" w:rsidP="0043580C">
            <w:pPr>
              <w:pStyle w:val="naiskr"/>
              <w:spacing w:before="0" w:after="0"/>
              <w:rPr>
                <w:sz w:val="26"/>
                <w:szCs w:val="26"/>
              </w:rPr>
            </w:pPr>
            <w:r w:rsidRPr="003E0EE3">
              <w:rPr>
                <w:sz w:val="26"/>
                <w:szCs w:val="26"/>
              </w:rPr>
              <w:t xml:space="preserve"> </w:t>
            </w:r>
          </w:p>
          <w:p w:rsidR="00656160" w:rsidRPr="003E0EE3" w:rsidRDefault="00656160" w:rsidP="0043580C">
            <w:pPr>
              <w:pStyle w:val="naiskr"/>
              <w:spacing w:before="0" w:after="0"/>
              <w:rPr>
                <w:sz w:val="26"/>
                <w:szCs w:val="26"/>
              </w:rPr>
            </w:pPr>
          </w:p>
        </w:tc>
      </w:tr>
      <w:tr w:rsidR="00656160" w:rsidRPr="003E0EE3" w:rsidTr="0043580C">
        <w:tc>
          <w:tcPr>
            <w:tcW w:w="5980" w:type="dxa"/>
          </w:tcPr>
          <w:p w:rsidR="00656160" w:rsidRPr="003E0EE3" w:rsidRDefault="00656160" w:rsidP="0043580C">
            <w:pPr>
              <w:pStyle w:val="naiskr"/>
              <w:spacing w:before="0" w:after="0"/>
              <w:rPr>
                <w:sz w:val="26"/>
                <w:szCs w:val="26"/>
              </w:rPr>
            </w:pPr>
            <w:r w:rsidRPr="003E0EE3">
              <w:rPr>
                <w:sz w:val="26"/>
                <w:szCs w:val="26"/>
              </w:rPr>
              <w:t>Ministrijas (citas institūcijas), kuras nav ieradušās uz sanāksmi vai kuras nav atbildējušas uz uzaicinājumu piedalīties elektroniskajā saskaņošanā</w:t>
            </w:r>
          </w:p>
        </w:tc>
        <w:tc>
          <w:tcPr>
            <w:tcW w:w="12520" w:type="dxa"/>
            <w:gridSpan w:val="2"/>
          </w:tcPr>
          <w:p w:rsidR="00656160" w:rsidRPr="003E0EE3" w:rsidRDefault="00656160" w:rsidP="0043580C">
            <w:pPr>
              <w:pStyle w:val="naiskr"/>
              <w:spacing w:before="0" w:after="0"/>
              <w:ind w:firstLine="720"/>
              <w:rPr>
                <w:sz w:val="26"/>
                <w:szCs w:val="26"/>
              </w:rPr>
            </w:pPr>
          </w:p>
        </w:tc>
      </w:tr>
      <w:tr w:rsidR="00656160" w:rsidRPr="003E0EE3" w:rsidTr="0043580C">
        <w:tc>
          <w:tcPr>
            <w:tcW w:w="5980" w:type="dxa"/>
          </w:tcPr>
          <w:p w:rsidR="00656160" w:rsidRPr="003E0EE3" w:rsidRDefault="00656160" w:rsidP="0043580C">
            <w:pPr>
              <w:pStyle w:val="naiskr"/>
              <w:spacing w:before="0" w:after="0"/>
              <w:ind w:firstLine="720"/>
              <w:rPr>
                <w:sz w:val="26"/>
                <w:szCs w:val="26"/>
              </w:rPr>
            </w:pPr>
            <w:r w:rsidRPr="003E0EE3">
              <w:rPr>
                <w:sz w:val="26"/>
                <w:szCs w:val="26"/>
              </w:rPr>
              <w:t>  </w:t>
            </w:r>
          </w:p>
        </w:tc>
        <w:tc>
          <w:tcPr>
            <w:tcW w:w="12520" w:type="dxa"/>
            <w:gridSpan w:val="2"/>
            <w:tcBorders>
              <w:top w:val="single" w:sz="6" w:space="0" w:color="000000"/>
              <w:bottom w:val="single" w:sz="6" w:space="0" w:color="000000"/>
            </w:tcBorders>
          </w:tcPr>
          <w:p w:rsidR="00656160" w:rsidRPr="003E0EE3" w:rsidRDefault="00656160" w:rsidP="0043580C">
            <w:pPr>
              <w:pStyle w:val="naiskr"/>
              <w:tabs>
                <w:tab w:val="left" w:pos="8749"/>
              </w:tabs>
              <w:spacing w:before="0" w:after="0"/>
              <w:ind w:firstLine="720"/>
              <w:rPr>
                <w:sz w:val="26"/>
                <w:szCs w:val="26"/>
              </w:rPr>
            </w:pPr>
            <w:r w:rsidRPr="003E0EE3">
              <w:rPr>
                <w:sz w:val="26"/>
                <w:szCs w:val="26"/>
              </w:rPr>
              <w:tab/>
            </w:r>
          </w:p>
        </w:tc>
      </w:tr>
    </w:tbl>
    <w:p w:rsidR="00656160" w:rsidRPr="003E0EE3" w:rsidRDefault="00656160" w:rsidP="00656160">
      <w:pPr>
        <w:pStyle w:val="naisf"/>
        <w:spacing w:before="0" w:after="0"/>
        <w:ind w:firstLine="0"/>
        <w:jc w:val="center"/>
        <w:rPr>
          <w:b/>
          <w:sz w:val="26"/>
          <w:szCs w:val="26"/>
        </w:rPr>
      </w:pPr>
    </w:p>
    <w:p w:rsidR="00656160" w:rsidRPr="003E0EE3" w:rsidRDefault="00656160" w:rsidP="00656160">
      <w:pPr>
        <w:pStyle w:val="naisf"/>
        <w:spacing w:before="0" w:after="0"/>
        <w:ind w:firstLine="0"/>
        <w:jc w:val="center"/>
        <w:rPr>
          <w:b/>
          <w:sz w:val="26"/>
          <w:szCs w:val="26"/>
        </w:rPr>
      </w:pPr>
      <w:r w:rsidRPr="003E0EE3">
        <w:rPr>
          <w:b/>
          <w:sz w:val="26"/>
          <w:szCs w:val="26"/>
        </w:rPr>
        <w:t>II. Jautājumi, par kuriem saskaņošanā vienošanās ir panākta</w:t>
      </w:r>
    </w:p>
    <w:p w:rsidR="00656160" w:rsidRPr="003E0EE3" w:rsidRDefault="00656160" w:rsidP="00656160">
      <w:pPr>
        <w:pStyle w:val="naisf"/>
        <w:spacing w:before="0" w:after="0"/>
        <w:ind w:firstLine="720"/>
        <w:rPr>
          <w:sz w:val="26"/>
          <w:szCs w:val="26"/>
        </w:rPr>
      </w:pPr>
    </w:p>
    <w:tbl>
      <w:tblPr>
        <w:tblW w:w="1499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34"/>
        <w:gridCol w:w="2693"/>
        <w:gridCol w:w="1790"/>
        <w:gridCol w:w="2604"/>
        <w:gridCol w:w="3402"/>
        <w:gridCol w:w="3260"/>
        <w:gridCol w:w="711"/>
      </w:tblGrid>
      <w:tr w:rsidR="00656160" w:rsidRPr="003E0EE3" w:rsidTr="0043580C">
        <w:trPr>
          <w:gridAfter w:val="1"/>
          <w:wAfter w:w="711" w:type="dxa"/>
        </w:trPr>
        <w:tc>
          <w:tcPr>
            <w:tcW w:w="534" w:type="dxa"/>
            <w:tcBorders>
              <w:top w:val="single" w:sz="6" w:space="0" w:color="000000"/>
              <w:left w:val="single" w:sz="6" w:space="0" w:color="000000"/>
              <w:bottom w:val="single" w:sz="6" w:space="0" w:color="000000"/>
              <w:right w:val="single" w:sz="6" w:space="0" w:color="000000"/>
            </w:tcBorders>
            <w:vAlign w:val="center"/>
          </w:tcPr>
          <w:p w:rsidR="00656160" w:rsidRPr="003E0EE3" w:rsidRDefault="00656160" w:rsidP="0043580C">
            <w:pPr>
              <w:pStyle w:val="naisc"/>
              <w:spacing w:before="0" w:after="0"/>
              <w:rPr>
                <w:sz w:val="26"/>
                <w:szCs w:val="26"/>
              </w:rPr>
            </w:pPr>
            <w:r w:rsidRPr="003E0EE3">
              <w:rPr>
                <w:sz w:val="26"/>
                <w:szCs w:val="26"/>
              </w:rPr>
              <w:t>Nr. p.k.</w:t>
            </w:r>
          </w:p>
        </w:tc>
        <w:tc>
          <w:tcPr>
            <w:tcW w:w="2693" w:type="dxa"/>
            <w:tcBorders>
              <w:top w:val="single" w:sz="6" w:space="0" w:color="000000"/>
              <w:left w:val="single" w:sz="6" w:space="0" w:color="000000"/>
              <w:bottom w:val="single" w:sz="6" w:space="0" w:color="000000"/>
              <w:right w:val="single" w:sz="6" w:space="0" w:color="000000"/>
            </w:tcBorders>
            <w:vAlign w:val="center"/>
          </w:tcPr>
          <w:p w:rsidR="00656160" w:rsidRPr="003E0EE3" w:rsidRDefault="00656160" w:rsidP="0043580C">
            <w:pPr>
              <w:pStyle w:val="naisc"/>
              <w:spacing w:before="0" w:after="0"/>
              <w:ind w:firstLine="12"/>
              <w:rPr>
                <w:sz w:val="26"/>
                <w:szCs w:val="26"/>
              </w:rPr>
            </w:pPr>
            <w:r w:rsidRPr="003E0EE3">
              <w:rPr>
                <w:sz w:val="26"/>
                <w:szCs w:val="26"/>
              </w:rPr>
              <w:t>Saskaņošanai nosūtītā projekta redakcija (konkrēta punkta (panta) redakcija)</w:t>
            </w:r>
          </w:p>
        </w:tc>
        <w:tc>
          <w:tcPr>
            <w:tcW w:w="4394" w:type="dxa"/>
            <w:gridSpan w:val="2"/>
            <w:tcBorders>
              <w:top w:val="single" w:sz="6" w:space="0" w:color="000000"/>
              <w:left w:val="single" w:sz="6" w:space="0" w:color="000000"/>
              <w:bottom w:val="single" w:sz="6" w:space="0" w:color="000000"/>
              <w:right w:val="single" w:sz="6" w:space="0" w:color="000000"/>
            </w:tcBorders>
            <w:vAlign w:val="center"/>
          </w:tcPr>
          <w:p w:rsidR="00656160" w:rsidRPr="003E0EE3" w:rsidRDefault="00656160" w:rsidP="0043580C">
            <w:pPr>
              <w:pStyle w:val="naisc"/>
              <w:spacing w:before="0" w:after="0"/>
              <w:ind w:right="3"/>
              <w:rPr>
                <w:sz w:val="26"/>
                <w:szCs w:val="26"/>
              </w:rPr>
            </w:pPr>
            <w:r w:rsidRPr="003E0EE3">
              <w:rPr>
                <w:sz w:val="26"/>
                <w:szCs w:val="26"/>
              </w:rPr>
              <w:t>Atzinumā norādītais ministrijas (citas institūcijas) iebildums, kā arī saskaņošanā papildus izteiktais iebildums par projekta konkrēto punktu (pantu)</w:t>
            </w:r>
          </w:p>
        </w:tc>
        <w:tc>
          <w:tcPr>
            <w:tcW w:w="3402" w:type="dxa"/>
            <w:tcBorders>
              <w:top w:val="single" w:sz="6" w:space="0" w:color="000000"/>
              <w:left w:val="single" w:sz="6" w:space="0" w:color="000000"/>
              <w:bottom w:val="single" w:sz="6" w:space="0" w:color="000000"/>
              <w:right w:val="single" w:sz="6" w:space="0" w:color="000000"/>
            </w:tcBorders>
            <w:vAlign w:val="center"/>
          </w:tcPr>
          <w:p w:rsidR="00656160" w:rsidRPr="003E0EE3" w:rsidRDefault="00656160" w:rsidP="0043580C">
            <w:pPr>
              <w:pStyle w:val="naisc"/>
              <w:spacing w:before="0" w:after="0"/>
              <w:ind w:firstLine="21"/>
              <w:rPr>
                <w:sz w:val="26"/>
                <w:szCs w:val="26"/>
              </w:rPr>
            </w:pPr>
            <w:r w:rsidRPr="003E0EE3">
              <w:rPr>
                <w:sz w:val="26"/>
                <w:szCs w:val="26"/>
              </w:rPr>
              <w:t>Atbildīgās ministrijas norāde par to, ka iebildums ir ņemts vērā, vai informācija par saskaņošanā panākto alternatīvo risinājumu</w:t>
            </w:r>
          </w:p>
        </w:tc>
        <w:tc>
          <w:tcPr>
            <w:tcW w:w="3260" w:type="dxa"/>
            <w:tcBorders>
              <w:top w:val="single" w:sz="4" w:space="0" w:color="auto"/>
              <w:left w:val="single" w:sz="4" w:space="0" w:color="auto"/>
              <w:bottom w:val="single" w:sz="4" w:space="0" w:color="auto"/>
            </w:tcBorders>
            <w:vAlign w:val="center"/>
          </w:tcPr>
          <w:p w:rsidR="00656160" w:rsidRPr="003E0EE3" w:rsidRDefault="00656160" w:rsidP="0043580C">
            <w:pPr>
              <w:jc w:val="center"/>
              <w:rPr>
                <w:sz w:val="26"/>
                <w:szCs w:val="26"/>
              </w:rPr>
            </w:pPr>
            <w:r w:rsidRPr="003E0EE3">
              <w:rPr>
                <w:sz w:val="26"/>
                <w:szCs w:val="26"/>
              </w:rPr>
              <w:t>Projekta attiecīgā punkta (panta) galīgā redakcija</w:t>
            </w:r>
          </w:p>
        </w:tc>
      </w:tr>
      <w:tr w:rsidR="00656160" w:rsidRPr="003E0EE3" w:rsidTr="0043580C">
        <w:trPr>
          <w:gridAfter w:val="1"/>
          <w:wAfter w:w="711" w:type="dxa"/>
        </w:trPr>
        <w:tc>
          <w:tcPr>
            <w:tcW w:w="534" w:type="dxa"/>
            <w:tcBorders>
              <w:top w:val="single" w:sz="6" w:space="0" w:color="000000"/>
              <w:left w:val="single" w:sz="6" w:space="0" w:color="000000"/>
              <w:bottom w:val="single" w:sz="6" w:space="0" w:color="000000"/>
              <w:right w:val="single" w:sz="6" w:space="0" w:color="000000"/>
            </w:tcBorders>
          </w:tcPr>
          <w:p w:rsidR="00656160" w:rsidRPr="003E0EE3" w:rsidRDefault="00656160" w:rsidP="0043580C">
            <w:pPr>
              <w:pStyle w:val="naisc"/>
              <w:spacing w:before="0" w:after="0"/>
              <w:rPr>
                <w:sz w:val="26"/>
                <w:szCs w:val="26"/>
              </w:rPr>
            </w:pPr>
            <w:r w:rsidRPr="003E0EE3">
              <w:rPr>
                <w:sz w:val="26"/>
                <w:szCs w:val="26"/>
              </w:rPr>
              <w:t>1</w:t>
            </w:r>
          </w:p>
        </w:tc>
        <w:tc>
          <w:tcPr>
            <w:tcW w:w="2693" w:type="dxa"/>
            <w:tcBorders>
              <w:top w:val="single" w:sz="6" w:space="0" w:color="000000"/>
              <w:left w:val="single" w:sz="6" w:space="0" w:color="000000"/>
              <w:bottom w:val="single" w:sz="6" w:space="0" w:color="000000"/>
              <w:right w:val="single" w:sz="6" w:space="0" w:color="000000"/>
            </w:tcBorders>
          </w:tcPr>
          <w:p w:rsidR="00656160" w:rsidRPr="003E0EE3" w:rsidRDefault="00656160" w:rsidP="0043580C">
            <w:pPr>
              <w:pStyle w:val="naisc"/>
              <w:spacing w:before="0" w:after="0"/>
              <w:ind w:firstLine="720"/>
              <w:rPr>
                <w:sz w:val="26"/>
                <w:szCs w:val="26"/>
              </w:rPr>
            </w:pPr>
            <w:r w:rsidRPr="003E0EE3">
              <w:rPr>
                <w:sz w:val="26"/>
                <w:szCs w:val="26"/>
              </w:rPr>
              <w:t>2</w:t>
            </w:r>
          </w:p>
        </w:tc>
        <w:tc>
          <w:tcPr>
            <w:tcW w:w="4394" w:type="dxa"/>
            <w:gridSpan w:val="2"/>
            <w:tcBorders>
              <w:top w:val="single" w:sz="6" w:space="0" w:color="000000"/>
              <w:left w:val="single" w:sz="6" w:space="0" w:color="000000"/>
              <w:bottom w:val="single" w:sz="6" w:space="0" w:color="000000"/>
              <w:right w:val="single" w:sz="6" w:space="0" w:color="000000"/>
            </w:tcBorders>
          </w:tcPr>
          <w:p w:rsidR="00656160" w:rsidRPr="003E0EE3" w:rsidRDefault="00656160" w:rsidP="0043580C">
            <w:pPr>
              <w:pStyle w:val="naisc"/>
              <w:spacing w:before="0" w:after="0"/>
              <w:ind w:firstLine="720"/>
              <w:rPr>
                <w:sz w:val="26"/>
                <w:szCs w:val="26"/>
              </w:rPr>
            </w:pPr>
            <w:r w:rsidRPr="003E0EE3">
              <w:rPr>
                <w:sz w:val="26"/>
                <w:szCs w:val="26"/>
              </w:rPr>
              <w:t>3</w:t>
            </w:r>
          </w:p>
        </w:tc>
        <w:tc>
          <w:tcPr>
            <w:tcW w:w="3402" w:type="dxa"/>
            <w:tcBorders>
              <w:top w:val="single" w:sz="6" w:space="0" w:color="000000"/>
              <w:left w:val="single" w:sz="6" w:space="0" w:color="000000"/>
              <w:bottom w:val="single" w:sz="6" w:space="0" w:color="000000"/>
              <w:right w:val="single" w:sz="6" w:space="0" w:color="000000"/>
            </w:tcBorders>
          </w:tcPr>
          <w:p w:rsidR="00656160" w:rsidRPr="003E0EE3" w:rsidRDefault="00656160" w:rsidP="0043580C">
            <w:pPr>
              <w:pStyle w:val="naisc"/>
              <w:spacing w:before="0" w:after="0"/>
              <w:ind w:firstLine="720"/>
              <w:rPr>
                <w:sz w:val="26"/>
                <w:szCs w:val="26"/>
              </w:rPr>
            </w:pPr>
            <w:r w:rsidRPr="003E0EE3">
              <w:rPr>
                <w:sz w:val="26"/>
                <w:szCs w:val="26"/>
              </w:rPr>
              <w:t>4</w:t>
            </w:r>
          </w:p>
        </w:tc>
        <w:tc>
          <w:tcPr>
            <w:tcW w:w="3260" w:type="dxa"/>
            <w:tcBorders>
              <w:top w:val="single" w:sz="4" w:space="0" w:color="auto"/>
              <w:left w:val="single" w:sz="4" w:space="0" w:color="auto"/>
              <w:bottom w:val="single" w:sz="4" w:space="0" w:color="auto"/>
            </w:tcBorders>
          </w:tcPr>
          <w:p w:rsidR="00656160" w:rsidRPr="003E0EE3" w:rsidRDefault="00656160" w:rsidP="0043580C">
            <w:pPr>
              <w:jc w:val="center"/>
              <w:rPr>
                <w:sz w:val="26"/>
                <w:szCs w:val="26"/>
              </w:rPr>
            </w:pPr>
            <w:r w:rsidRPr="003E0EE3">
              <w:rPr>
                <w:sz w:val="26"/>
                <w:szCs w:val="26"/>
              </w:rPr>
              <w:t>5</w:t>
            </w:r>
          </w:p>
        </w:tc>
      </w:tr>
      <w:tr w:rsidR="00656160" w:rsidRPr="003E0EE3" w:rsidTr="0043580C">
        <w:trPr>
          <w:gridAfter w:val="1"/>
          <w:wAfter w:w="711" w:type="dxa"/>
        </w:trPr>
        <w:tc>
          <w:tcPr>
            <w:tcW w:w="534" w:type="dxa"/>
            <w:tcBorders>
              <w:top w:val="single" w:sz="6" w:space="0" w:color="000000"/>
              <w:left w:val="single" w:sz="6" w:space="0" w:color="000000"/>
              <w:bottom w:val="single" w:sz="6" w:space="0" w:color="000000"/>
              <w:right w:val="single" w:sz="6" w:space="0" w:color="000000"/>
            </w:tcBorders>
          </w:tcPr>
          <w:p w:rsidR="00656160" w:rsidRPr="003E0EE3" w:rsidRDefault="00656160" w:rsidP="0043580C">
            <w:pPr>
              <w:pStyle w:val="naisc"/>
              <w:spacing w:before="0" w:after="0"/>
              <w:rPr>
                <w:sz w:val="26"/>
                <w:szCs w:val="26"/>
              </w:rPr>
            </w:pPr>
          </w:p>
          <w:p w:rsidR="00656160" w:rsidRPr="003E0EE3" w:rsidRDefault="00656160" w:rsidP="0043580C">
            <w:pPr>
              <w:pStyle w:val="naisc"/>
              <w:spacing w:before="0" w:after="0"/>
              <w:rPr>
                <w:sz w:val="26"/>
                <w:szCs w:val="26"/>
              </w:rPr>
            </w:pPr>
            <w:r w:rsidRPr="003E0EE3">
              <w:rPr>
                <w:sz w:val="26"/>
                <w:szCs w:val="26"/>
              </w:rPr>
              <w:t>1.</w:t>
            </w:r>
          </w:p>
        </w:tc>
        <w:tc>
          <w:tcPr>
            <w:tcW w:w="2693" w:type="dxa"/>
            <w:tcBorders>
              <w:top w:val="single" w:sz="6" w:space="0" w:color="000000"/>
              <w:left w:val="single" w:sz="6" w:space="0" w:color="000000"/>
              <w:bottom w:val="single" w:sz="6" w:space="0" w:color="000000"/>
              <w:right w:val="single" w:sz="6" w:space="0" w:color="000000"/>
            </w:tcBorders>
          </w:tcPr>
          <w:p w:rsidR="00656160" w:rsidRPr="003E0EE3" w:rsidRDefault="00656160" w:rsidP="0043580C">
            <w:pPr>
              <w:pStyle w:val="naisc"/>
              <w:spacing w:before="0" w:after="0"/>
              <w:ind w:left="-105"/>
              <w:jc w:val="both"/>
              <w:rPr>
                <w:sz w:val="26"/>
                <w:szCs w:val="26"/>
              </w:rPr>
            </w:pPr>
            <w:r w:rsidRPr="003E0EE3">
              <w:rPr>
                <w:b/>
                <w:sz w:val="26"/>
                <w:szCs w:val="26"/>
              </w:rPr>
              <w:t xml:space="preserve">Projekta 11. punkts: </w:t>
            </w:r>
            <w:r w:rsidRPr="003E0EE3">
              <w:rPr>
                <w:sz w:val="26"/>
                <w:szCs w:val="26"/>
              </w:rPr>
              <w:t>“25. Ziņojumu sistēmā iekļauj:</w:t>
            </w:r>
          </w:p>
          <w:p w:rsidR="00656160" w:rsidRPr="003E0EE3" w:rsidRDefault="00656160" w:rsidP="0043580C">
            <w:pPr>
              <w:pStyle w:val="naisc"/>
              <w:spacing w:before="0" w:after="0"/>
              <w:ind w:left="-105"/>
              <w:jc w:val="both"/>
              <w:rPr>
                <w:sz w:val="26"/>
                <w:szCs w:val="26"/>
              </w:rPr>
            </w:pPr>
            <w:r w:rsidRPr="003E0EE3">
              <w:rPr>
                <w:sz w:val="26"/>
                <w:szCs w:val="26"/>
              </w:rPr>
              <w:t>25.1. uz pieciem gadiem – par bez vēsts pazudušu personu;</w:t>
            </w:r>
          </w:p>
          <w:p w:rsidR="00656160" w:rsidRPr="003E0EE3" w:rsidRDefault="00656160" w:rsidP="0043580C">
            <w:pPr>
              <w:pStyle w:val="naisc"/>
              <w:spacing w:before="0" w:after="0"/>
              <w:ind w:left="-105"/>
              <w:jc w:val="both"/>
              <w:rPr>
                <w:sz w:val="26"/>
                <w:szCs w:val="26"/>
              </w:rPr>
            </w:pPr>
            <w:r w:rsidRPr="003E0EE3">
              <w:rPr>
                <w:sz w:val="26"/>
                <w:szCs w:val="26"/>
              </w:rPr>
              <w:t>25.2. uz vienu gadu – par personu, lai, veicot diskrēto pārbaudi, īpašo pārbaudi vai interviju, iegūtu informāciju par to;</w:t>
            </w:r>
          </w:p>
          <w:p w:rsidR="00656160" w:rsidRPr="003E0EE3" w:rsidRDefault="00656160" w:rsidP="0043580C">
            <w:pPr>
              <w:pStyle w:val="naisc"/>
              <w:spacing w:before="0" w:after="0"/>
              <w:ind w:left="-105"/>
              <w:jc w:val="both"/>
              <w:rPr>
                <w:sz w:val="26"/>
                <w:szCs w:val="26"/>
              </w:rPr>
            </w:pPr>
            <w:r w:rsidRPr="003E0EE3">
              <w:rPr>
                <w:sz w:val="26"/>
                <w:szCs w:val="26"/>
              </w:rPr>
              <w:lastRenderedPageBreak/>
              <w:t xml:space="preserve">25.3. uz laiku līdz trīs gadiem – par personu, kuru meklē, lai noskaidrotu tās uzturēšanās vietu vai pastāvīgo dzīvesvietu vai par neidentificētu </w:t>
            </w:r>
            <w:r w:rsidRPr="003E0EE3">
              <w:rPr>
                <w:bCs/>
                <w:sz w:val="26"/>
                <w:szCs w:val="26"/>
              </w:rPr>
              <w:t>personu, lai noskaidrotu tās identitāti</w:t>
            </w:r>
            <w:r w:rsidRPr="003E0EE3">
              <w:rPr>
                <w:sz w:val="26"/>
                <w:szCs w:val="26"/>
              </w:rPr>
              <w:t>;</w:t>
            </w:r>
          </w:p>
          <w:p w:rsidR="00656160" w:rsidRPr="003E0EE3" w:rsidRDefault="00656160" w:rsidP="0043580C">
            <w:pPr>
              <w:pStyle w:val="naisc"/>
              <w:spacing w:before="0" w:after="0"/>
              <w:ind w:left="-105"/>
              <w:jc w:val="both"/>
              <w:rPr>
                <w:sz w:val="26"/>
                <w:szCs w:val="26"/>
              </w:rPr>
            </w:pPr>
            <w:r w:rsidRPr="003E0EE3">
              <w:rPr>
                <w:sz w:val="26"/>
                <w:szCs w:val="26"/>
              </w:rPr>
              <w:t>25.4.  uz laiku līdz pieciem gadiem – par personām, kuras meklē, lai apcietinātu izdošanas nolūkā;</w:t>
            </w:r>
          </w:p>
          <w:p w:rsidR="00656160" w:rsidRPr="003E0EE3" w:rsidRDefault="00656160" w:rsidP="0043580C">
            <w:pPr>
              <w:pStyle w:val="naisc"/>
              <w:spacing w:before="0" w:after="0"/>
              <w:ind w:left="-105"/>
              <w:jc w:val="both"/>
              <w:rPr>
                <w:sz w:val="26"/>
                <w:szCs w:val="26"/>
              </w:rPr>
            </w:pPr>
            <w:r w:rsidRPr="003E0EE3">
              <w:rPr>
                <w:sz w:val="26"/>
                <w:szCs w:val="26"/>
              </w:rPr>
              <w:t>25.5. uz laiku līdz pieciem gadiem – par priekšmetu, lai, veicot diskrēto pārbaudi, īpašo pārbaudi vai interviju, iegūtu informāciju par to;</w:t>
            </w:r>
          </w:p>
          <w:p w:rsidR="00656160" w:rsidRPr="003E0EE3" w:rsidRDefault="00656160" w:rsidP="0043580C">
            <w:pPr>
              <w:pStyle w:val="naisc"/>
              <w:spacing w:before="0" w:after="0"/>
              <w:ind w:left="-105"/>
              <w:jc w:val="both"/>
              <w:rPr>
                <w:sz w:val="26"/>
                <w:szCs w:val="26"/>
              </w:rPr>
            </w:pPr>
            <w:r w:rsidRPr="003E0EE3">
              <w:rPr>
                <w:sz w:val="26"/>
                <w:szCs w:val="26"/>
              </w:rPr>
              <w:t>25.6. uz laiku līdz 10 gadiem – par priekšmetu, ja minēto ziņojumu sistēmā iekļauj, lai to izņemtu vai izmantotu par pierādījumu kriminālprocesā;</w:t>
            </w:r>
          </w:p>
          <w:p w:rsidR="00656160" w:rsidRPr="003E0EE3" w:rsidRDefault="00656160" w:rsidP="0043580C">
            <w:pPr>
              <w:pStyle w:val="naisc"/>
              <w:spacing w:before="0" w:after="0"/>
              <w:ind w:left="-105"/>
              <w:jc w:val="both"/>
              <w:rPr>
                <w:sz w:val="26"/>
                <w:szCs w:val="26"/>
              </w:rPr>
            </w:pPr>
            <w:r w:rsidRPr="003E0EE3">
              <w:rPr>
                <w:sz w:val="26"/>
                <w:szCs w:val="26"/>
              </w:rPr>
              <w:lastRenderedPageBreak/>
              <w:t xml:space="preserve">25.7. uz laiku līdz Regulas </w:t>
            </w:r>
            <w:r w:rsidRPr="003E0EE3">
              <w:rPr>
                <w:bCs/>
                <w:sz w:val="26"/>
                <w:szCs w:val="26"/>
              </w:rPr>
              <w:t>2018/1860 3. panta 1. punktā minētā</w:t>
            </w:r>
            <w:r w:rsidRPr="003E0EE3">
              <w:rPr>
                <w:sz w:val="26"/>
                <w:szCs w:val="26"/>
              </w:rPr>
              <w:t xml:space="preserve"> persona atgriezta </w:t>
            </w:r>
            <w:r w:rsidRPr="003E0EE3">
              <w:rPr>
                <w:sz w:val="26"/>
                <w:szCs w:val="26"/>
                <w:u w:val="single"/>
              </w:rPr>
              <w:t>uz trešo valsti</w:t>
            </w:r>
            <w:r w:rsidRPr="003E0EE3">
              <w:rPr>
                <w:sz w:val="26"/>
                <w:szCs w:val="26"/>
              </w:rPr>
              <w:t>;</w:t>
            </w:r>
          </w:p>
          <w:p w:rsidR="00656160" w:rsidRPr="003E0EE3" w:rsidRDefault="00656160" w:rsidP="0043580C">
            <w:pPr>
              <w:pStyle w:val="naisc"/>
              <w:spacing w:before="0" w:after="0"/>
              <w:ind w:left="-105"/>
              <w:jc w:val="both"/>
              <w:rPr>
                <w:b/>
                <w:sz w:val="26"/>
                <w:szCs w:val="26"/>
              </w:rPr>
            </w:pPr>
            <w:r w:rsidRPr="003E0EE3">
              <w:rPr>
                <w:sz w:val="26"/>
                <w:szCs w:val="26"/>
              </w:rPr>
              <w:t>25.8. uz noteiktu vai nenoteiktu laiku par personu, lai liegtu tai ieceļošanu un uzturēšanos dalībvalsts teritorijā, ievērojot Regulas 2018/1861 39. panta 1. punktu</w:t>
            </w:r>
            <w:r w:rsidRPr="003E0EE3">
              <w:rPr>
                <w:i/>
                <w:sz w:val="26"/>
                <w:szCs w:val="26"/>
              </w:rPr>
              <w:t>.</w:t>
            </w:r>
          </w:p>
          <w:p w:rsidR="00656160" w:rsidRPr="003E0EE3" w:rsidRDefault="00656160" w:rsidP="0043580C">
            <w:pPr>
              <w:pStyle w:val="naisc"/>
              <w:spacing w:before="0" w:after="0"/>
              <w:ind w:firstLine="720"/>
              <w:jc w:val="left"/>
              <w:rPr>
                <w:sz w:val="26"/>
                <w:szCs w:val="26"/>
              </w:rPr>
            </w:pPr>
          </w:p>
        </w:tc>
        <w:tc>
          <w:tcPr>
            <w:tcW w:w="4394" w:type="dxa"/>
            <w:gridSpan w:val="2"/>
            <w:tcBorders>
              <w:top w:val="single" w:sz="6" w:space="0" w:color="000000"/>
              <w:left w:val="single" w:sz="6" w:space="0" w:color="000000"/>
              <w:bottom w:val="single" w:sz="6" w:space="0" w:color="000000"/>
              <w:right w:val="single" w:sz="6" w:space="0" w:color="000000"/>
            </w:tcBorders>
          </w:tcPr>
          <w:p w:rsidR="00656160" w:rsidRPr="003E0EE3" w:rsidRDefault="00656160" w:rsidP="0043580C">
            <w:pPr>
              <w:pStyle w:val="naisc"/>
              <w:spacing w:before="0" w:after="0"/>
              <w:ind w:firstLine="720"/>
              <w:jc w:val="both"/>
              <w:rPr>
                <w:b/>
                <w:sz w:val="26"/>
                <w:szCs w:val="26"/>
              </w:rPr>
            </w:pPr>
            <w:r w:rsidRPr="003E0EE3">
              <w:rPr>
                <w:b/>
                <w:sz w:val="26"/>
                <w:szCs w:val="26"/>
              </w:rPr>
              <w:lastRenderedPageBreak/>
              <w:t>Tieslietu ministrija</w:t>
            </w:r>
          </w:p>
          <w:p w:rsidR="00656160" w:rsidRPr="003E0EE3" w:rsidRDefault="00656160" w:rsidP="0043580C">
            <w:pPr>
              <w:jc w:val="both"/>
              <w:rPr>
                <w:sz w:val="26"/>
                <w:szCs w:val="26"/>
              </w:rPr>
            </w:pPr>
            <w:r w:rsidRPr="003E0EE3">
              <w:rPr>
                <w:sz w:val="26"/>
                <w:szCs w:val="26"/>
              </w:rPr>
              <w:t xml:space="preserve">Noteikumu projekta 11. punktā ietvertajā 25. punktā ir norādīti piemērotajās Eiropas Savienības regulās norādītie maksimālie ziņojumu (brīdinājumu) glabāšanas termiņi. Vienlaikus anotācijā nav ietverts pamatojums šādu termiņu noteikšanai. Ņemot vērā minēto un to, ka nav pieļaujams ziņojumus saglabāt ilgāk, nekā tas nepieciešams, lai sasniegtu mērķus, kādiem tie ievadīti, lūdzam </w:t>
            </w:r>
            <w:r w:rsidRPr="003E0EE3">
              <w:rPr>
                <w:sz w:val="26"/>
                <w:szCs w:val="26"/>
              </w:rPr>
              <w:lastRenderedPageBreak/>
              <w:t xml:space="preserve">izvērtēt Noteikumu projekta 11. punktā ietvertajā 25. punktā norādītos ziņojumu glabāšanas termiņus un anotācijā sniegt skaidrojumu šādu termiņu noteikšanai. </w:t>
            </w:r>
          </w:p>
          <w:p w:rsidR="00656160" w:rsidRPr="003E0EE3" w:rsidRDefault="00656160" w:rsidP="0043580C">
            <w:pPr>
              <w:jc w:val="both"/>
              <w:rPr>
                <w:sz w:val="26"/>
                <w:szCs w:val="26"/>
              </w:rPr>
            </w:pPr>
          </w:p>
          <w:p w:rsidR="00656160" w:rsidRPr="003E0EE3" w:rsidRDefault="00656160" w:rsidP="0043580C">
            <w:pPr>
              <w:jc w:val="both"/>
              <w:rPr>
                <w:sz w:val="26"/>
                <w:szCs w:val="26"/>
              </w:rPr>
            </w:pPr>
          </w:p>
          <w:p w:rsidR="00656160" w:rsidRPr="003E0EE3" w:rsidRDefault="00656160" w:rsidP="0043580C">
            <w:pPr>
              <w:jc w:val="both"/>
              <w:rPr>
                <w:b/>
                <w:sz w:val="26"/>
                <w:szCs w:val="26"/>
                <w:highlight w:val="yellow"/>
              </w:rPr>
            </w:pPr>
          </w:p>
        </w:tc>
        <w:tc>
          <w:tcPr>
            <w:tcW w:w="3402" w:type="dxa"/>
            <w:tcBorders>
              <w:top w:val="single" w:sz="6" w:space="0" w:color="000000"/>
              <w:left w:val="single" w:sz="6" w:space="0" w:color="000000"/>
              <w:bottom w:val="single" w:sz="6" w:space="0" w:color="000000"/>
              <w:right w:val="single" w:sz="6" w:space="0" w:color="000000"/>
            </w:tcBorders>
          </w:tcPr>
          <w:p w:rsidR="00656160" w:rsidRPr="003E0EE3" w:rsidRDefault="00656160" w:rsidP="0043580C">
            <w:pPr>
              <w:pStyle w:val="naisc"/>
              <w:spacing w:before="0" w:after="0"/>
              <w:ind w:firstLine="720"/>
              <w:jc w:val="both"/>
              <w:rPr>
                <w:b/>
                <w:sz w:val="26"/>
                <w:szCs w:val="26"/>
              </w:rPr>
            </w:pPr>
            <w:r w:rsidRPr="003E0EE3">
              <w:rPr>
                <w:b/>
                <w:sz w:val="26"/>
                <w:szCs w:val="26"/>
              </w:rPr>
              <w:lastRenderedPageBreak/>
              <w:t>Ņemts vērā</w:t>
            </w:r>
          </w:p>
          <w:p w:rsidR="00656160" w:rsidRPr="003E0EE3" w:rsidRDefault="00656160" w:rsidP="0043580C">
            <w:pPr>
              <w:shd w:val="clear" w:color="auto" w:fill="FFFFFF"/>
              <w:jc w:val="both"/>
              <w:rPr>
                <w:sz w:val="26"/>
                <w:szCs w:val="26"/>
              </w:rPr>
            </w:pPr>
            <w:r w:rsidRPr="003E0EE3">
              <w:rPr>
                <w:sz w:val="26"/>
                <w:szCs w:val="26"/>
              </w:rPr>
              <w:t>Vēršam uzmanību, ka Regulas 2018/1862 53. pants paredz dalībvalstīm rīcības brīvību noteikt ziņojumu glabāšanas termiņus. Tādējādi noteikumu projektā ir izmantota rīcības brīvība, kas nodrošinās efektīvāku 2018/1862 mērķu sasniegšanu.</w:t>
            </w:r>
          </w:p>
          <w:p w:rsidR="00656160" w:rsidRPr="0059000A" w:rsidRDefault="00656160" w:rsidP="0043580C">
            <w:pPr>
              <w:jc w:val="both"/>
              <w:rPr>
                <w:sz w:val="26"/>
                <w:szCs w:val="26"/>
              </w:rPr>
            </w:pPr>
            <w:r w:rsidRPr="003E0EE3">
              <w:rPr>
                <w:noProof/>
                <w:sz w:val="26"/>
                <w:szCs w:val="26"/>
              </w:rPr>
              <w:t xml:space="preserve">Šāds ziņojumu glabāšanas maksimālais termiņš ir </w:t>
            </w:r>
            <w:r w:rsidRPr="003E0EE3">
              <w:rPr>
                <w:noProof/>
                <w:sz w:val="26"/>
                <w:szCs w:val="26"/>
              </w:rPr>
              <w:lastRenderedPageBreak/>
              <w:t xml:space="preserve">noteikts, jo atbilst dalībvalstu </w:t>
            </w:r>
            <w:r w:rsidRPr="003E0EE3">
              <w:rPr>
                <w:sz w:val="26"/>
                <w:szCs w:val="26"/>
              </w:rPr>
              <w:t xml:space="preserve">praksei, uz kādu tās pagarina termiņu, kad ziņojums vēl nav izpildījis savu mērķi, kādam tas tika ievietots sistēmā un, </w:t>
            </w:r>
            <w:r w:rsidRPr="0059000A">
              <w:rPr>
                <w:sz w:val="26"/>
                <w:szCs w:val="26"/>
              </w:rPr>
              <w:t xml:space="preserve">kamēr attiecīgā persona joprojām tiek meklēta. </w:t>
            </w:r>
          </w:p>
          <w:p w:rsidR="00656160" w:rsidRPr="0059000A" w:rsidRDefault="00656160" w:rsidP="0043580C">
            <w:pPr>
              <w:jc w:val="both"/>
              <w:rPr>
                <w:sz w:val="26"/>
                <w:szCs w:val="26"/>
                <w:highlight w:val="yellow"/>
              </w:rPr>
            </w:pPr>
            <w:r w:rsidRPr="0059000A">
              <w:rPr>
                <w:sz w:val="26"/>
                <w:szCs w:val="26"/>
              </w:rPr>
              <w:t>Turklāt sistēmā iekļautā informācija (daļa no tās) būs nepieciešama noziedzīgu nodarījumu</w:t>
            </w:r>
            <w:r w:rsidRPr="00593C7A">
              <w:rPr>
                <w:sz w:val="26"/>
                <w:szCs w:val="26"/>
              </w:rPr>
              <w:t xml:space="preserve"> izmeklēšanai un pierādījumu iegūšanai. Tādējādi noteiktie termiņi ir objektīvi un samērīgi, kā arī salāgoti ar sasniedzamo mērķi. </w:t>
            </w:r>
          </w:p>
          <w:p w:rsidR="00656160" w:rsidRPr="003E0EE3" w:rsidRDefault="00656160" w:rsidP="0043580C">
            <w:pPr>
              <w:jc w:val="both"/>
              <w:rPr>
                <w:sz w:val="26"/>
                <w:szCs w:val="26"/>
              </w:rPr>
            </w:pPr>
            <w:r w:rsidRPr="0059000A">
              <w:rPr>
                <w:sz w:val="26"/>
                <w:szCs w:val="26"/>
              </w:rPr>
              <w:t>Norādām, ka jau pašlaik sistēmā ziņojumi netiek glabāti ilgāk kā nepieciešams, lai īstenotu mērķi, kādiem</w:t>
            </w:r>
            <w:r>
              <w:rPr>
                <w:sz w:val="26"/>
                <w:szCs w:val="26"/>
              </w:rPr>
              <w:t xml:space="preserve"> tie tika izveidoti</w:t>
            </w:r>
            <w:r w:rsidRPr="003E0EE3">
              <w:rPr>
                <w:sz w:val="26"/>
                <w:szCs w:val="26"/>
              </w:rPr>
              <w:t xml:space="preserve">. Uzmanība būtu vēršama arī </w:t>
            </w:r>
            <w:r>
              <w:rPr>
                <w:sz w:val="26"/>
                <w:szCs w:val="26"/>
              </w:rPr>
              <w:t>uz to</w:t>
            </w:r>
            <w:r w:rsidRPr="003E0EE3">
              <w:rPr>
                <w:sz w:val="26"/>
                <w:szCs w:val="26"/>
              </w:rPr>
              <w:t xml:space="preserve">, ka spēkā esošajos noteikumos </w:t>
            </w:r>
            <w:r>
              <w:rPr>
                <w:sz w:val="26"/>
                <w:szCs w:val="26"/>
              </w:rPr>
              <w:t xml:space="preserve">Nr. 639 </w:t>
            </w:r>
            <w:r w:rsidRPr="003E0EE3">
              <w:rPr>
                <w:sz w:val="26"/>
                <w:szCs w:val="26"/>
              </w:rPr>
              <w:t>ir paredzēts, ka attiecībā uz ziņojumiem par personām</w:t>
            </w:r>
            <w:r>
              <w:rPr>
                <w:sz w:val="26"/>
                <w:szCs w:val="26"/>
              </w:rPr>
              <w:t xml:space="preserve"> ir paredzēts</w:t>
            </w:r>
            <w:r w:rsidRPr="003E0EE3">
              <w:rPr>
                <w:sz w:val="26"/>
                <w:szCs w:val="26"/>
              </w:rPr>
              <w:t xml:space="preserve"> noteikts vai nenoteikts glabāšanas laiks. Līdz ar to</w:t>
            </w:r>
            <w:r>
              <w:rPr>
                <w:sz w:val="26"/>
                <w:szCs w:val="26"/>
              </w:rPr>
              <w:t>,</w:t>
            </w:r>
            <w:r w:rsidRPr="003E0EE3">
              <w:rPr>
                <w:sz w:val="26"/>
                <w:szCs w:val="26"/>
              </w:rPr>
              <w:t xml:space="preserve"> paredzot termiņus, kas ir noteikti Regulā </w:t>
            </w:r>
            <w:r>
              <w:rPr>
                <w:sz w:val="26"/>
                <w:szCs w:val="26"/>
              </w:rPr>
              <w:t xml:space="preserve">2018/1862 </w:t>
            </w:r>
            <w:r w:rsidRPr="003E0EE3">
              <w:rPr>
                <w:sz w:val="26"/>
                <w:szCs w:val="26"/>
              </w:rPr>
              <w:t xml:space="preserve">(pat ja tie ir maksimālie Regulas </w:t>
            </w:r>
            <w:r w:rsidRPr="003E0EE3">
              <w:rPr>
                <w:sz w:val="26"/>
                <w:szCs w:val="26"/>
              </w:rPr>
              <w:lastRenderedPageBreak/>
              <w:t xml:space="preserve">kontekstā) tiks nodrošināta tiesiskā noteiktība un skaidrība, jo regulējumā tiks noteikti precīzi datu glabāšanas termiņi. </w:t>
            </w:r>
          </w:p>
          <w:p w:rsidR="00656160" w:rsidRPr="003E0EE3" w:rsidRDefault="00656160" w:rsidP="0043580C">
            <w:pPr>
              <w:jc w:val="both"/>
              <w:rPr>
                <w:sz w:val="26"/>
                <w:szCs w:val="26"/>
              </w:rPr>
            </w:pPr>
            <w:r>
              <w:rPr>
                <w:sz w:val="26"/>
                <w:szCs w:val="26"/>
              </w:rPr>
              <w:t>Glabāšanas termiņa</w:t>
            </w:r>
            <w:r w:rsidRPr="003E0EE3">
              <w:rPr>
                <w:sz w:val="26"/>
                <w:szCs w:val="26"/>
              </w:rPr>
              <w:t xml:space="preserve"> pagarinājums neapdraud datu subjektu intereses, jo  ziņojumu nevar glabāt ilgāk, nekā tas ir nepieciešams tā mērķa sasniegšanai.</w:t>
            </w:r>
          </w:p>
          <w:p w:rsidR="00656160" w:rsidRPr="003E0EE3" w:rsidRDefault="00656160" w:rsidP="0043580C">
            <w:pPr>
              <w:pBdr>
                <w:top w:val="nil"/>
                <w:left w:val="nil"/>
                <w:bottom w:val="nil"/>
                <w:right w:val="nil"/>
                <w:between w:val="nil"/>
                <w:bar w:val="nil"/>
              </w:pBdr>
              <w:jc w:val="both"/>
              <w:rPr>
                <w:sz w:val="26"/>
                <w:szCs w:val="26"/>
              </w:rPr>
            </w:pPr>
            <w:r w:rsidRPr="003E0EE3">
              <w:rPr>
                <w:sz w:val="26"/>
                <w:szCs w:val="26"/>
              </w:rPr>
              <w:t xml:space="preserve">Ņemot vērā, ka sistēmā apstrādā personas datus, kā arī ir paredzēts apstrādāt jaunas </w:t>
            </w:r>
            <w:proofErr w:type="spellStart"/>
            <w:r w:rsidRPr="003E0EE3">
              <w:rPr>
                <w:sz w:val="26"/>
                <w:szCs w:val="26"/>
              </w:rPr>
              <w:t>sensitīvu</w:t>
            </w:r>
            <w:proofErr w:type="spellEnd"/>
            <w:r w:rsidRPr="003E0EE3">
              <w:rPr>
                <w:sz w:val="26"/>
                <w:szCs w:val="26"/>
              </w:rPr>
              <w:t xml:space="preserve"> biometrijas datu kategorijas, būs iespējama ietekme uz indivīda </w:t>
            </w:r>
            <w:proofErr w:type="spellStart"/>
            <w:r w:rsidRPr="003E0EE3">
              <w:rPr>
                <w:sz w:val="26"/>
                <w:szCs w:val="26"/>
              </w:rPr>
              <w:t>pamattiesībām</w:t>
            </w:r>
            <w:proofErr w:type="spellEnd"/>
            <w:r w:rsidRPr="003E0EE3">
              <w:rPr>
                <w:sz w:val="26"/>
                <w:szCs w:val="26"/>
              </w:rPr>
              <w:t xml:space="preserve">. Tāpēc ir paredzēts, ka sistēmā būs ieviesti papildu aizsardzības pasākumi, lai ierobežotu datu vākšanu un turpmāku apstrādi, nepārsniedzot to, kas ir obligāti nepieciešams, un ierobežoti piešķirot piekļuvi attiecīgajiem datiem tikai tām kompetentajām iestādēm, kurām ir operatīva nepieciešamība tos apstrādāt. Ir arī pārskatīti un noteikti datu </w:t>
            </w:r>
            <w:r w:rsidRPr="003E0EE3">
              <w:rPr>
                <w:sz w:val="26"/>
                <w:szCs w:val="26"/>
              </w:rPr>
              <w:lastRenderedPageBreak/>
              <w:t xml:space="preserve">glabāšanas termiņi, tostarp saīsināts datu saglabāšanas termiņš ziņojumiem par priekšmetiem. </w:t>
            </w:r>
          </w:p>
          <w:p w:rsidR="00656160" w:rsidRPr="003E0EE3" w:rsidRDefault="00656160" w:rsidP="0043580C">
            <w:pPr>
              <w:shd w:val="clear" w:color="auto" w:fill="FFFFFF"/>
              <w:jc w:val="both"/>
              <w:rPr>
                <w:bCs/>
                <w:sz w:val="26"/>
                <w:szCs w:val="26"/>
              </w:rPr>
            </w:pPr>
            <w:r w:rsidRPr="003E0EE3">
              <w:rPr>
                <w:sz w:val="26"/>
                <w:szCs w:val="26"/>
              </w:rPr>
              <w:t xml:space="preserve">Minētais ir paredzēts likumprojektā “Grozījumi Šengenas informācijas sistēmas darbības likumā” (Nr. 869/Lp13), kura 5. pants </w:t>
            </w:r>
            <w:proofErr w:type="spellStart"/>
            <w:r w:rsidRPr="003E0EE3">
              <w:rPr>
                <w:sz w:val="26"/>
                <w:szCs w:val="26"/>
              </w:rPr>
              <w:t>citastarp</w:t>
            </w:r>
            <w:proofErr w:type="spellEnd"/>
            <w:r w:rsidRPr="003E0EE3">
              <w:rPr>
                <w:sz w:val="26"/>
                <w:szCs w:val="26"/>
              </w:rPr>
              <w:t xml:space="preserve"> paredz Šengenas informācijas sistēmas darbības likuma 7. pantu izteikt jaunā redakcijā, proti, ka lēmumu par ziņojuma iekļaušanu sistēmā pieņem amatpersonu ar konkrētu mērķi konkrētā procesā (kriminālprocesā, operatīvās darbības procesā, policijas </w:t>
            </w:r>
            <w:proofErr w:type="spellStart"/>
            <w:r w:rsidRPr="003E0EE3">
              <w:rPr>
                <w:sz w:val="26"/>
                <w:szCs w:val="26"/>
              </w:rPr>
              <w:t>resoriskajā</w:t>
            </w:r>
            <w:proofErr w:type="spellEnd"/>
            <w:r w:rsidRPr="003E0EE3">
              <w:rPr>
                <w:sz w:val="26"/>
                <w:szCs w:val="26"/>
              </w:rPr>
              <w:t xml:space="preserve"> pārbaudē) par konkrētu meklējamo personu vai priekšmetu saskaņā ar </w:t>
            </w:r>
            <w:r w:rsidRPr="003E0EE3">
              <w:rPr>
                <w:bCs/>
                <w:sz w:val="26"/>
                <w:szCs w:val="26"/>
              </w:rPr>
              <w:t>Regulu 2018/1862, Regulu 2018/1861 un Regulu 2018/1860.</w:t>
            </w:r>
          </w:p>
          <w:p w:rsidR="00656160" w:rsidRPr="003E0EE3" w:rsidRDefault="00656160" w:rsidP="0043580C">
            <w:pPr>
              <w:shd w:val="clear" w:color="auto" w:fill="FFFFFF"/>
              <w:jc w:val="both"/>
              <w:rPr>
                <w:bCs/>
                <w:sz w:val="26"/>
                <w:szCs w:val="26"/>
              </w:rPr>
            </w:pPr>
            <w:r w:rsidRPr="003E0EE3">
              <w:rPr>
                <w:bCs/>
                <w:sz w:val="26"/>
                <w:szCs w:val="26"/>
              </w:rPr>
              <w:t xml:space="preserve">Tādējādi amatpersonai pirms ziņojuma iekļaušanas sistēmā ir jāpieņem lēmums par termiņu līdz kuram tas tiks iekļauts sistēmā, proti, jāveic visaptverošs </w:t>
            </w:r>
            <w:proofErr w:type="spellStart"/>
            <w:r w:rsidRPr="003E0EE3">
              <w:rPr>
                <w:bCs/>
                <w:sz w:val="26"/>
                <w:szCs w:val="26"/>
              </w:rPr>
              <w:t>izvērtējums</w:t>
            </w:r>
            <w:proofErr w:type="spellEnd"/>
            <w:r w:rsidRPr="003E0EE3">
              <w:rPr>
                <w:bCs/>
                <w:sz w:val="26"/>
                <w:szCs w:val="26"/>
              </w:rPr>
              <w:t xml:space="preserve"> </w:t>
            </w:r>
            <w:r w:rsidRPr="003E0EE3">
              <w:rPr>
                <w:bCs/>
                <w:sz w:val="26"/>
                <w:szCs w:val="26"/>
              </w:rPr>
              <w:lastRenderedPageBreak/>
              <w:t>atbilstoši izdarītājam noziedzīgajam nodarījumam vai sasniedzamajam mērķim.</w:t>
            </w:r>
          </w:p>
          <w:p w:rsidR="00656160" w:rsidRPr="003E0EE3" w:rsidRDefault="00656160" w:rsidP="0043580C">
            <w:pPr>
              <w:jc w:val="both"/>
              <w:rPr>
                <w:sz w:val="26"/>
                <w:szCs w:val="26"/>
                <w:shd w:val="clear" w:color="auto" w:fill="FFFFFF"/>
              </w:rPr>
            </w:pPr>
            <w:r w:rsidRPr="003E0EE3">
              <w:rPr>
                <w:bCs/>
                <w:sz w:val="26"/>
                <w:szCs w:val="26"/>
              </w:rPr>
              <w:t xml:space="preserve">Savukārt SIRENE birojs atbilstoši noteikumu Nr. 639 </w:t>
            </w:r>
            <w:r w:rsidRPr="003E0EE3">
              <w:rPr>
                <w:sz w:val="26"/>
                <w:szCs w:val="26"/>
                <w:shd w:val="clear" w:color="auto" w:fill="FFFFFF"/>
              </w:rPr>
              <w:t>33. punkt</w:t>
            </w:r>
            <w:r>
              <w:rPr>
                <w:sz w:val="26"/>
                <w:szCs w:val="26"/>
                <w:shd w:val="clear" w:color="auto" w:fill="FFFFFF"/>
              </w:rPr>
              <w:t>am</w:t>
            </w:r>
            <w:r w:rsidRPr="003E0EE3">
              <w:rPr>
                <w:sz w:val="26"/>
                <w:szCs w:val="26"/>
                <w:shd w:val="clear" w:color="auto" w:fill="FFFFFF"/>
              </w:rPr>
              <w:t xml:space="preserve"> arī papildus veic </w:t>
            </w:r>
            <w:proofErr w:type="spellStart"/>
            <w:r w:rsidRPr="003E0EE3">
              <w:rPr>
                <w:sz w:val="26"/>
                <w:szCs w:val="26"/>
                <w:shd w:val="clear" w:color="auto" w:fill="FFFFFF"/>
              </w:rPr>
              <w:t>izvērtējumu</w:t>
            </w:r>
            <w:proofErr w:type="spellEnd"/>
            <w:r w:rsidRPr="003E0EE3">
              <w:rPr>
                <w:sz w:val="26"/>
                <w:szCs w:val="26"/>
                <w:shd w:val="clear" w:color="auto" w:fill="FFFFFF"/>
              </w:rPr>
              <w:t>, proti, ja birojs konstatē, ka sistēmā iekļautais ziņojums neatbilst sistēmas darbību regulējošo normatīvo aktu prasībām vai ziņojumā iekļautie dati ir kļūdaini</w:t>
            </w:r>
            <w:r w:rsidRPr="003E0EE3">
              <w:rPr>
                <w:sz w:val="26"/>
                <w:szCs w:val="26"/>
                <w:u w:val="single"/>
                <w:shd w:val="clear" w:color="auto" w:fill="FFFFFF"/>
              </w:rPr>
              <w:t xml:space="preserve">, </w:t>
            </w:r>
            <w:r w:rsidRPr="003E0EE3">
              <w:rPr>
                <w:sz w:val="26"/>
                <w:szCs w:val="26"/>
                <w:shd w:val="clear" w:color="auto" w:fill="FFFFFF"/>
              </w:rPr>
              <w:t>birojs informē amatpersonu, kura ir kompetenta pieņemt lēmumu par ziņojuma iekļaušanu sistēmā. Amatpersona dzēš vai labo ziņojumu. Ja minētais ziņojums netiek dzēsts vai labots vienas darbdienas laikā pēc attiecīgās amatpersonas informēšanas, birojs ziņojumu sistēmā dzēš.</w:t>
            </w:r>
          </w:p>
          <w:p w:rsidR="00656160" w:rsidRPr="003E0EE3" w:rsidRDefault="00656160" w:rsidP="0043580C">
            <w:pPr>
              <w:tabs>
                <w:tab w:val="left" w:pos="540"/>
                <w:tab w:val="left" w:pos="900"/>
              </w:tabs>
              <w:jc w:val="both"/>
              <w:rPr>
                <w:sz w:val="26"/>
                <w:szCs w:val="26"/>
              </w:rPr>
            </w:pPr>
            <w:r w:rsidRPr="003E0EE3">
              <w:rPr>
                <w:sz w:val="26"/>
                <w:szCs w:val="26"/>
              </w:rPr>
              <w:t xml:space="preserve">Norādām, ka </w:t>
            </w:r>
            <w:r w:rsidRPr="003E0EE3">
              <w:rPr>
                <w:bCs/>
                <w:sz w:val="26"/>
                <w:szCs w:val="26"/>
              </w:rPr>
              <w:t xml:space="preserve">Ministru kabineta </w:t>
            </w:r>
            <w:r w:rsidRPr="003E0EE3">
              <w:rPr>
                <w:sz w:val="26"/>
                <w:szCs w:val="26"/>
              </w:rPr>
              <w:t xml:space="preserve">2020. gada 21. janvāra </w:t>
            </w:r>
            <w:r w:rsidRPr="003E0EE3">
              <w:rPr>
                <w:bCs/>
                <w:sz w:val="26"/>
                <w:szCs w:val="26"/>
              </w:rPr>
              <w:t>noteikumi Nr. 41</w:t>
            </w:r>
            <w:r w:rsidRPr="003E0EE3">
              <w:rPr>
                <w:sz w:val="26"/>
                <w:szCs w:val="26"/>
              </w:rPr>
              <w:t xml:space="preserve"> “</w:t>
            </w:r>
            <w:r w:rsidRPr="003E0EE3">
              <w:rPr>
                <w:bCs/>
                <w:sz w:val="26"/>
                <w:szCs w:val="26"/>
              </w:rPr>
              <w:t xml:space="preserve">Noteikumi par integrētajā </w:t>
            </w:r>
            <w:proofErr w:type="spellStart"/>
            <w:r w:rsidRPr="003E0EE3">
              <w:rPr>
                <w:bCs/>
                <w:sz w:val="26"/>
                <w:szCs w:val="26"/>
              </w:rPr>
              <w:t>iekšlietu</w:t>
            </w:r>
            <w:proofErr w:type="spellEnd"/>
            <w:r w:rsidRPr="003E0EE3">
              <w:rPr>
                <w:bCs/>
                <w:sz w:val="26"/>
                <w:szCs w:val="26"/>
              </w:rPr>
              <w:t xml:space="preserve"> informācijas sistēmā iekļaujamām ziņām personas, mantas vai dokumenta atrašanās vietas vai cilvēka </w:t>
            </w:r>
            <w:r w:rsidRPr="003E0EE3">
              <w:rPr>
                <w:bCs/>
                <w:sz w:val="26"/>
                <w:szCs w:val="26"/>
              </w:rPr>
              <w:lastRenderedPageBreak/>
              <w:t xml:space="preserve">personības noskaidrošanai vai neatpazīta cilvēka līķa identificēšanai” noteic stingrus kritērijus ziņojumu ievadīšanai </w:t>
            </w:r>
            <w:r w:rsidRPr="003E0EE3">
              <w:rPr>
                <w:sz w:val="26"/>
                <w:szCs w:val="26"/>
                <w:shd w:val="clear" w:color="auto" w:fill="FFFFFF"/>
              </w:rPr>
              <w:t xml:space="preserve">integrētajā </w:t>
            </w:r>
            <w:proofErr w:type="spellStart"/>
            <w:r w:rsidRPr="003E0EE3">
              <w:rPr>
                <w:sz w:val="26"/>
                <w:szCs w:val="26"/>
                <w:shd w:val="clear" w:color="auto" w:fill="FFFFFF"/>
              </w:rPr>
              <w:t>iekšlietu</w:t>
            </w:r>
            <w:proofErr w:type="spellEnd"/>
            <w:r w:rsidRPr="003E0EE3">
              <w:rPr>
                <w:sz w:val="26"/>
                <w:szCs w:val="26"/>
                <w:shd w:val="clear" w:color="auto" w:fill="FFFFFF"/>
              </w:rPr>
              <w:t xml:space="preserve"> informācijas sistēmā, no kuras savukārt informācija vai ziņojums nonāk sistēmā (SIS). </w:t>
            </w:r>
          </w:p>
        </w:tc>
        <w:tc>
          <w:tcPr>
            <w:tcW w:w="3260" w:type="dxa"/>
            <w:tcBorders>
              <w:top w:val="single" w:sz="4" w:space="0" w:color="auto"/>
              <w:left w:val="single" w:sz="4" w:space="0" w:color="auto"/>
              <w:bottom w:val="single" w:sz="4" w:space="0" w:color="auto"/>
            </w:tcBorders>
          </w:tcPr>
          <w:p w:rsidR="00656160" w:rsidRPr="003E0EE3" w:rsidRDefault="00656160" w:rsidP="0043580C">
            <w:pPr>
              <w:pStyle w:val="naisc"/>
              <w:spacing w:before="0" w:after="0"/>
              <w:ind w:left="-105"/>
              <w:jc w:val="both"/>
              <w:rPr>
                <w:b/>
                <w:sz w:val="26"/>
                <w:szCs w:val="26"/>
              </w:rPr>
            </w:pPr>
            <w:r w:rsidRPr="003E0EE3">
              <w:rPr>
                <w:b/>
                <w:sz w:val="26"/>
                <w:szCs w:val="26"/>
              </w:rPr>
              <w:lastRenderedPageBreak/>
              <w:t xml:space="preserve">Precizēts likumprojekta anotācijas I sadaļas 2. punkts. </w:t>
            </w:r>
          </w:p>
          <w:p w:rsidR="00656160" w:rsidRPr="003E0EE3" w:rsidRDefault="00656160" w:rsidP="0043580C">
            <w:pPr>
              <w:pStyle w:val="naisc"/>
              <w:spacing w:before="0" w:after="0"/>
              <w:ind w:left="-105"/>
              <w:jc w:val="both"/>
              <w:rPr>
                <w:b/>
                <w:sz w:val="26"/>
                <w:szCs w:val="26"/>
              </w:rPr>
            </w:pPr>
          </w:p>
          <w:p w:rsidR="00656160" w:rsidRPr="003E0EE3" w:rsidRDefault="00656160" w:rsidP="0043580C">
            <w:pPr>
              <w:pStyle w:val="naisc"/>
              <w:spacing w:before="0" w:after="0"/>
              <w:ind w:left="-105"/>
              <w:jc w:val="both"/>
              <w:rPr>
                <w:b/>
                <w:sz w:val="26"/>
                <w:szCs w:val="26"/>
              </w:rPr>
            </w:pPr>
          </w:p>
          <w:p w:rsidR="00656160" w:rsidRPr="003E0EE3" w:rsidRDefault="00656160" w:rsidP="0043580C">
            <w:pPr>
              <w:pStyle w:val="CommentText"/>
              <w:rPr>
                <w:b/>
                <w:sz w:val="26"/>
                <w:szCs w:val="26"/>
              </w:rPr>
            </w:pPr>
            <w:r w:rsidRPr="003E0EE3">
              <w:rPr>
                <w:rStyle w:val="CommentReference"/>
              </w:rPr>
              <w:t/>
            </w:r>
            <w:r w:rsidRPr="003E0EE3">
              <w:rPr>
                <w:sz w:val="24"/>
                <w:szCs w:val="24"/>
              </w:rPr>
              <w:t xml:space="preserve"> </w:t>
            </w:r>
          </w:p>
        </w:tc>
      </w:tr>
      <w:tr w:rsidR="00656160" w:rsidRPr="003E0EE3" w:rsidTr="0043580C">
        <w:trPr>
          <w:gridAfter w:val="1"/>
          <w:wAfter w:w="711" w:type="dxa"/>
        </w:trPr>
        <w:tc>
          <w:tcPr>
            <w:tcW w:w="534" w:type="dxa"/>
            <w:tcBorders>
              <w:top w:val="single" w:sz="6" w:space="0" w:color="000000"/>
              <w:left w:val="single" w:sz="6" w:space="0" w:color="000000"/>
              <w:bottom w:val="single" w:sz="6" w:space="0" w:color="000000"/>
              <w:right w:val="single" w:sz="6" w:space="0" w:color="000000"/>
            </w:tcBorders>
          </w:tcPr>
          <w:p w:rsidR="00656160" w:rsidRPr="003E0EE3" w:rsidRDefault="00656160" w:rsidP="0043580C">
            <w:pPr>
              <w:pStyle w:val="naisc"/>
              <w:spacing w:before="0" w:after="0"/>
              <w:rPr>
                <w:sz w:val="26"/>
                <w:szCs w:val="26"/>
              </w:rPr>
            </w:pPr>
            <w:r w:rsidRPr="003E0EE3">
              <w:rPr>
                <w:sz w:val="26"/>
                <w:szCs w:val="26"/>
              </w:rPr>
              <w:lastRenderedPageBreak/>
              <w:t>2.</w:t>
            </w:r>
          </w:p>
        </w:tc>
        <w:tc>
          <w:tcPr>
            <w:tcW w:w="2693" w:type="dxa"/>
            <w:tcBorders>
              <w:top w:val="single" w:sz="6" w:space="0" w:color="000000"/>
              <w:left w:val="single" w:sz="6" w:space="0" w:color="000000"/>
              <w:bottom w:val="single" w:sz="6" w:space="0" w:color="000000"/>
              <w:right w:val="single" w:sz="6" w:space="0" w:color="000000"/>
            </w:tcBorders>
          </w:tcPr>
          <w:p w:rsidR="00656160" w:rsidRPr="003E0EE3" w:rsidRDefault="00656160" w:rsidP="0043580C">
            <w:pPr>
              <w:pStyle w:val="naisc"/>
              <w:spacing w:before="0" w:after="0"/>
              <w:ind w:left="-105"/>
              <w:jc w:val="both"/>
              <w:rPr>
                <w:b/>
                <w:sz w:val="26"/>
                <w:szCs w:val="26"/>
              </w:rPr>
            </w:pPr>
            <w:r w:rsidRPr="003E0EE3">
              <w:rPr>
                <w:b/>
                <w:sz w:val="26"/>
                <w:szCs w:val="26"/>
              </w:rPr>
              <w:t>Projekta 12. punkts:</w:t>
            </w:r>
          </w:p>
          <w:p w:rsidR="00656160" w:rsidRPr="003E0EE3" w:rsidRDefault="00656160" w:rsidP="0043580C">
            <w:pPr>
              <w:pStyle w:val="tv213"/>
              <w:shd w:val="clear" w:color="auto" w:fill="FFFFFF"/>
              <w:spacing w:before="0" w:beforeAutospacing="0" w:after="0" w:afterAutospacing="0"/>
              <w:ind w:left="-104"/>
              <w:jc w:val="both"/>
              <w:rPr>
                <w:sz w:val="26"/>
                <w:szCs w:val="26"/>
              </w:rPr>
            </w:pPr>
            <w:r w:rsidRPr="003E0EE3">
              <w:rPr>
                <w:sz w:val="26"/>
                <w:szCs w:val="26"/>
              </w:rPr>
              <w:t xml:space="preserve">“27. Amatpersona, kura ir kompetenta pieņemt lēmumu par šo noteikumu 25. punktā minētā ziņojuma iekļaušanu sistēmā, </w:t>
            </w:r>
            <w:r w:rsidRPr="003E0EE3">
              <w:rPr>
                <w:sz w:val="26"/>
                <w:szCs w:val="26"/>
                <w:u w:val="single"/>
              </w:rPr>
              <w:t>pārskata</w:t>
            </w:r>
            <w:r w:rsidRPr="003E0EE3">
              <w:rPr>
                <w:sz w:val="26"/>
                <w:szCs w:val="26"/>
              </w:rPr>
              <w:t xml:space="preserve"> attiecīgā ziņojuma nepieciešamību un apstiprina tā uzturēšanu sistēmā:</w:t>
            </w:r>
          </w:p>
          <w:p w:rsidR="00656160" w:rsidRPr="003E0EE3" w:rsidRDefault="00656160" w:rsidP="0043580C">
            <w:pPr>
              <w:pStyle w:val="tv213"/>
              <w:shd w:val="clear" w:color="auto" w:fill="FFFFFF"/>
              <w:spacing w:before="0" w:beforeAutospacing="0" w:after="0" w:afterAutospacing="0"/>
              <w:ind w:left="-104"/>
              <w:jc w:val="both"/>
              <w:rPr>
                <w:sz w:val="26"/>
                <w:szCs w:val="26"/>
              </w:rPr>
            </w:pPr>
            <w:r w:rsidRPr="003E0EE3">
              <w:rPr>
                <w:sz w:val="26"/>
                <w:szCs w:val="26"/>
              </w:rPr>
              <w:t>27.1. katru gadu (kad paiet pilns gads pēc ziņojuma iekļaušanas sistēmā) par 25.2. apakšpunktā minēto ziņojumu;</w:t>
            </w:r>
          </w:p>
          <w:p w:rsidR="00656160" w:rsidRPr="003E0EE3" w:rsidRDefault="00656160" w:rsidP="0043580C">
            <w:pPr>
              <w:pStyle w:val="tv213"/>
              <w:shd w:val="clear" w:color="auto" w:fill="FFFFFF"/>
              <w:spacing w:before="0" w:beforeAutospacing="0" w:after="0" w:afterAutospacing="0"/>
              <w:ind w:left="-104"/>
              <w:jc w:val="both"/>
              <w:rPr>
                <w:sz w:val="26"/>
                <w:szCs w:val="26"/>
              </w:rPr>
            </w:pPr>
            <w:r w:rsidRPr="003E0EE3">
              <w:rPr>
                <w:sz w:val="26"/>
                <w:szCs w:val="26"/>
              </w:rPr>
              <w:t xml:space="preserve">27.2. ik pēc trijiem gadiem no ziņojuma iekļaušanas sistēmā par </w:t>
            </w:r>
            <w:r w:rsidRPr="003E0EE3">
              <w:rPr>
                <w:sz w:val="26"/>
                <w:szCs w:val="26"/>
              </w:rPr>
              <w:lastRenderedPageBreak/>
              <w:t>25.3. apakšpunktā minēto ziņojumu;</w:t>
            </w:r>
          </w:p>
          <w:p w:rsidR="00656160" w:rsidRPr="003E0EE3" w:rsidRDefault="00656160" w:rsidP="0043580C">
            <w:pPr>
              <w:pStyle w:val="tv213"/>
              <w:shd w:val="clear" w:color="auto" w:fill="FFFFFF"/>
              <w:spacing w:before="0" w:beforeAutospacing="0" w:after="0" w:afterAutospacing="0"/>
              <w:ind w:left="-104"/>
              <w:jc w:val="both"/>
              <w:rPr>
                <w:sz w:val="26"/>
                <w:szCs w:val="26"/>
              </w:rPr>
            </w:pPr>
            <w:r w:rsidRPr="003E0EE3">
              <w:rPr>
                <w:sz w:val="26"/>
                <w:szCs w:val="26"/>
              </w:rPr>
              <w:t>27.3. ik pēc pieciem gadiem no ziņojuma iekļaušanas sistēmā par 25.1., 25.4. un 25.5. apakšpunktā minēto ziņojumu;</w:t>
            </w:r>
          </w:p>
          <w:p w:rsidR="00656160" w:rsidRPr="003E0EE3" w:rsidRDefault="00656160" w:rsidP="0043580C">
            <w:pPr>
              <w:pStyle w:val="tv213"/>
              <w:shd w:val="clear" w:color="auto" w:fill="FFFFFF"/>
              <w:spacing w:before="0" w:beforeAutospacing="0" w:after="0" w:afterAutospacing="0"/>
              <w:ind w:left="-104"/>
              <w:jc w:val="both"/>
              <w:rPr>
                <w:sz w:val="26"/>
                <w:szCs w:val="26"/>
              </w:rPr>
            </w:pPr>
            <w:r w:rsidRPr="003E0EE3">
              <w:rPr>
                <w:sz w:val="26"/>
                <w:szCs w:val="26"/>
              </w:rPr>
              <w:t>27.4. ik pēc desmit gadiem no ziņojuma iekļaušanas sistēmā par 25.6. apakšpunktā minēto ziņojumu;</w:t>
            </w:r>
          </w:p>
          <w:p w:rsidR="00656160" w:rsidRPr="003E0EE3" w:rsidRDefault="00656160" w:rsidP="0043580C">
            <w:pPr>
              <w:pStyle w:val="tv213"/>
              <w:shd w:val="clear" w:color="auto" w:fill="FFFFFF"/>
              <w:spacing w:before="0" w:beforeAutospacing="0" w:after="0" w:afterAutospacing="0"/>
              <w:ind w:left="-104"/>
              <w:jc w:val="both"/>
              <w:rPr>
                <w:sz w:val="26"/>
                <w:szCs w:val="26"/>
              </w:rPr>
            </w:pPr>
            <w:r w:rsidRPr="003E0EE3">
              <w:rPr>
                <w:sz w:val="26"/>
                <w:szCs w:val="26"/>
              </w:rPr>
              <w:t>27.5. ik pēc trijiem gadiem no ziņojuma iekļaušanas sistēmā par 25.7. un 25.8. apakšpunktā minēto ziņojumu.”.</w:t>
            </w:r>
          </w:p>
          <w:p w:rsidR="00656160" w:rsidRPr="003E0EE3" w:rsidRDefault="00656160" w:rsidP="0043580C">
            <w:pPr>
              <w:pStyle w:val="naisc"/>
              <w:spacing w:before="0" w:after="0"/>
              <w:ind w:left="-104"/>
              <w:jc w:val="both"/>
              <w:rPr>
                <w:b/>
                <w:sz w:val="26"/>
                <w:szCs w:val="26"/>
              </w:rPr>
            </w:pPr>
          </w:p>
          <w:p w:rsidR="00656160" w:rsidRPr="003E0EE3" w:rsidRDefault="00656160" w:rsidP="0043580C">
            <w:pPr>
              <w:pStyle w:val="naisc"/>
              <w:spacing w:before="0" w:after="0"/>
              <w:ind w:left="-104"/>
              <w:jc w:val="both"/>
              <w:rPr>
                <w:b/>
                <w:sz w:val="26"/>
                <w:szCs w:val="26"/>
              </w:rPr>
            </w:pPr>
            <w:r w:rsidRPr="003E0EE3">
              <w:rPr>
                <w:b/>
                <w:sz w:val="26"/>
                <w:szCs w:val="26"/>
              </w:rPr>
              <w:t xml:space="preserve"> </w:t>
            </w:r>
          </w:p>
        </w:tc>
        <w:tc>
          <w:tcPr>
            <w:tcW w:w="4394" w:type="dxa"/>
            <w:gridSpan w:val="2"/>
            <w:tcBorders>
              <w:top w:val="single" w:sz="6" w:space="0" w:color="000000"/>
              <w:left w:val="single" w:sz="6" w:space="0" w:color="000000"/>
              <w:bottom w:val="single" w:sz="6" w:space="0" w:color="000000"/>
              <w:right w:val="single" w:sz="6" w:space="0" w:color="000000"/>
            </w:tcBorders>
          </w:tcPr>
          <w:p w:rsidR="00656160" w:rsidRPr="003E0EE3" w:rsidRDefault="00656160" w:rsidP="0043580C">
            <w:pPr>
              <w:pStyle w:val="naisc"/>
              <w:spacing w:before="0" w:after="0"/>
              <w:ind w:firstLine="720"/>
              <w:jc w:val="left"/>
              <w:rPr>
                <w:b/>
                <w:sz w:val="26"/>
                <w:szCs w:val="26"/>
              </w:rPr>
            </w:pPr>
            <w:r w:rsidRPr="003E0EE3">
              <w:rPr>
                <w:b/>
                <w:sz w:val="26"/>
                <w:szCs w:val="26"/>
              </w:rPr>
              <w:lastRenderedPageBreak/>
              <w:t>Tieslietu ministrija</w:t>
            </w:r>
          </w:p>
          <w:p w:rsidR="00656160" w:rsidRPr="003E0EE3" w:rsidRDefault="00656160" w:rsidP="0043580C">
            <w:pPr>
              <w:jc w:val="both"/>
              <w:rPr>
                <w:sz w:val="26"/>
                <w:szCs w:val="26"/>
              </w:rPr>
            </w:pPr>
            <w:r w:rsidRPr="003E0EE3">
              <w:rPr>
                <w:sz w:val="26"/>
                <w:szCs w:val="26"/>
              </w:rPr>
              <w:t xml:space="preserve">Noteikumu projekta 12. punkts paredz izteikt 27. punktu jaunā redakcijā un noteikt pienākumu amatpersonai, kura ir kompetenta pieņemt lēmumu par ziņojuma iekļaušanu sistēmā, izvērtēt ziņojuma uzturēšanas sistēmā termiņu, kas noteikts 25. punktā par konkrētu personu vai priekšmetu kategoriju. Piemēram, 25.3. apakšpunktā noteikts, ka ziņojumu sistēmā iekļauj uz laiku līdz trīs gadiem – par personu, kuru meklē, lai noskaidrotu tās uzturēšanās vietu vai pastāvīgo dzīvesvietu vai par neidentificētu personu, lai noskaidrotu tās identitāti. Savukārt 27.2. apakšpunktā noteikts, ka amatpersona izvērtē 25.3. apakšpunktā minēto ziņojumu ik pēc trijiem gadiem no ziņojuma iekļaušanas sistēmā un apstiprina tā uzturēšanu sistēmā. </w:t>
            </w:r>
            <w:r w:rsidRPr="003E0EE3">
              <w:rPr>
                <w:sz w:val="26"/>
                <w:szCs w:val="26"/>
              </w:rPr>
              <w:lastRenderedPageBreak/>
              <w:t xml:space="preserve">Vienlaikus anotācijas I sadaļas 2. punktā skaidrots, ka šis punkts izstrādāts atbilstoši Eiropas Parlamenta un Padomes 2018. gada 28. novembra Regulas (ES) Nr. 2018/1862 par Šengenas Informācijas sistēmas (SIS) izveidi, darbību un izmantošanu policijas sadarbībā un tiesu iestāžu sadarbībā krimināllietās un, ar ko groza un atceļ Padomes Lēmumu 2007/533/TI un atceļ Eiropas Parlamenta un Padomes Regulu (EK) Nr. 1986/2006 un Komisijas Lēmumu 2010/261/ES (turpmāk – Regula 2018/1862) 53. un 54. pantā noteiktajam. Vēršam uzmanīgu, ka Regulas 2018/1862 53. punktā un 54. punktā ir noteikti konkrētu brīdinājumu glabāšanas termiņi un termiņi, kādos ir jāpārskata šie glabāšana termiņi. Piemēram, Regula 2018/1862 53. panta 3. punktā norādīts, ka dalībvalsts 34. un 40. panta nolūkos brīdinājumu par personu var ievadīt uz trīs gadiem. Izdevēja dalībvalsts trīs gadu laikā pārskata nepieciešamību saglabāt brīdinājumu. Bez tam minētās normas 7.punktā noteikts, ka brīdinājumus par personām automātiski dzēš, tiklīdz ir beidzies 2., 3. un 4. punktā minētais pārskatīšanas periods, </w:t>
            </w:r>
            <w:r w:rsidRPr="003E0EE3">
              <w:rPr>
                <w:sz w:val="26"/>
                <w:szCs w:val="26"/>
              </w:rPr>
              <w:lastRenderedPageBreak/>
              <w:t xml:space="preserve">izņemot gadījumu, kad izdevēja dalībvalsts ir paziņojusi CS-SIS par pagarināšanu, ievērojot 6. punktu. CS-SIS četrus mēnešus pirms paredzētās datu dzēšanas par to automātiski informē izdevēju dalībvalsti. Inspekcijas skatījumā no minētā regulējuma izriet nepieciešamība amatpersonai pārskatīt 25.3. apakšpunktā minēto ziņojumu termiņā līdz trijiem gadiem no ziņojuma iekļaušanas sistēmā un apstiprina tā uzturēšanu sistēmā pretējā gadījumā, iestājoties trīs gadu glabāšanas termiņam, ziņojums tiks automātiski dzēsts. Ņemot vērā minēto, lūdzam izvērtēt un, ja nepieciešams, precizēt Noteikumu projekta 12. punktā ietverto 27. punktu. </w:t>
            </w:r>
          </w:p>
          <w:p w:rsidR="00656160" w:rsidRPr="003E0EE3" w:rsidRDefault="00656160" w:rsidP="0043580C">
            <w:pPr>
              <w:pStyle w:val="naisc"/>
              <w:spacing w:before="0" w:after="0"/>
              <w:jc w:val="both"/>
              <w:rPr>
                <w:b/>
                <w:sz w:val="26"/>
                <w:szCs w:val="26"/>
              </w:rPr>
            </w:pPr>
          </w:p>
        </w:tc>
        <w:tc>
          <w:tcPr>
            <w:tcW w:w="3402" w:type="dxa"/>
            <w:tcBorders>
              <w:top w:val="single" w:sz="6" w:space="0" w:color="000000"/>
              <w:left w:val="single" w:sz="6" w:space="0" w:color="000000"/>
              <w:bottom w:val="single" w:sz="6" w:space="0" w:color="000000"/>
              <w:right w:val="single" w:sz="6" w:space="0" w:color="000000"/>
            </w:tcBorders>
          </w:tcPr>
          <w:p w:rsidR="00656160" w:rsidRPr="003E0EE3" w:rsidRDefault="00656160" w:rsidP="0043580C">
            <w:pPr>
              <w:pStyle w:val="naisc"/>
              <w:spacing w:before="0" w:after="0"/>
              <w:ind w:firstLine="720"/>
              <w:jc w:val="both"/>
              <w:rPr>
                <w:b/>
                <w:sz w:val="26"/>
                <w:szCs w:val="26"/>
              </w:rPr>
            </w:pPr>
            <w:r w:rsidRPr="003E0EE3">
              <w:rPr>
                <w:b/>
                <w:sz w:val="26"/>
                <w:szCs w:val="26"/>
              </w:rPr>
              <w:lastRenderedPageBreak/>
              <w:t>Ņemts vērā</w:t>
            </w:r>
          </w:p>
          <w:p w:rsidR="00656160" w:rsidRPr="003E0EE3" w:rsidRDefault="00656160" w:rsidP="0043580C">
            <w:pPr>
              <w:tabs>
                <w:tab w:val="left" w:pos="540"/>
                <w:tab w:val="left" w:pos="900"/>
              </w:tabs>
              <w:jc w:val="both"/>
              <w:rPr>
                <w:sz w:val="26"/>
                <w:szCs w:val="26"/>
                <w:shd w:val="clear" w:color="auto" w:fill="FFFFFF"/>
              </w:rPr>
            </w:pPr>
            <w:r w:rsidRPr="003E0EE3">
              <w:rPr>
                <w:sz w:val="26"/>
                <w:szCs w:val="26"/>
              </w:rPr>
              <w:t xml:space="preserve">Regulas 2018/1862 53. panta 7. punkts noteic, ka  četrus mēnešus pirms paredzētā pārskatīšanas termiņa beigām sistēma automātiski informē izdevēju dalībvalsti, proti, sistēma automātiski </w:t>
            </w:r>
            <w:proofErr w:type="spellStart"/>
            <w:r w:rsidRPr="003E0EE3">
              <w:rPr>
                <w:sz w:val="26"/>
                <w:szCs w:val="26"/>
              </w:rPr>
              <w:t>nosūta</w:t>
            </w:r>
            <w:proofErr w:type="spellEnd"/>
            <w:r w:rsidRPr="003E0EE3">
              <w:rPr>
                <w:sz w:val="26"/>
                <w:szCs w:val="26"/>
              </w:rPr>
              <w:t xml:space="preserve"> paziņojumu kompetentās iestādes amatpersonai, kura ziņojumu izveidojusi sistēmā, par ziņojuma termiņa pagarināšanu vai, ka tas automātiski tiks dzēsts. </w:t>
            </w:r>
          </w:p>
          <w:p w:rsidR="00656160" w:rsidRPr="003E0EE3" w:rsidRDefault="00656160" w:rsidP="0043580C">
            <w:pPr>
              <w:jc w:val="both"/>
              <w:rPr>
                <w:strike/>
                <w:sz w:val="26"/>
                <w:szCs w:val="26"/>
              </w:rPr>
            </w:pPr>
            <w:r w:rsidRPr="003E0EE3">
              <w:rPr>
                <w:sz w:val="26"/>
                <w:szCs w:val="26"/>
              </w:rPr>
              <w:t>Norādām, ka Noteikumu Nr.639 38. punkts paredz, ka sistēma pirms noteikumu Nr.639 27. punktā minētā</w:t>
            </w:r>
            <w:r w:rsidRPr="003E0EE3">
              <w:rPr>
                <w:sz w:val="26"/>
                <w:szCs w:val="26"/>
                <w:u w:val="single"/>
              </w:rPr>
              <w:t xml:space="preserve"> </w:t>
            </w:r>
            <w:r w:rsidRPr="003E0EE3">
              <w:rPr>
                <w:sz w:val="26"/>
                <w:szCs w:val="26"/>
              </w:rPr>
              <w:t xml:space="preserve">termiņa iestāšanās automātiski brīdina institūciju vai iestādi, kuras amatpersona izveidojusi </w:t>
            </w:r>
            <w:r w:rsidRPr="003E0EE3">
              <w:rPr>
                <w:sz w:val="26"/>
                <w:szCs w:val="26"/>
              </w:rPr>
              <w:lastRenderedPageBreak/>
              <w:t xml:space="preserve">ziņojumu </w:t>
            </w:r>
            <w:r w:rsidRPr="003E0EE3">
              <w:rPr>
                <w:rFonts w:eastAsia="EUAlbertina-Regular-Identity-H"/>
                <w:sz w:val="26"/>
                <w:szCs w:val="26"/>
              </w:rPr>
              <w:t>par paredzamo datu dzēšanu.</w:t>
            </w:r>
          </w:p>
          <w:p w:rsidR="00656160" w:rsidRPr="003E0EE3" w:rsidRDefault="00656160" w:rsidP="0043580C">
            <w:pPr>
              <w:jc w:val="both"/>
              <w:rPr>
                <w:sz w:val="26"/>
                <w:szCs w:val="26"/>
                <w:shd w:val="clear" w:color="auto" w:fill="FFFFFF"/>
              </w:rPr>
            </w:pPr>
            <w:r w:rsidRPr="003E0EE3">
              <w:rPr>
                <w:sz w:val="26"/>
                <w:szCs w:val="26"/>
              </w:rPr>
              <w:t>Tādējādi</w:t>
            </w:r>
            <w:r w:rsidRPr="003E0EE3">
              <w:rPr>
                <w:sz w:val="26"/>
                <w:szCs w:val="26"/>
                <w:shd w:val="clear" w:color="auto" w:fill="FFFFFF"/>
              </w:rPr>
              <w:t xml:space="preserve"> sistēma paredz efektīvu aizsardzības mehānismu pret nepamatotu ziņu glabāšanas ilgumu, proti, tā paredz, ka </w:t>
            </w:r>
            <w:r w:rsidRPr="003E0EE3">
              <w:rPr>
                <w:sz w:val="26"/>
                <w:szCs w:val="26"/>
              </w:rPr>
              <w:t xml:space="preserve">četrus mēnešus pirms ziņu automātiskās dzēšanas no reģistra atbilstoši šo noteikumu Nr. 639 </w:t>
            </w:r>
            <w:hyperlink r:id="rId4" w:anchor="p39" w:history="1">
              <w:r w:rsidRPr="003E0EE3">
                <w:rPr>
                  <w:sz w:val="26"/>
                  <w:szCs w:val="26"/>
                </w:rPr>
                <w:t>39. punktā</w:t>
              </w:r>
            </w:hyperlink>
            <w:r w:rsidRPr="003E0EE3">
              <w:rPr>
                <w:sz w:val="26"/>
                <w:szCs w:val="26"/>
              </w:rPr>
              <w:t xml:space="preserve"> minētajām prasībām reģistrs automātiski </w:t>
            </w:r>
            <w:proofErr w:type="spellStart"/>
            <w:r w:rsidRPr="003E0EE3">
              <w:rPr>
                <w:sz w:val="26"/>
                <w:szCs w:val="26"/>
              </w:rPr>
              <w:t>nosūta</w:t>
            </w:r>
            <w:proofErr w:type="spellEnd"/>
            <w:r w:rsidRPr="003E0EE3">
              <w:rPr>
                <w:sz w:val="26"/>
                <w:szCs w:val="26"/>
              </w:rPr>
              <w:t xml:space="preserve"> brīdinājumu iestādei, kuras amatpersona iekļāvusi ziņas.</w:t>
            </w:r>
            <w:r w:rsidRPr="003E0EE3">
              <w:rPr>
                <w:sz w:val="26"/>
                <w:szCs w:val="26"/>
                <w:shd w:val="clear" w:color="auto" w:fill="FFFFFF"/>
              </w:rPr>
              <w:t xml:space="preserve"> Ja ziņu uzturēšanas nepieciešamība netiek aktualizēta, ziņas no sistēmas aktuālās daļas dzēš automātiski, iestājoties projekta 26. punktā norādītajam termiņam (ja ir zināms laiks (datums), līdz kuram ziņas ir uzturamas sistēmas aktuālajā daļā, ja ir</w:t>
            </w:r>
            <w:r w:rsidRPr="003E0EE3">
              <w:rPr>
                <w:sz w:val="26"/>
                <w:szCs w:val="26"/>
                <w:u w:val="single"/>
                <w:shd w:val="clear" w:color="auto" w:fill="FFFFFF"/>
              </w:rPr>
              <w:t xml:space="preserve"> </w:t>
            </w:r>
            <w:r w:rsidRPr="00A423B6">
              <w:rPr>
                <w:sz w:val="26"/>
                <w:szCs w:val="26"/>
                <w:shd w:val="clear" w:color="auto" w:fill="FFFFFF"/>
              </w:rPr>
              <w:t>zināms laiks, kad zudīs nepieciešamība vai pamats sasniegt ziņojumā norādīto</w:t>
            </w:r>
            <w:r w:rsidRPr="003E0EE3">
              <w:rPr>
                <w:sz w:val="26"/>
                <w:szCs w:val="26"/>
                <w:u w:val="single"/>
                <w:shd w:val="clear" w:color="auto" w:fill="FFFFFF"/>
              </w:rPr>
              <w:t xml:space="preserve"> </w:t>
            </w:r>
            <w:r w:rsidRPr="003E0EE3">
              <w:rPr>
                <w:sz w:val="26"/>
                <w:szCs w:val="26"/>
                <w:shd w:val="clear" w:color="auto" w:fill="FFFFFF"/>
              </w:rPr>
              <w:t xml:space="preserve">mērķi). </w:t>
            </w:r>
          </w:p>
          <w:p w:rsidR="00656160" w:rsidRPr="003E0EE3" w:rsidRDefault="00656160" w:rsidP="0043580C">
            <w:pPr>
              <w:jc w:val="both"/>
              <w:rPr>
                <w:sz w:val="26"/>
                <w:szCs w:val="26"/>
                <w:shd w:val="clear" w:color="auto" w:fill="FFFFFF"/>
              </w:rPr>
            </w:pPr>
            <w:r w:rsidRPr="003E0EE3">
              <w:rPr>
                <w:sz w:val="26"/>
                <w:szCs w:val="26"/>
                <w:shd w:val="clear" w:color="auto" w:fill="FFFFFF"/>
              </w:rPr>
              <w:t xml:space="preserve">Papildus norādāms, ka noteikumu Nr. 639 33. punkts </w:t>
            </w:r>
            <w:r w:rsidRPr="003E0EE3">
              <w:rPr>
                <w:sz w:val="26"/>
                <w:szCs w:val="26"/>
                <w:shd w:val="clear" w:color="auto" w:fill="FFFFFF"/>
              </w:rPr>
              <w:lastRenderedPageBreak/>
              <w:t>noteic, ka, ja birojs konstatē, ka sistēmā iekļautais ziņojums neatbilst sistēmas darbību regulējošo normatīvo aktu prasībām vai ziņojumā iekļautie dati ir kļūdaini, birojs informē amatpersonu, kura ir kompetenta pieņemt lēmumu par ziņojuma iekļaušanu sistēmā. Amatpersona dzēš vai labo ziņojumu. Ja minētais ziņojums netiek dzēsts vai labots vienas darbdienas laikā pēc attiecīgās amatpersonas informēšanas, birojs ziņojumu sistēmā dzēš.</w:t>
            </w:r>
          </w:p>
          <w:p w:rsidR="00656160" w:rsidRPr="003E0EE3" w:rsidRDefault="00656160" w:rsidP="0043580C">
            <w:pPr>
              <w:tabs>
                <w:tab w:val="left" w:pos="540"/>
                <w:tab w:val="left" w:pos="900"/>
              </w:tabs>
              <w:jc w:val="both"/>
              <w:rPr>
                <w:sz w:val="26"/>
                <w:szCs w:val="26"/>
                <w:shd w:val="clear" w:color="auto" w:fill="FFFFFF"/>
              </w:rPr>
            </w:pPr>
            <w:r w:rsidRPr="003E0EE3">
              <w:rPr>
                <w:sz w:val="26"/>
                <w:szCs w:val="26"/>
              </w:rPr>
              <w:t xml:space="preserve">Regulas 2018/1861 39. panta 5. punkts noteic, ka četrus mēnešus pirms paredzētā pārskatīšanas termiņa beigām sistēma automātiski </w:t>
            </w:r>
            <w:proofErr w:type="spellStart"/>
            <w:r w:rsidRPr="003E0EE3">
              <w:rPr>
                <w:sz w:val="26"/>
                <w:szCs w:val="26"/>
              </w:rPr>
              <w:t>nosūta</w:t>
            </w:r>
            <w:proofErr w:type="spellEnd"/>
            <w:r w:rsidRPr="003E0EE3">
              <w:rPr>
                <w:sz w:val="26"/>
                <w:szCs w:val="26"/>
              </w:rPr>
              <w:t xml:space="preserve"> paziņojumu paredzamo datu dzēšanu. </w:t>
            </w:r>
          </w:p>
          <w:p w:rsidR="00656160" w:rsidRPr="003E0EE3" w:rsidRDefault="00656160" w:rsidP="0043580C">
            <w:pPr>
              <w:pStyle w:val="naisc"/>
              <w:spacing w:before="0" w:after="0"/>
              <w:ind w:left="-107"/>
              <w:jc w:val="both"/>
              <w:rPr>
                <w:b/>
                <w:sz w:val="26"/>
                <w:szCs w:val="26"/>
              </w:rPr>
            </w:pPr>
            <w:r w:rsidRPr="003E0EE3">
              <w:rPr>
                <w:b/>
                <w:sz w:val="26"/>
                <w:szCs w:val="26"/>
              </w:rPr>
              <w:t xml:space="preserve"> </w:t>
            </w:r>
          </w:p>
        </w:tc>
        <w:tc>
          <w:tcPr>
            <w:tcW w:w="3260" w:type="dxa"/>
            <w:tcBorders>
              <w:top w:val="single" w:sz="4" w:space="0" w:color="auto"/>
              <w:left w:val="single" w:sz="4" w:space="0" w:color="auto"/>
              <w:bottom w:val="single" w:sz="4" w:space="0" w:color="auto"/>
            </w:tcBorders>
          </w:tcPr>
          <w:p w:rsidR="00656160" w:rsidRPr="003E0EE3" w:rsidRDefault="00656160" w:rsidP="0043580C">
            <w:pPr>
              <w:pStyle w:val="naisc"/>
              <w:spacing w:before="0" w:after="0"/>
              <w:ind w:left="-105"/>
              <w:jc w:val="both"/>
              <w:rPr>
                <w:b/>
                <w:sz w:val="26"/>
                <w:szCs w:val="26"/>
              </w:rPr>
            </w:pPr>
            <w:r w:rsidRPr="003E0EE3">
              <w:rPr>
                <w:b/>
                <w:sz w:val="26"/>
                <w:szCs w:val="26"/>
              </w:rPr>
              <w:lastRenderedPageBreak/>
              <w:t xml:space="preserve">Precizēts likumprojekta anotācijas I sadaļas 2. punkts. </w:t>
            </w:r>
          </w:p>
          <w:p w:rsidR="00656160" w:rsidRPr="003E0EE3" w:rsidRDefault="00656160" w:rsidP="0043580C">
            <w:pPr>
              <w:jc w:val="both"/>
              <w:rPr>
                <w:sz w:val="26"/>
                <w:szCs w:val="26"/>
                <w:shd w:val="clear" w:color="auto" w:fill="FFFFFF"/>
              </w:rPr>
            </w:pPr>
            <w:r w:rsidRPr="003E0EE3">
              <w:rPr>
                <w:iCs/>
                <w:sz w:val="26"/>
                <w:szCs w:val="26"/>
              </w:rPr>
              <w:t xml:space="preserve"> </w:t>
            </w:r>
          </w:p>
          <w:p w:rsidR="00656160" w:rsidRPr="003E0EE3" w:rsidRDefault="00656160" w:rsidP="0043580C">
            <w:pPr>
              <w:pStyle w:val="naisc"/>
              <w:spacing w:before="0" w:after="0"/>
              <w:jc w:val="both"/>
              <w:rPr>
                <w:sz w:val="26"/>
                <w:szCs w:val="26"/>
              </w:rPr>
            </w:pPr>
          </w:p>
        </w:tc>
      </w:tr>
      <w:tr w:rsidR="00656160" w:rsidRPr="003E0EE3" w:rsidTr="0043580C">
        <w:tblPrEx>
          <w:tblBorders>
            <w:top w:val="none" w:sz="0" w:space="0" w:color="auto"/>
            <w:left w:val="none" w:sz="0" w:space="0" w:color="auto"/>
            <w:bottom w:val="none" w:sz="0" w:space="0" w:color="auto"/>
            <w:right w:val="none" w:sz="0" w:space="0" w:color="auto"/>
          </w:tblBorders>
        </w:tblPrEx>
        <w:tc>
          <w:tcPr>
            <w:tcW w:w="5017" w:type="dxa"/>
            <w:gridSpan w:val="3"/>
          </w:tcPr>
          <w:p w:rsidR="00656160" w:rsidRPr="003E0EE3" w:rsidRDefault="00656160" w:rsidP="0043580C">
            <w:pPr>
              <w:pStyle w:val="naiskr"/>
              <w:spacing w:before="0" w:after="0"/>
              <w:rPr>
                <w:sz w:val="26"/>
                <w:szCs w:val="26"/>
              </w:rPr>
            </w:pPr>
          </w:p>
          <w:p w:rsidR="00656160" w:rsidRPr="003E0EE3" w:rsidRDefault="00656160" w:rsidP="0043580C">
            <w:pPr>
              <w:pStyle w:val="naiskr"/>
              <w:spacing w:before="0" w:after="0"/>
              <w:rPr>
                <w:sz w:val="26"/>
                <w:szCs w:val="26"/>
              </w:rPr>
            </w:pPr>
          </w:p>
          <w:p w:rsidR="00656160" w:rsidRPr="003E0EE3" w:rsidRDefault="00656160" w:rsidP="0043580C">
            <w:pPr>
              <w:pStyle w:val="naiskr"/>
              <w:spacing w:before="0" w:after="0"/>
              <w:rPr>
                <w:sz w:val="26"/>
                <w:szCs w:val="26"/>
              </w:rPr>
            </w:pPr>
            <w:r w:rsidRPr="003E0EE3">
              <w:rPr>
                <w:sz w:val="26"/>
                <w:szCs w:val="26"/>
              </w:rPr>
              <w:t>Atbildīgā amatpersona</w:t>
            </w:r>
          </w:p>
        </w:tc>
        <w:tc>
          <w:tcPr>
            <w:tcW w:w="9977" w:type="dxa"/>
            <w:gridSpan w:val="4"/>
          </w:tcPr>
          <w:p w:rsidR="00656160" w:rsidRPr="003E0EE3" w:rsidRDefault="00656160" w:rsidP="0043580C">
            <w:pPr>
              <w:pStyle w:val="naiskr"/>
              <w:spacing w:before="0" w:after="0"/>
              <w:ind w:firstLine="720"/>
              <w:rPr>
                <w:sz w:val="26"/>
                <w:szCs w:val="26"/>
              </w:rPr>
            </w:pPr>
            <w:r w:rsidRPr="003E0EE3">
              <w:rPr>
                <w:sz w:val="26"/>
                <w:szCs w:val="26"/>
              </w:rPr>
              <w:t>  </w:t>
            </w:r>
          </w:p>
        </w:tc>
      </w:tr>
      <w:tr w:rsidR="00656160" w:rsidRPr="003E0EE3" w:rsidTr="0043580C">
        <w:tblPrEx>
          <w:tblBorders>
            <w:top w:val="none" w:sz="0" w:space="0" w:color="auto"/>
            <w:left w:val="none" w:sz="0" w:space="0" w:color="auto"/>
            <w:bottom w:val="none" w:sz="0" w:space="0" w:color="auto"/>
            <w:right w:val="none" w:sz="0" w:space="0" w:color="auto"/>
          </w:tblBorders>
        </w:tblPrEx>
        <w:tc>
          <w:tcPr>
            <w:tcW w:w="5017" w:type="dxa"/>
            <w:gridSpan w:val="3"/>
          </w:tcPr>
          <w:p w:rsidR="00656160" w:rsidRPr="003E0EE3" w:rsidRDefault="00656160" w:rsidP="0043580C">
            <w:pPr>
              <w:pStyle w:val="naiskr"/>
              <w:spacing w:before="0" w:after="0"/>
              <w:ind w:firstLine="720"/>
              <w:rPr>
                <w:sz w:val="26"/>
                <w:szCs w:val="26"/>
              </w:rPr>
            </w:pPr>
          </w:p>
        </w:tc>
        <w:tc>
          <w:tcPr>
            <w:tcW w:w="9977" w:type="dxa"/>
            <w:gridSpan w:val="4"/>
            <w:tcBorders>
              <w:top w:val="single" w:sz="6" w:space="0" w:color="000000"/>
            </w:tcBorders>
          </w:tcPr>
          <w:p w:rsidR="00656160" w:rsidRPr="003E0EE3" w:rsidRDefault="00656160" w:rsidP="0043580C">
            <w:pPr>
              <w:pStyle w:val="naisc"/>
              <w:spacing w:before="0" w:after="0"/>
              <w:ind w:firstLine="720"/>
              <w:rPr>
                <w:sz w:val="26"/>
                <w:szCs w:val="26"/>
              </w:rPr>
            </w:pPr>
            <w:r w:rsidRPr="003E0EE3">
              <w:rPr>
                <w:sz w:val="26"/>
                <w:szCs w:val="26"/>
              </w:rPr>
              <w:t>(paraksts)*</w:t>
            </w:r>
          </w:p>
        </w:tc>
      </w:tr>
    </w:tbl>
    <w:p w:rsidR="00656160" w:rsidRPr="003E0EE3" w:rsidRDefault="00656160" w:rsidP="00656160">
      <w:pPr>
        <w:pStyle w:val="naisf"/>
        <w:spacing w:before="0" w:after="0"/>
        <w:ind w:firstLine="0"/>
        <w:rPr>
          <w:sz w:val="26"/>
          <w:szCs w:val="26"/>
        </w:rPr>
      </w:pPr>
    </w:p>
    <w:p w:rsidR="00656160" w:rsidRPr="003E0EE3" w:rsidRDefault="00656160" w:rsidP="00656160">
      <w:pPr>
        <w:pStyle w:val="naisf"/>
        <w:spacing w:before="0" w:after="0"/>
        <w:ind w:firstLine="720"/>
        <w:rPr>
          <w:sz w:val="26"/>
          <w:szCs w:val="26"/>
        </w:rPr>
      </w:pPr>
      <w:r w:rsidRPr="003E0EE3">
        <w:rPr>
          <w:sz w:val="26"/>
          <w:szCs w:val="26"/>
        </w:rPr>
        <w:lastRenderedPageBreak/>
        <w:t xml:space="preserve">Piezīme.* Dokumenta rekvizītu "paraksts" neaizpilda, ja elektroniskais dokuments ir sagatavots atbilstoši normatīvajiem aktiem par elektronisko dokumentu noformēšanu. </w:t>
      </w:r>
    </w:p>
    <w:p w:rsidR="00656160" w:rsidRPr="003E0EE3" w:rsidRDefault="00656160" w:rsidP="00656160">
      <w:pPr>
        <w:pStyle w:val="naisf"/>
        <w:spacing w:before="0" w:after="0"/>
        <w:ind w:firstLine="720"/>
        <w:rPr>
          <w:sz w:val="26"/>
          <w:szCs w:val="26"/>
        </w:rPr>
      </w:pPr>
    </w:p>
    <w:p w:rsidR="00656160" w:rsidRPr="003E0EE3" w:rsidRDefault="00656160" w:rsidP="00656160">
      <w:pPr>
        <w:pStyle w:val="naisf"/>
        <w:spacing w:before="0" w:after="0"/>
        <w:ind w:firstLine="720"/>
        <w:rPr>
          <w:sz w:val="26"/>
          <w:szCs w:val="26"/>
        </w:rPr>
      </w:pPr>
      <w:r w:rsidRPr="003E0EE3">
        <w:rPr>
          <w:sz w:val="26"/>
          <w:szCs w:val="26"/>
        </w:rPr>
        <w:t>Iveta Brūvere</w:t>
      </w:r>
    </w:p>
    <w:tbl>
      <w:tblPr>
        <w:tblW w:w="0" w:type="auto"/>
        <w:tblLook w:val="00A0" w:firstRow="1" w:lastRow="0" w:firstColumn="1" w:lastColumn="0" w:noHBand="0" w:noVBand="0"/>
      </w:tblPr>
      <w:tblGrid>
        <w:gridCol w:w="8162"/>
      </w:tblGrid>
      <w:tr w:rsidR="00656160" w:rsidRPr="003E0EE3" w:rsidTr="0043580C">
        <w:trPr>
          <w:trHeight w:val="228"/>
        </w:trPr>
        <w:tc>
          <w:tcPr>
            <w:tcW w:w="8162" w:type="dxa"/>
            <w:tcBorders>
              <w:top w:val="single" w:sz="4" w:space="0" w:color="000000"/>
            </w:tcBorders>
          </w:tcPr>
          <w:p w:rsidR="00656160" w:rsidRPr="003E0EE3" w:rsidRDefault="00656160" w:rsidP="0043580C">
            <w:pPr>
              <w:jc w:val="center"/>
              <w:rPr>
                <w:sz w:val="26"/>
                <w:szCs w:val="26"/>
              </w:rPr>
            </w:pPr>
            <w:r w:rsidRPr="003E0EE3">
              <w:rPr>
                <w:sz w:val="26"/>
                <w:szCs w:val="26"/>
              </w:rPr>
              <w:t>(par projektu atbildīgās amatpersonas vārds un uzvārds)</w:t>
            </w:r>
          </w:p>
        </w:tc>
      </w:tr>
      <w:tr w:rsidR="00656160" w:rsidRPr="003E0EE3" w:rsidTr="0043580C">
        <w:trPr>
          <w:trHeight w:val="469"/>
        </w:trPr>
        <w:tc>
          <w:tcPr>
            <w:tcW w:w="8162" w:type="dxa"/>
            <w:tcBorders>
              <w:bottom w:val="single" w:sz="4" w:space="0" w:color="000000"/>
            </w:tcBorders>
          </w:tcPr>
          <w:p w:rsidR="00656160" w:rsidRPr="003E0EE3" w:rsidRDefault="00656160" w:rsidP="0043580C">
            <w:pPr>
              <w:jc w:val="both"/>
              <w:rPr>
                <w:sz w:val="26"/>
                <w:szCs w:val="26"/>
              </w:rPr>
            </w:pPr>
            <w:r w:rsidRPr="003E0EE3">
              <w:rPr>
                <w:sz w:val="26"/>
                <w:szCs w:val="26"/>
              </w:rPr>
              <w:t>Valsts policijas Galvenās administratīvās pārvaldes</w:t>
            </w:r>
          </w:p>
          <w:p w:rsidR="00656160" w:rsidRPr="003E0EE3" w:rsidRDefault="00656160" w:rsidP="0043580C">
            <w:pPr>
              <w:jc w:val="both"/>
              <w:rPr>
                <w:sz w:val="26"/>
                <w:szCs w:val="26"/>
              </w:rPr>
            </w:pPr>
            <w:r w:rsidRPr="003E0EE3">
              <w:rPr>
                <w:sz w:val="26"/>
                <w:szCs w:val="26"/>
              </w:rPr>
              <w:t>Juridiskās biroja Normatīvo aktu analīzes un izstrādes nodaļas juriste</w:t>
            </w:r>
          </w:p>
        </w:tc>
      </w:tr>
      <w:tr w:rsidR="00656160" w:rsidRPr="003E0EE3" w:rsidTr="0043580C">
        <w:trPr>
          <w:trHeight w:val="228"/>
        </w:trPr>
        <w:tc>
          <w:tcPr>
            <w:tcW w:w="8162" w:type="dxa"/>
            <w:tcBorders>
              <w:top w:val="single" w:sz="4" w:space="0" w:color="000000"/>
            </w:tcBorders>
          </w:tcPr>
          <w:p w:rsidR="00656160" w:rsidRPr="003E0EE3" w:rsidRDefault="00656160" w:rsidP="0043580C">
            <w:pPr>
              <w:jc w:val="center"/>
              <w:rPr>
                <w:sz w:val="26"/>
                <w:szCs w:val="26"/>
              </w:rPr>
            </w:pPr>
            <w:r w:rsidRPr="003E0EE3">
              <w:rPr>
                <w:sz w:val="26"/>
                <w:szCs w:val="26"/>
              </w:rPr>
              <w:t>(amats)</w:t>
            </w:r>
          </w:p>
        </w:tc>
      </w:tr>
      <w:tr w:rsidR="00656160" w:rsidRPr="003E0EE3" w:rsidTr="0043580C">
        <w:trPr>
          <w:trHeight w:val="240"/>
        </w:trPr>
        <w:tc>
          <w:tcPr>
            <w:tcW w:w="8162" w:type="dxa"/>
            <w:tcBorders>
              <w:bottom w:val="single" w:sz="4" w:space="0" w:color="000000"/>
            </w:tcBorders>
          </w:tcPr>
          <w:p w:rsidR="00656160" w:rsidRPr="003E0EE3" w:rsidRDefault="00656160" w:rsidP="0043580C">
            <w:pPr>
              <w:rPr>
                <w:sz w:val="26"/>
                <w:szCs w:val="26"/>
              </w:rPr>
            </w:pPr>
            <w:r w:rsidRPr="003E0EE3">
              <w:rPr>
                <w:sz w:val="26"/>
                <w:szCs w:val="26"/>
              </w:rPr>
              <w:t>67829574</w:t>
            </w:r>
          </w:p>
        </w:tc>
      </w:tr>
      <w:tr w:rsidR="00656160" w:rsidRPr="003E0EE3" w:rsidTr="0043580C">
        <w:trPr>
          <w:trHeight w:val="228"/>
        </w:trPr>
        <w:tc>
          <w:tcPr>
            <w:tcW w:w="8162" w:type="dxa"/>
            <w:tcBorders>
              <w:top w:val="single" w:sz="4" w:space="0" w:color="000000"/>
            </w:tcBorders>
          </w:tcPr>
          <w:p w:rsidR="00656160" w:rsidRPr="003E0EE3" w:rsidRDefault="00656160" w:rsidP="0043580C">
            <w:pPr>
              <w:jc w:val="center"/>
              <w:rPr>
                <w:sz w:val="26"/>
                <w:szCs w:val="26"/>
              </w:rPr>
            </w:pPr>
            <w:r w:rsidRPr="003E0EE3">
              <w:rPr>
                <w:sz w:val="26"/>
                <w:szCs w:val="26"/>
              </w:rPr>
              <w:t>(tālruņa un faksa numurs)</w:t>
            </w:r>
          </w:p>
        </w:tc>
      </w:tr>
      <w:tr w:rsidR="00656160" w:rsidRPr="003E0EE3" w:rsidTr="0043580C">
        <w:trPr>
          <w:trHeight w:val="228"/>
        </w:trPr>
        <w:tc>
          <w:tcPr>
            <w:tcW w:w="8162" w:type="dxa"/>
            <w:tcBorders>
              <w:bottom w:val="single" w:sz="4" w:space="0" w:color="000000"/>
            </w:tcBorders>
          </w:tcPr>
          <w:p w:rsidR="00656160" w:rsidRPr="003E0EE3" w:rsidRDefault="00656160" w:rsidP="0043580C">
            <w:pPr>
              <w:rPr>
                <w:sz w:val="26"/>
                <w:szCs w:val="26"/>
              </w:rPr>
            </w:pPr>
            <w:r w:rsidRPr="003E0EE3">
              <w:rPr>
                <w:sz w:val="26"/>
                <w:szCs w:val="26"/>
              </w:rPr>
              <w:t>iveta.bruvere@vp.gov.lv</w:t>
            </w:r>
          </w:p>
        </w:tc>
      </w:tr>
      <w:tr w:rsidR="00656160" w:rsidRPr="003E0EE3" w:rsidTr="0043580C">
        <w:trPr>
          <w:trHeight w:val="228"/>
        </w:trPr>
        <w:tc>
          <w:tcPr>
            <w:tcW w:w="8162" w:type="dxa"/>
            <w:tcBorders>
              <w:top w:val="single" w:sz="4" w:space="0" w:color="000000"/>
            </w:tcBorders>
          </w:tcPr>
          <w:p w:rsidR="00656160" w:rsidRPr="003E0EE3" w:rsidRDefault="00656160" w:rsidP="0043580C">
            <w:pPr>
              <w:jc w:val="center"/>
              <w:rPr>
                <w:sz w:val="26"/>
                <w:szCs w:val="26"/>
              </w:rPr>
            </w:pPr>
            <w:r w:rsidRPr="003E0EE3">
              <w:rPr>
                <w:sz w:val="26"/>
                <w:szCs w:val="26"/>
              </w:rPr>
              <w:t>(e-pasta adrese)</w:t>
            </w:r>
          </w:p>
        </w:tc>
      </w:tr>
    </w:tbl>
    <w:p w:rsidR="00656160" w:rsidRPr="003E0EE3" w:rsidRDefault="00656160" w:rsidP="00656160">
      <w:pPr>
        <w:shd w:val="clear" w:color="auto" w:fill="FFFFFF"/>
        <w:spacing w:before="360" w:after="120"/>
        <w:jc w:val="both"/>
        <w:rPr>
          <w:i/>
          <w:iCs/>
          <w:sz w:val="26"/>
          <w:szCs w:val="26"/>
        </w:rPr>
      </w:pPr>
    </w:p>
    <w:p w:rsidR="0066731A" w:rsidRDefault="0066731A">
      <w:bookmarkStart w:id="0" w:name="_GoBack"/>
      <w:bookmarkEnd w:id="0"/>
    </w:p>
    <w:sectPr w:rsidR="0066731A" w:rsidSect="002903E5">
      <w:headerReference w:type="even" r:id="rId5"/>
      <w:headerReference w:type="default" r:id="rId6"/>
      <w:footerReference w:type="default" r:id="rId7"/>
      <w:footerReference w:type="first" r:id="rId8"/>
      <w:pgSz w:w="16838" w:h="11906" w:orient="landscape" w:code="9"/>
      <w:pgMar w:top="1560"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5E7" w:rsidRPr="000948D7" w:rsidRDefault="00656160" w:rsidP="000948D7">
    <w:pPr>
      <w:pStyle w:val="Footer"/>
      <w:rPr>
        <w:sz w:val="20"/>
        <w:szCs w:val="20"/>
      </w:rPr>
    </w:pPr>
    <w:r>
      <w:rPr>
        <w:sz w:val="20"/>
        <w:szCs w:val="20"/>
      </w:rPr>
      <w:t>IEMIzz_</w:t>
    </w:r>
    <w:r>
      <w:rPr>
        <w:sz w:val="20"/>
        <w:szCs w:val="20"/>
      </w:rPr>
      <w:t>groz639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5E7" w:rsidRPr="00D97E38" w:rsidRDefault="00656160" w:rsidP="00D97E38">
    <w:pPr>
      <w:pStyle w:val="Footer"/>
      <w:rPr>
        <w:sz w:val="20"/>
        <w:szCs w:val="20"/>
      </w:rPr>
    </w:pPr>
    <w:r>
      <w:rPr>
        <w:sz w:val="20"/>
        <w:szCs w:val="20"/>
      </w:rPr>
      <w:t>IEMIzz_groz639</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5E7" w:rsidRDefault="00656160"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55E7" w:rsidRDefault="006561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5E7" w:rsidRDefault="00656160"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455E7" w:rsidRDefault="006561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160"/>
    <w:rsid w:val="00656160"/>
    <w:rsid w:val="006673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E080B-70D2-4CBF-BD90-7E184FE3F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16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56160"/>
    <w:pPr>
      <w:spacing w:before="100" w:beforeAutospacing="1" w:after="100" w:afterAutospacing="1"/>
    </w:pPr>
  </w:style>
  <w:style w:type="paragraph" w:customStyle="1" w:styleId="naisf">
    <w:name w:val="naisf"/>
    <w:basedOn w:val="Normal"/>
    <w:rsid w:val="00656160"/>
    <w:pPr>
      <w:spacing w:before="75" w:after="75"/>
      <w:ind w:firstLine="375"/>
      <w:jc w:val="both"/>
    </w:pPr>
  </w:style>
  <w:style w:type="paragraph" w:customStyle="1" w:styleId="naisnod">
    <w:name w:val="naisnod"/>
    <w:basedOn w:val="Normal"/>
    <w:uiPriority w:val="99"/>
    <w:rsid w:val="00656160"/>
    <w:pPr>
      <w:spacing w:before="150" w:after="150"/>
      <w:jc w:val="center"/>
    </w:pPr>
    <w:rPr>
      <w:b/>
      <w:bCs/>
    </w:rPr>
  </w:style>
  <w:style w:type="paragraph" w:customStyle="1" w:styleId="naislab">
    <w:name w:val="naislab"/>
    <w:basedOn w:val="Normal"/>
    <w:uiPriority w:val="99"/>
    <w:rsid w:val="00656160"/>
    <w:pPr>
      <w:spacing w:before="75" w:after="75"/>
      <w:jc w:val="right"/>
    </w:pPr>
  </w:style>
  <w:style w:type="paragraph" w:customStyle="1" w:styleId="naiskr">
    <w:name w:val="naiskr"/>
    <w:basedOn w:val="Normal"/>
    <w:rsid w:val="00656160"/>
    <w:pPr>
      <w:spacing w:before="75" w:after="75"/>
    </w:pPr>
  </w:style>
  <w:style w:type="paragraph" w:customStyle="1" w:styleId="naisc">
    <w:name w:val="naisc"/>
    <w:basedOn w:val="Normal"/>
    <w:rsid w:val="00656160"/>
    <w:pPr>
      <w:spacing w:before="75" w:after="75"/>
      <w:jc w:val="center"/>
    </w:pPr>
  </w:style>
  <w:style w:type="paragraph" w:styleId="Header">
    <w:name w:val="header"/>
    <w:basedOn w:val="Normal"/>
    <w:link w:val="HeaderChar"/>
    <w:uiPriority w:val="99"/>
    <w:rsid w:val="00656160"/>
    <w:pPr>
      <w:tabs>
        <w:tab w:val="center" w:pos="4153"/>
        <w:tab w:val="right" w:pos="8306"/>
      </w:tabs>
    </w:pPr>
  </w:style>
  <w:style w:type="character" w:customStyle="1" w:styleId="HeaderChar">
    <w:name w:val="Header Char"/>
    <w:basedOn w:val="DefaultParagraphFont"/>
    <w:link w:val="Header"/>
    <w:uiPriority w:val="99"/>
    <w:rsid w:val="00656160"/>
    <w:rPr>
      <w:rFonts w:ascii="Times New Roman" w:eastAsia="Times New Roman" w:hAnsi="Times New Roman" w:cs="Times New Roman"/>
      <w:sz w:val="24"/>
      <w:szCs w:val="24"/>
      <w:lang w:eastAsia="lv-LV"/>
    </w:rPr>
  </w:style>
  <w:style w:type="character" w:styleId="PageNumber">
    <w:name w:val="page number"/>
    <w:uiPriority w:val="99"/>
    <w:rsid w:val="00656160"/>
    <w:rPr>
      <w:rFonts w:cs="Times New Roman"/>
    </w:rPr>
  </w:style>
  <w:style w:type="paragraph" w:styleId="Footer">
    <w:name w:val="footer"/>
    <w:basedOn w:val="Normal"/>
    <w:link w:val="FooterChar"/>
    <w:uiPriority w:val="99"/>
    <w:rsid w:val="00656160"/>
    <w:pPr>
      <w:tabs>
        <w:tab w:val="center" w:pos="4153"/>
        <w:tab w:val="right" w:pos="8306"/>
      </w:tabs>
    </w:pPr>
  </w:style>
  <w:style w:type="character" w:customStyle="1" w:styleId="FooterChar">
    <w:name w:val="Footer Char"/>
    <w:basedOn w:val="DefaultParagraphFont"/>
    <w:link w:val="Footer"/>
    <w:uiPriority w:val="99"/>
    <w:rsid w:val="00656160"/>
    <w:rPr>
      <w:rFonts w:ascii="Times New Roman" w:eastAsia="Times New Roman" w:hAnsi="Times New Roman" w:cs="Times New Roman"/>
      <w:sz w:val="24"/>
      <w:szCs w:val="24"/>
      <w:lang w:eastAsia="lv-LV"/>
    </w:rPr>
  </w:style>
  <w:style w:type="character" w:styleId="CommentReference">
    <w:name w:val="annotation reference"/>
    <w:uiPriority w:val="99"/>
    <w:semiHidden/>
    <w:unhideWhenUsed/>
    <w:rsid w:val="00656160"/>
    <w:rPr>
      <w:sz w:val="16"/>
      <w:szCs w:val="16"/>
    </w:rPr>
  </w:style>
  <w:style w:type="paragraph" w:styleId="CommentText">
    <w:name w:val="annotation text"/>
    <w:basedOn w:val="Normal"/>
    <w:link w:val="CommentTextChar"/>
    <w:unhideWhenUsed/>
    <w:rsid w:val="00656160"/>
    <w:rPr>
      <w:sz w:val="20"/>
      <w:szCs w:val="20"/>
    </w:rPr>
  </w:style>
  <w:style w:type="character" w:customStyle="1" w:styleId="CommentTextChar">
    <w:name w:val="Comment Text Char"/>
    <w:basedOn w:val="DefaultParagraphFont"/>
    <w:link w:val="CommentText"/>
    <w:rsid w:val="00656160"/>
    <w:rPr>
      <w:rFonts w:ascii="Times New Roman" w:eastAsia="Times New Roman" w:hAnsi="Times New Roman" w:cs="Times New Roman"/>
      <w:sz w:val="20"/>
      <w:szCs w:val="20"/>
      <w:lang w:eastAsia="lv-LV"/>
    </w:rPr>
  </w:style>
  <w:style w:type="paragraph" w:customStyle="1" w:styleId="tv213">
    <w:name w:val="tv213"/>
    <w:basedOn w:val="Normal"/>
    <w:rsid w:val="0065616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hyperlink" Target="https://m.likumi.lv/ta/id/231453"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8472</Words>
  <Characters>4830</Characters>
  <Application>Microsoft Office Word</Application>
  <DocSecurity>0</DocSecurity>
  <Lines>40</Lines>
  <Paragraphs>26</Paragraphs>
  <ScaleCrop>false</ScaleCrop>
  <Company/>
  <LinksUpToDate>false</LinksUpToDate>
  <CharactersWithSpaces>13276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Biruta Pedane</dc:creator>
  <cp:keywords/>
  <dc:description/>
  <cp:lastModifiedBy>Biruta Pedane</cp:lastModifiedBy>
  <cp:revision>1</cp:revision>
  <dcterms:created xsi:type="dcterms:W3CDTF">2021-07-01T11:46:00Z</dcterms:created>
  <dcterms:modified xsi:type="dcterms:W3CDTF">2021-07-01T11:46:00Z</dcterms:modified>
</cp:coreProperties>
</file>