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22D16" w:rsidR="002E082B" w:rsidP="002E082B" w:rsidRDefault="005B46A4" w14:paraId="33F01B5D" w14:textId="77777777">
      <w:pPr>
        <w:jc w:val="center"/>
        <w:rPr>
          <w:b/>
          <w:bCs/>
          <w:sz w:val="28"/>
          <w:szCs w:val="28"/>
        </w:rPr>
      </w:pPr>
      <w:r w:rsidRPr="00D22D16">
        <w:rPr>
          <w:sz w:val="28"/>
          <w:szCs w:val="28"/>
        </w:rPr>
        <w:t> </w:t>
      </w:r>
      <w:r w:rsidRPr="00D22D16" w:rsidR="002E082B">
        <w:rPr>
          <w:b/>
          <w:bCs/>
          <w:sz w:val="28"/>
          <w:szCs w:val="28"/>
        </w:rPr>
        <w:t>Ministru kabineta rīkojuma projekta</w:t>
      </w:r>
    </w:p>
    <w:p w:rsidRPr="00D22D16" w:rsidR="002E082B" w:rsidP="002E082B" w:rsidRDefault="002E082B" w14:paraId="1D56933B" w14:textId="77777777">
      <w:pPr>
        <w:jc w:val="center"/>
        <w:rPr>
          <w:b/>
          <w:bCs/>
          <w:sz w:val="28"/>
          <w:szCs w:val="28"/>
        </w:rPr>
      </w:pPr>
      <w:r w:rsidRPr="00D22D16">
        <w:rPr>
          <w:b/>
          <w:bCs/>
          <w:sz w:val="28"/>
          <w:szCs w:val="28"/>
        </w:rPr>
        <w:t>„Par finanšu līdzekļu piešķiršanu no valsts budžeta programmas</w:t>
      </w:r>
    </w:p>
    <w:p w:rsidRPr="00D22D16" w:rsidR="002E082B" w:rsidP="002E082B" w:rsidRDefault="002E082B" w14:paraId="1D5B0D1C" w14:textId="77777777">
      <w:pPr>
        <w:jc w:val="center"/>
        <w:rPr>
          <w:b/>
          <w:bCs/>
          <w:sz w:val="28"/>
          <w:szCs w:val="28"/>
        </w:rPr>
      </w:pPr>
      <w:r w:rsidRPr="00D22D16">
        <w:rPr>
          <w:b/>
          <w:bCs/>
          <w:sz w:val="28"/>
          <w:szCs w:val="28"/>
        </w:rPr>
        <w:t>„Līdzekļi neparedzētiem gadījumiem”” sākotnējās ietekmes novērtējuma</w:t>
      </w:r>
    </w:p>
    <w:p w:rsidRPr="00D22D16" w:rsidR="002E082B" w:rsidP="002E082B" w:rsidRDefault="002E082B" w14:paraId="4912BA5F" w14:textId="77777777">
      <w:pPr>
        <w:jc w:val="center"/>
        <w:rPr>
          <w:sz w:val="28"/>
          <w:szCs w:val="28"/>
        </w:rPr>
      </w:pPr>
      <w:r w:rsidRPr="00D22D16">
        <w:rPr>
          <w:b/>
          <w:bCs/>
          <w:sz w:val="28"/>
          <w:szCs w:val="28"/>
        </w:rPr>
        <w:t>ziņojums (anotācija)</w:t>
      </w:r>
    </w:p>
    <w:p w:rsidRPr="00D22D16" w:rsidR="002E082B" w:rsidP="002E082B" w:rsidRDefault="002E082B" w14:paraId="19085C00" w14:textId="7777777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68"/>
        <w:gridCol w:w="5121"/>
      </w:tblGrid>
      <w:tr w:rsidRPr="00D22D16" w:rsidR="002E082B" w:rsidTr="00FA5E5A" w14:paraId="47B0A9AA" w14:textId="77777777">
        <w:trPr>
          <w:tblCellSpacing w:w="20" w:type="dxa"/>
        </w:trPr>
        <w:tc>
          <w:tcPr>
            <w:tcW w:w="5000" w:type="pct"/>
            <w:gridSpan w:val="2"/>
            <w:vAlign w:val="center"/>
          </w:tcPr>
          <w:p w:rsidRPr="00D22D16" w:rsidR="002E082B" w:rsidP="005631EF" w:rsidRDefault="002E082B" w14:paraId="70BE1821" w14:textId="77777777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Pr="00D22D16" w:rsidR="002E082B" w:rsidTr="00FA5E5A" w14:paraId="04431433" w14:textId="77777777">
        <w:trPr>
          <w:trHeight w:val="1070"/>
          <w:tblCellSpacing w:w="20" w:type="dxa"/>
        </w:trPr>
        <w:tc>
          <w:tcPr>
            <w:tcW w:w="2270" w:type="pct"/>
          </w:tcPr>
          <w:p w:rsidRPr="00D22D16" w:rsidR="002E082B" w:rsidP="005631EF" w:rsidRDefault="002E082B" w14:paraId="5F69CC60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Mērķis, risinājums un projekta spēkā stāšanās laiks (500 zīmes bez atstarpēm)</w:t>
            </w:r>
          </w:p>
          <w:p w:rsidRPr="00D22D16" w:rsidR="002E082B" w:rsidP="005631EF" w:rsidRDefault="002E082B" w14:paraId="78D2751C" w14:textId="77777777">
            <w:pPr>
              <w:pStyle w:val="Pamatteksts3"/>
              <w:tabs>
                <w:tab w:val="left" w:pos="426"/>
                <w:tab w:val="left" w:pos="7088"/>
              </w:tabs>
              <w:spacing w:after="100" w:afterAutospacing="1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730" w:type="pct"/>
          </w:tcPr>
          <w:p w:rsidRPr="00D22D16" w:rsidR="002E082B" w:rsidP="005631EF" w:rsidRDefault="002E082B" w14:paraId="3CE3A523" w14:textId="77777777">
            <w:pPr>
              <w:pStyle w:val="Paraststmeklis"/>
              <w:spacing w:before="0" w:beforeAutospacing="0" w:after="0" w:afterAutospacing="0"/>
              <w:ind w:right="108"/>
              <w:jc w:val="both"/>
              <w:rPr>
                <w:color w:val="000000"/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Ministru kabineta rīkojuma projekts „Par finanšu līdzekļu piešķiršanu no valsts budžeta programmas „Līdzekļi neparedzētiem gadījumiem”” (turpmāk – Projekts) šo jomu neskar.</w:t>
            </w:r>
          </w:p>
        </w:tc>
      </w:tr>
    </w:tbl>
    <w:p w:rsidRPr="00D22D16" w:rsidR="002E082B" w:rsidP="002E082B" w:rsidRDefault="002E082B" w14:paraId="1C6A8BE5" w14:textId="77777777">
      <w:pPr>
        <w:jc w:val="both"/>
        <w:rPr>
          <w:sz w:val="28"/>
          <w:szCs w:val="28"/>
        </w:rPr>
      </w:pPr>
      <w:r w:rsidRPr="00D22D16">
        <w:rPr>
          <w:sz w:val="28"/>
          <w:szCs w:val="28"/>
        </w:rPr>
        <w:t> </w:t>
      </w: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3"/>
        <w:gridCol w:w="3695"/>
        <w:gridCol w:w="5101"/>
      </w:tblGrid>
      <w:tr w:rsidRPr="00D22D16" w:rsidR="002E082B" w:rsidTr="00FA5E5A" w14:paraId="2751D82B" w14:textId="77777777">
        <w:trPr>
          <w:tblCellSpacing w:w="20" w:type="dxa"/>
        </w:trPr>
        <w:tc>
          <w:tcPr>
            <w:tcW w:w="5000" w:type="pct"/>
            <w:gridSpan w:val="3"/>
            <w:vAlign w:val="center"/>
          </w:tcPr>
          <w:p w:rsidRPr="00D22D16" w:rsidR="002E082B" w:rsidP="005631EF" w:rsidRDefault="002E082B" w14:paraId="3E859FD7" w14:textId="77777777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Pr="00D22D16" w:rsidR="002E082B" w:rsidTr="00FA5E5A" w14:paraId="0B14B323" w14:textId="77777777">
        <w:trPr>
          <w:tblCellSpacing w:w="20" w:type="dxa"/>
        </w:trPr>
        <w:tc>
          <w:tcPr>
            <w:tcW w:w="289" w:type="pct"/>
          </w:tcPr>
          <w:p w:rsidRPr="00D22D16" w:rsidR="002E082B" w:rsidP="005631EF" w:rsidRDefault="002E082B" w14:paraId="09DEB407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</w:t>
            </w:r>
          </w:p>
        </w:tc>
        <w:tc>
          <w:tcPr>
            <w:tcW w:w="1980" w:type="pct"/>
          </w:tcPr>
          <w:p w:rsidRPr="00D22D16" w:rsidR="002E082B" w:rsidP="005631EF" w:rsidRDefault="002E082B" w14:paraId="3FAD322E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Pamatojums</w:t>
            </w:r>
          </w:p>
        </w:tc>
        <w:tc>
          <w:tcPr>
            <w:tcW w:w="2731" w:type="pct"/>
          </w:tcPr>
          <w:p w:rsidRPr="00D22D16" w:rsidR="002E082B" w:rsidP="005631EF" w:rsidRDefault="002E082B" w14:paraId="726AED0B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color w:val="000000"/>
                <w:sz w:val="28"/>
                <w:szCs w:val="28"/>
              </w:rPr>
              <w:t>Projekts sagatavots</w:t>
            </w:r>
            <w:r>
              <w:rPr>
                <w:color w:val="000000"/>
                <w:sz w:val="28"/>
                <w:szCs w:val="28"/>
              </w:rPr>
              <w:t>, pamatojoties uz</w:t>
            </w:r>
            <w:r w:rsidRPr="00D22D16">
              <w:rPr>
                <w:color w:val="000000"/>
                <w:sz w:val="28"/>
                <w:szCs w:val="28"/>
              </w:rPr>
              <w:t xml:space="preserve"> Ministru kabineta </w:t>
            </w:r>
            <w:proofErr w:type="gramStart"/>
            <w:r w:rsidRPr="00D22D16">
              <w:rPr>
                <w:color w:val="000000"/>
                <w:sz w:val="28"/>
                <w:szCs w:val="28"/>
              </w:rPr>
              <w:t>2018.gada</w:t>
            </w:r>
            <w:proofErr w:type="gramEnd"/>
            <w:r w:rsidRPr="00D22D16">
              <w:rPr>
                <w:color w:val="000000"/>
                <w:sz w:val="28"/>
                <w:szCs w:val="28"/>
              </w:rPr>
              <w:t xml:space="preserve"> 17.jūlija noteikumu Nr.421 </w:t>
            </w:r>
            <w:r w:rsidRPr="00D52E16">
              <w:rPr>
                <w:sz w:val="28"/>
                <w:szCs w:val="28"/>
              </w:rPr>
              <w:t>„</w:t>
            </w:r>
            <w:r w:rsidRPr="00D22D16">
              <w:rPr>
                <w:color w:val="000000"/>
                <w:sz w:val="28"/>
                <w:szCs w:val="28"/>
              </w:rPr>
              <w:t>Kārtība, kādā veic gadskārtējā valsts budžeta likumā noteiktās apropriācijas izmaiņas” 43.punktu.</w:t>
            </w:r>
          </w:p>
        </w:tc>
      </w:tr>
      <w:tr w:rsidRPr="00D22D16" w:rsidR="002E082B" w:rsidTr="00FA5E5A" w14:paraId="48960605" w14:textId="77777777">
        <w:trPr>
          <w:tblCellSpacing w:w="20" w:type="dxa"/>
        </w:trPr>
        <w:tc>
          <w:tcPr>
            <w:tcW w:w="289" w:type="pct"/>
          </w:tcPr>
          <w:p w:rsidRPr="00D22D16" w:rsidR="002E082B" w:rsidP="005631EF" w:rsidRDefault="002E082B" w14:paraId="34290E2C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</w:t>
            </w:r>
          </w:p>
        </w:tc>
        <w:tc>
          <w:tcPr>
            <w:tcW w:w="1980" w:type="pct"/>
          </w:tcPr>
          <w:p w:rsidRPr="00D22D16" w:rsidR="002E082B" w:rsidP="005631EF" w:rsidRDefault="002E082B" w14:paraId="26117A43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Pr="00D22D16" w:rsidR="002E082B" w:rsidP="005631EF" w:rsidRDefault="002E082B" w14:paraId="078C32BC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pct"/>
          </w:tcPr>
          <w:p w:rsidRPr="00D22D16" w:rsidR="002E082B" w:rsidP="005631EF" w:rsidRDefault="002E082B" w14:paraId="28831A55" w14:textId="77777777">
            <w:pPr>
              <w:jc w:val="both"/>
              <w:rPr>
                <w:sz w:val="28"/>
                <w:szCs w:val="28"/>
              </w:rPr>
            </w:pPr>
            <w:proofErr w:type="gramStart"/>
            <w:r w:rsidRPr="00D22D16">
              <w:rPr>
                <w:sz w:val="28"/>
                <w:szCs w:val="28"/>
              </w:rPr>
              <w:t>2021.gada</w:t>
            </w:r>
            <w:proofErr w:type="gramEnd"/>
            <w:r w:rsidRPr="00D22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D22D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maijā</w:t>
            </w:r>
            <w:r w:rsidRPr="00D22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tika izsludināti</w:t>
            </w:r>
            <w:r w:rsidRPr="00D22D16">
              <w:rPr>
                <w:sz w:val="28"/>
                <w:szCs w:val="28"/>
              </w:rPr>
              <w:t xml:space="preserve"> </w:t>
            </w:r>
            <w:r w:rsidRPr="000D75FB">
              <w:rPr>
                <w:sz w:val="28"/>
                <w:szCs w:val="28"/>
              </w:rPr>
              <w:t>Grozījumi Valsts un pašvaldību institūciju amatpersonu un darbinieku atlīdzības likumā</w:t>
            </w:r>
            <w:r>
              <w:rPr>
                <w:sz w:val="28"/>
                <w:szCs w:val="28"/>
              </w:rPr>
              <w:t xml:space="preserve">, kuri paredz </w:t>
            </w:r>
            <w:r w:rsidRPr="000D75FB">
              <w:rPr>
                <w:sz w:val="28"/>
                <w:szCs w:val="28"/>
              </w:rPr>
              <w:t>Nacionālās elektronisko plašsaziņas līdzekļu padomes locekļu atlīdzība</w:t>
            </w:r>
            <w:r>
              <w:rPr>
                <w:sz w:val="28"/>
                <w:szCs w:val="28"/>
              </w:rPr>
              <w:t xml:space="preserve">s pieaugumu no </w:t>
            </w:r>
            <w:r w:rsidRPr="00D22D16">
              <w:rPr>
                <w:sz w:val="28"/>
                <w:szCs w:val="28"/>
              </w:rPr>
              <w:t xml:space="preserve">2021.gada </w:t>
            </w:r>
            <w:r>
              <w:rPr>
                <w:sz w:val="28"/>
                <w:szCs w:val="28"/>
              </w:rPr>
              <w:t>1</w:t>
            </w:r>
            <w:r w:rsidRPr="00D22D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septembra (b</w:t>
            </w:r>
            <w:r w:rsidRPr="00AD4752">
              <w:rPr>
                <w:sz w:val="28"/>
                <w:szCs w:val="28"/>
              </w:rPr>
              <w:t>āzes mēnešalgas apmēr</w:t>
            </w:r>
            <w:r>
              <w:rPr>
                <w:sz w:val="28"/>
                <w:szCs w:val="28"/>
              </w:rPr>
              <w:t>am</w:t>
            </w:r>
            <w:r w:rsidRPr="00AD4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piemērojamais</w:t>
            </w:r>
            <w:r w:rsidRPr="00AD4752">
              <w:rPr>
                <w:sz w:val="28"/>
                <w:szCs w:val="28"/>
              </w:rPr>
              <w:t xml:space="preserve"> koeficient</w:t>
            </w:r>
            <w:r>
              <w:rPr>
                <w:sz w:val="28"/>
                <w:szCs w:val="28"/>
              </w:rPr>
              <w:t xml:space="preserve">s </w:t>
            </w:r>
            <w:r w:rsidRPr="00AD4752">
              <w:rPr>
                <w:sz w:val="28"/>
                <w:szCs w:val="28"/>
              </w:rPr>
              <w:t>padomes priekšsēdētājam pieaug</w:t>
            </w:r>
            <w:r>
              <w:rPr>
                <w:sz w:val="28"/>
                <w:szCs w:val="28"/>
              </w:rPr>
              <w:t>s</w:t>
            </w:r>
            <w:r w:rsidRPr="00AD4752">
              <w:rPr>
                <w:sz w:val="28"/>
                <w:szCs w:val="28"/>
              </w:rPr>
              <w:t xml:space="preserve"> no 2,78 līdz 4,48</w:t>
            </w:r>
            <w:r>
              <w:rPr>
                <w:sz w:val="28"/>
                <w:szCs w:val="28"/>
              </w:rPr>
              <w:t>,</w:t>
            </w:r>
            <w:r w:rsidRPr="00AD4752">
              <w:rPr>
                <w:sz w:val="28"/>
                <w:szCs w:val="28"/>
              </w:rPr>
              <w:t xml:space="preserve"> padomes priekšsēdētāja vietniekam no 2,64 līdz 4,34, bet padomes loceklim no 2,31 līdz 4,2</w:t>
            </w:r>
            <w:r>
              <w:rPr>
                <w:sz w:val="28"/>
                <w:szCs w:val="28"/>
              </w:rPr>
              <w:t>). L</w:t>
            </w:r>
            <w:r w:rsidRPr="000D75FB">
              <w:rPr>
                <w:sz w:val="28"/>
                <w:szCs w:val="28"/>
              </w:rPr>
              <w:t>ai saskaņā ar Valsts un pašvaldību institūciju amatpersonu un darbinieku atlīdzības likuma pārejas noteikumu 50.punktu nodrošinātu Nacionālās elektronisko plašsaziņas līdzekļu padomes locekļu atlīdzībai nepieciešamo papildu finansējumu 2021.</w:t>
            </w:r>
            <w:r w:rsidRPr="008A4E40">
              <w:rPr>
                <w:sz w:val="28"/>
                <w:szCs w:val="28"/>
              </w:rPr>
              <w:t>gadam</w:t>
            </w:r>
            <w:r>
              <w:rPr>
                <w:sz w:val="28"/>
                <w:szCs w:val="28"/>
              </w:rPr>
              <w:t xml:space="preserve"> (4 mēnešiem no </w:t>
            </w:r>
            <w:r w:rsidRPr="00D22D16">
              <w:rPr>
                <w:sz w:val="28"/>
                <w:szCs w:val="28"/>
              </w:rPr>
              <w:t xml:space="preserve">2021.gada </w:t>
            </w:r>
            <w:r>
              <w:rPr>
                <w:sz w:val="28"/>
                <w:szCs w:val="28"/>
              </w:rPr>
              <w:t>1</w:t>
            </w:r>
            <w:r w:rsidRPr="00D22D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septembra līdz gada beigām),</w:t>
            </w:r>
            <w:r w:rsidRPr="008A4E40">
              <w:rPr>
                <w:sz w:val="28"/>
                <w:szCs w:val="28"/>
              </w:rPr>
              <w:t xml:space="preserve"> </w:t>
            </w:r>
            <w:r w:rsidRPr="008A4E40">
              <w:rPr>
                <w:color w:val="000000"/>
                <w:sz w:val="28"/>
                <w:szCs w:val="28"/>
              </w:rPr>
              <w:t xml:space="preserve">Finanšu ministrijai no valsts budžeta </w:t>
            </w:r>
            <w:r w:rsidRPr="00AD4752">
              <w:rPr>
                <w:color w:val="000000"/>
                <w:sz w:val="28"/>
                <w:szCs w:val="28"/>
              </w:rPr>
              <w:lastRenderedPageBreak/>
              <w:t xml:space="preserve">programmas 02.00.00 „Līdzekļi neparedzētiem gadījumiem” ir nepieciešams piešķirt </w:t>
            </w:r>
            <w:r w:rsidRPr="00AD4752">
              <w:rPr>
                <w:sz w:val="28"/>
                <w:szCs w:val="28"/>
              </w:rPr>
              <w:t xml:space="preserve">45 973 </w:t>
            </w:r>
            <w:r w:rsidRPr="00AD4752">
              <w:rPr>
                <w:i/>
                <w:iCs/>
                <w:color w:val="000000"/>
                <w:sz w:val="28"/>
                <w:szCs w:val="28"/>
              </w:rPr>
              <w:t>euro</w:t>
            </w:r>
            <w:r w:rsidRPr="00AD4752">
              <w:rPr>
                <w:color w:val="000000"/>
                <w:sz w:val="28"/>
                <w:szCs w:val="28"/>
              </w:rPr>
              <w:t xml:space="preserve"> Nacionālajai elektronisko plašsaziņas līdzekļu padomei, </w:t>
            </w:r>
            <w:r w:rsidRPr="00AD4752">
              <w:rPr>
                <w:sz w:val="28"/>
                <w:szCs w:val="28"/>
              </w:rPr>
              <w:t>jo tai nav brīvu resursu</w:t>
            </w:r>
            <w:r>
              <w:rPr>
                <w:sz w:val="28"/>
                <w:szCs w:val="28"/>
              </w:rPr>
              <w:t xml:space="preserve"> šīs</w:t>
            </w:r>
            <w:r w:rsidRPr="00AD4752">
              <w:rPr>
                <w:sz w:val="28"/>
                <w:szCs w:val="28"/>
              </w:rPr>
              <w:t xml:space="preserve"> summ</w:t>
            </w:r>
            <w:r>
              <w:rPr>
                <w:sz w:val="28"/>
                <w:szCs w:val="28"/>
              </w:rPr>
              <w:t>as</w:t>
            </w:r>
            <w:r w:rsidRPr="00AD4752">
              <w:rPr>
                <w:sz w:val="28"/>
                <w:szCs w:val="28"/>
              </w:rPr>
              <w:t xml:space="preserve"> seg</w:t>
            </w:r>
            <w:r>
              <w:rPr>
                <w:sz w:val="28"/>
                <w:szCs w:val="28"/>
              </w:rPr>
              <w:t>šanai</w:t>
            </w:r>
            <w:r w:rsidRPr="00AD4752">
              <w:rPr>
                <w:sz w:val="28"/>
                <w:szCs w:val="28"/>
              </w:rPr>
              <w:t xml:space="preserve"> no 2021.gada budžetā plānotajiem resursiem</w:t>
            </w:r>
            <w:r w:rsidRPr="00AD4752">
              <w:rPr>
                <w:color w:val="000000"/>
                <w:sz w:val="28"/>
                <w:szCs w:val="28"/>
              </w:rPr>
              <w:t>.</w:t>
            </w:r>
          </w:p>
        </w:tc>
      </w:tr>
      <w:tr w:rsidRPr="00D22D16" w:rsidR="002E082B" w:rsidTr="00FA5E5A" w14:paraId="04B52BA3" w14:textId="77777777">
        <w:trPr>
          <w:tblCellSpacing w:w="20" w:type="dxa"/>
        </w:trPr>
        <w:tc>
          <w:tcPr>
            <w:tcW w:w="289" w:type="pct"/>
          </w:tcPr>
          <w:p w:rsidRPr="00D22D16" w:rsidR="002E082B" w:rsidP="005631EF" w:rsidRDefault="002E082B" w14:paraId="3E71D12C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0" w:type="pct"/>
          </w:tcPr>
          <w:p w:rsidRPr="00D22D16" w:rsidR="002E082B" w:rsidP="005631EF" w:rsidRDefault="002E082B" w14:paraId="2F725948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2731" w:type="pct"/>
          </w:tcPr>
          <w:p w:rsidRPr="00D22D16" w:rsidR="002E082B" w:rsidP="005631EF" w:rsidRDefault="002E082B" w14:paraId="50D7DFE5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Nacionālā elektronisko plašsaziņas līdzekļu padome, Kultūras ministrija.</w:t>
            </w:r>
          </w:p>
        </w:tc>
      </w:tr>
      <w:tr w:rsidRPr="00D22D16" w:rsidR="002E082B" w:rsidTr="00FA5E5A" w14:paraId="0EA92F6D" w14:textId="77777777">
        <w:trPr>
          <w:tblCellSpacing w:w="20" w:type="dxa"/>
        </w:trPr>
        <w:tc>
          <w:tcPr>
            <w:tcW w:w="289" w:type="pct"/>
          </w:tcPr>
          <w:p w:rsidRPr="00D22D16" w:rsidR="002E082B" w:rsidP="005631EF" w:rsidRDefault="002E082B" w14:paraId="3557BEB8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4.</w:t>
            </w:r>
          </w:p>
        </w:tc>
        <w:tc>
          <w:tcPr>
            <w:tcW w:w="1980" w:type="pct"/>
          </w:tcPr>
          <w:p w:rsidRPr="00D22D16" w:rsidR="002E082B" w:rsidP="005631EF" w:rsidRDefault="002E082B" w14:paraId="023C5CA8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Cita informācija</w:t>
            </w:r>
          </w:p>
        </w:tc>
        <w:tc>
          <w:tcPr>
            <w:tcW w:w="2731" w:type="pct"/>
          </w:tcPr>
          <w:p w:rsidRPr="00D22D16" w:rsidR="002E082B" w:rsidP="005631EF" w:rsidRDefault="002E082B" w14:paraId="60BB5B44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Nav</w:t>
            </w:r>
          </w:p>
        </w:tc>
      </w:tr>
    </w:tbl>
    <w:p w:rsidRPr="00D22D16" w:rsidR="002E082B" w:rsidP="002E082B" w:rsidRDefault="002E082B" w14:paraId="0B8D2C69" w14:textId="77777777">
      <w:pPr>
        <w:jc w:val="both"/>
        <w:rPr>
          <w:sz w:val="28"/>
          <w:szCs w:val="28"/>
        </w:rPr>
      </w:pPr>
      <w:r w:rsidRPr="00D22D16">
        <w:rPr>
          <w:sz w:val="28"/>
          <w:szCs w:val="28"/>
        </w:rPr>
        <w:t> </w:t>
      </w: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9"/>
      </w:tblGrid>
      <w:tr w:rsidRPr="00D22D16" w:rsidR="002E082B" w:rsidTr="00FA5E5A" w14:paraId="2482EC2D" w14:textId="77777777">
        <w:trPr>
          <w:tblCellSpacing w:w="20" w:type="dxa"/>
        </w:trPr>
        <w:tc>
          <w:tcPr>
            <w:tcW w:w="5000" w:type="pct"/>
            <w:vAlign w:val="center"/>
          </w:tcPr>
          <w:p w:rsidR="002E082B" w:rsidP="005631EF" w:rsidRDefault="002E082B" w14:paraId="41ED7A62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 xml:space="preserve">II. Tiesību akta projekta ietekme uz sabiedrību, tautsaimniecības attīstību </w:t>
            </w:r>
          </w:p>
          <w:p w:rsidRPr="00D22D16" w:rsidR="002E082B" w:rsidP="005631EF" w:rsidRDefault="002E082B" w14:paraId="4E7CCAF5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un administratīvo slogu</w:t>
            </w:r>
          </w:p>
        </w:tc>
      </w:tr>
      <w:tr w:rsidRPr="00D22D16" w:rsidR="002E082B" w:rsidTr="00FA5E5A" w14:paraId="3E9BE033" w14:textId="77777777">
        <w:trPr>
          <w:tblCellSpacing w:w="20" w:type="dxa"/>
        </w:trPr>
        <w:tc>
          <w:tcPr>
            <w:tcW w:w="5000" w:type="pct"/>
          </w:tcPr>
          <w:p w:rsidRPr="00D22D16" w:rsidR="002E082B" w:rsidP="005631EF" w:rsidRDefault="002E082B" w14:paraId="4DAB45A6" w14:textId="77777777">
            <w:pPr>
              <w:jc w:val="center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</w:tbl>
    <w:p w:rsidRPr="00D22D16" w:rsidR="002E082B" w:rsidP="002E082B" w:rsidRDefault="002E082B" w14:paraId="7CF4D7C5" w14:textId="77777777">
      <w:pPr>
        <w:jc w:val="both"/>
        <w:rPr>
          <w:sz w:val="28"/>
          <w:szCs w:val="28"/>
        </w:rPr>
      </w:pPr>
      <w:r w:rsidRPr="00D22D16">
        <w:rPr>
          <w:sz w:val="28"/>
          <w:szCs w:val="28"/>
        </w:rPr>
        <w:t> </w:t>
      </w: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73"/>
        <w:gridCol w:w="1132"/>
        <w:gridCol w:w="1145"/>
        <w:gridCol w:w="942"/>
        <w:gridCol w:w="1145"/>
        <w:gridCol w:w="942"/>
        <w:gridCol w:w="1145"/>
        <w:gridCol w:w="1165"/>
      </w:tblGrid>
      <w:tr w:rsidRPr="00D22D16" w:rsidR="002E082B" w:rsidTr="00FA5E5A" w14:paraId="21F33156" w14:textId="77777777">
        <w:trPr>
          <w:tblCellSpacing w:w="20" w:type="dxa"/>
        </w:trPr>
        <w:tc>
          <w:tcPr>
            <w:tcW w:w="5000" w:type="pct"/>
            <w:gridSpan w:val="8"/>
            <w:vAlign w:val="center"/>
          </w:tcPr>
          <w:p w:rsidR="002E082B" w:rsidP="005631EF" w:rsidRDefault="002E082B" w14:paraId="5806993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 xml:space="preserve">III. Tiesību akta projekta ietekme uz valsts budžetu un pašvaldību </w:t>
            </w:r>
          </w:p>
          <w:p w:rsidRPr="00D22D16" w:rsidR="002E082B" w:rsidP="005631EF" w:rsidRDefault="002E082B" w14:paraId="1030247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budžetiem</w:t>
            </w:r>
          </w:p>
        </w:tc>
      </w:tr>
      <w:tr w:rsidRPr="00D22D16" w:rsidR="002E082B" w:rsidTr="00FA5E5A" w14:paraId="66926FA4" w14:textId="77777777">
        <w:trPr>
          <w:tblCellSpacing w:w="20" w:type="dxa"/>
        </w:trPr>
        <w:tc>
          <w:tcPr>
            <w:tcW w:w="963" w:type="pct"/>
            <w:vMerge w:val="restart"/>
            <w:vAlign w:val="center"/>
          </w:tcPr>
          <w:p w:rsidRPr="00D22D16" w:rsidR="002E082B" w:rsidP="005631EF" w:rsidRDefault="002E082B" w14:paraId="09B876C1" w14:textId="77777777">
            <w:pPr>
              <w:spacing w:before="100" w:beforeAutospacing="1" w:after="100" w:afterAutospacing="1" w:line="228" w:lineRule="atLeast"/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Rādītāji</w:t>
            </w:r>
          </w:p>
          <w:p w:rsidRPr="00D22D16" w:rsidR="002E082B" w:rsidP="005631EF" w:rsidRDefault="002E082B" w14:paraId="04B07AAC" w14:textId="77777777">
            <w:pPr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vMerge w:val="restart"/>
            <w:vAlign w:val="center"/>
          </w:tcPr>
          <w:p w:rsidRPr="00D22D16" w:rsidR="002E082B" w:rsidP="005631EF" w:rsidRDefault="002E082B" w14:paraId="015EC093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2021.</w:t>
            </w:r>
          </w:p>
        </w:tc>
        <w:tc>
          <w:tcPr>
            <w:tcW w:w="2867" w:type="pct"/>
            <w:gridSpan w:val="5"/>
            <w:vAlign w:val="center"/>
          </w:tcPr>
          <w:p w:rsidRPr="00D22D16" w:rsidR="002E082B" w:rsidP="005631EF" w:rsidRDefault="002E082B" w14:paraId="2B0E81B3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Turpmākie trīs gadi (</w:t>
            </w:r>
            <w:r w:rsidRPr="00D22D16">
              <w:rPr>
                <w:i/>
                <w:iCs/>
                <w:sz w:val="28"/>
                <w:szCs w:val="28"/>
              </w:rPr>
              <w:t>euro</w:t>
            </w:r>
            <w:r w:rsidRPr="00D22D16">
              <w:rPr>
                <w:sz w:val="28"/>
                <w:szCs w:val="28"/>
              </w:rPr>
              <w:t>)</w:t>
            </w:r>
          </w:p>
        </w:tc>
      </w:tr>
      <w:tr w:rsidRPr="00D22D16" w:rsidR="002E082B" w:rsidTr="00FA5E5A" w14:paraId="56682514" w14:textId="77777777">
        <w:trPr>
          <w:tblCellSpacing w:w="20" w:type="dxa"/>
        </w:trPr>
        <w:tc>
          <w:tcPr>
            <w:tcW w:w="963" w:type="pct"/>
            <w:vMerge/>
            <w:vAlign w:val="center"/>
          </w:tcPr>
          <w:p w:rsidRPr="00D22D16" w:rsidR="002E082B" w:rsidP="005631EF" w:rsidRDefault="002E082B" w14:paraId="1AD1D417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vMerge/>
            <w:vAlign w:val="center"/>
          </w:tcPr>
          <w:p w:rsidRPr="00D22D16" w:rsidR="002E082B" w:rsidP="005631EF" w:rsidRDefault="002E082B" w14:paraId="7EC2288E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gridSpan w:val="2"/>
            <w:vAlign w:val="center"/>
          </w:tcPr>
          <w:p w:rsidRPr="00D22D16" w:rsidR="002E082B" w:rsidP="005631EF" w:rsidRDefault="002E082B" w14:paraId="799AC43F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2022.</w:t>
            </w:r>
          </w:p>
        </w:tc>
        <w:tc>
          <w:tcPr>
            <w:tcW w:w="1112" w:type="pct"/>
            <w:gridSpan w:val="2"/>
            <w:vAlign w:val="center"/>
          </w:tcPr>
          <w:p w:rsidRPr="00D22D16" w:rsidR="002E082B" w:rsidP="005631EF" w:rsidRDefault="002E082B" w14:paraId="41679E0C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2023.</w:t>
            </w:r>
          </w:p>
        </w:tc>
        <w:tc>
          <w:tcPr>
            <w:tcW w:w="644" w:type="pct"/>
            <w:vAlign w:val="center"/>
          </w:tcPr>
          <w:p w:rsidRPr="00D22D16" w:rsidR="002E082B" w:rsidP="005631EF" w:rsidRDefault="002E082B" w14:paraId="3F270142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2024.</w:t>
            </w:r>
          </w:p>
        </w:tc>
      </w:tr>
      <w:tr w:rsidRPr="00D22D16" w:rsidR="002E082B" w:rsidTr="00FA5E5A" w14:paraId="25B0C25F" w14:textId="77777777">
        <w:trPr>
          <w:tblCellSpacing w:w="20" w:type="dxa"/>
        </w:trPr>
        <w:tc>
          <w:tcPr>
            <w:tcW w:w="963" w:type="pct"/>
            <w:vMerge/>
            <w:vAlign w:val="center"/>
          </w:tcPr>
          <w:p w:rsidRPr="00D22D16" w:rsidR="002E082B" w:rsidP="005631EF" w:rsidRDefault="002E082B" w14:paraId="746363E1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Pr="00D22D16" w:rsidR="002E082B" w:rsidP="005631EF" w:rsidRDefault="002E082B" w14:paraId="23FB92FF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614" w:type="pct"/>
          </w:tcPr>
          <w:p w:rsidRPr="00D22D16" w:rsidR="002E082B" w:rsidP="005631EF" w:rsidRDefault="002E082B" w14:paraId="0542F59D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 kārtējā gadā, salīdzinot ar valsts budžetu kārtējam gadam</w:t>
            </w:r>
          </w:p>
        </w:tc>
        <w:tc>
          <w:tcPr>
            <w:tcW w:w="498" w:type="pct"/>
          </w:tcPr>
          <w:p w:rsidRPr="00D22D16" w:rsidR="002E082B" w:rsidP="005631EF" w:rsidRDefault="002E082B" w14:paraId="74D54B9E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saskaņā ar vidēja termiņa budžeta ietvaru</w:t>
            </w:r>
          </w:p>
        </w:tc>
        <w:tc>
          <w:tcPr>
            <w:tcW w:w="614" w:type="pct"/>
          </w:tcPr>
          <w:p w:rsidRPr="00D22D16" w:rsidR="002E082B" w:rsidP="005631EF" w:rsidRDefault="002E082B" w14:paraId="35C2E675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izmaiņas, salīdzinot ar vidēja termiņa budžeta ietvaru 2022. gadam</w:t>
            </w:r>
          </w:p>
        </w:tc>
        <w:tc>
          <w:tcPr>
            <w:tcW w:w="498" w:type="pct"/>
          </w:tcPr>
          <w:p w:rsidRPr="00D22D16" w:rsidR="002E082B" w:rsidP="005631EF" w:rsidRDefault="002E082B" w14:paraId="110FEC4D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saskaņā ar vidēja termiņa budžeta ietvaru</w:t>
            </w:r>
          </w:p>
        </w:tc>
        <w:tc>
          <w:tcPr>
            <w:tcW w:w="614" w:type="pct"/>
          </w:tcPr>
          <w:p w:rsidRPr="00D22D16" w:rsidR="002E082B" w:rsidP="005631EF" w:rsidRDefault="002E082B" w14:paraId="2AE8F8A0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izmaiņas, salīdzinot ar vidēja termiņa budžeta ietvaru 2023. gadam</w:t>
            </w:r>
          </w:p>
        </w:tc>
        <w:tc>
          <w:tcPr>
            <w:tcW w:w="644" w:type="pct"/>
          </w:tcPr>
          <w:p w:rsidRPr="00D22D16" w:rsidR="002E082B" w:rsidP="005631EF" w:rsidRDefault="002E082B" w14:paraId="4696E3DF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izmaiņas, salīdzinot ar vidēja termiņa budžeta ietvaru 2023. gadam</w:t>
            </w:r>
          </w:p>
        </w:tc>
      </w:tr>
      <w:tr w:rsidRPr="00D22D16" w:rsidR="002E082B" w:rsidTr="00FA5E5A" w14:paraId="3483FB7C" w14:textId="77777777">
        <w:trPr>
          <w:tblCellSpacing w:w="20" w:type="dxa"/>
        </w:trPr>
        <w:tc>
          <w:tcPr>
            <w:tcW w:w="963" w:type="pct"/>
            <w:vAlign w:val="center"/>
          </w:tcPr>
          <w:p w:rsidRPr="00D22D16" w:rsidR="002E082B" w:rsidP="005631EF" w:rsidRDefault="002E082B" w14:paraId="091D809F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vAlign w:val="center"/>
          </w:tcPr>
          <w:p w:rsidRPr="00D22D16" w:rsidR="002E082B" w:rsidP="005631EF" w:rsidRDefault="002E082B" w14:paraId="4BDBF986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5100787F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1A1B92C8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4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2EDAB2B0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1705CDFA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6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54BBA099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center"/>
          </w:tcPr>
          <w:p w:rsidRPr="00D22D16" w:rsidR="002E082B" w:rsidP="005631EF" w:rsidRDefault="002E082B" w14:paraId="3D0CF0F0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8</w:t>
            </w:r>
          </w:p>
        </w:tc>
      </w:tr>
      <w:tr w:rsidRPr="00D22D16" w:rsidR="002E082B" w:rsidTr="00FA5E5A" w14:paraId="23794BCE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465384C9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 Budžeta ieņēmumi</w:t>
            </w:r>
          </w:p>
        </w:tc>
        <w:tc>
          <w:tcPr>
            <w:tcW w:w="556" w:type="pct"/>
          </w:tcPr>
          <w:p w:rsidRPr="00D22D16" w:rsidR="002E082B" w:rsidP="005631EF" w:rsidRDefault="002E082B" w14:paraId="0D19EA77" w14:textId="77777777">
            <w:pPr>
              <w:jc w:val="center"/>
              <w:rPr>
                <w:sz w:val="28"/>
                <w:szCs w:val="28"/>
              </w:rPr>
            </w:pPr>
            <w:r w:rsidRPr="00D22D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364489BC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7E64B51A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7884B568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16304681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550D6FBF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7F84C4A8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14CD3502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7F5DF187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 xml:space="preserve">1.1. valsts pamatbudžets, </w:t>
            </w:r>
            <w:r w:rsidRPr="00D22D16">
              <w:rPr>
                <w:sz w:val="28"/>
                <w:szCs w:val="28"/>
              </w:rPr>
              <w:lastRenderedPageBreak/>
              <w:t>tajā skaitā ieņēmumi no maksas pakalpojumiem un citi pašu ieņēmumi</w:t>
            </w:r>
          </w:p>
        </w:tc>
        <w:tc>
          <w:tcPr>
            <w:tcW w:w="556" w:type="pct"/>
          </w:tcPr>
          <w:p w:rsidRPr="00D22D16" w:rsidR="002E082B" w:rsidP="005631EF" w:rsidRDefault="002E082B" w14:paraId="5207C420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lastRenderedPageBreak/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0EFBD1AD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6DA7895A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4F4D21AE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5D11DDE9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117B1B59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3AD4E7CB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5BC23E1E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1F775489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556" w:type="pct"/>
          </w:tcPr>
          <w:p w:rsidRPr="00D22D16" w:rsidR="002E082B" w:rsidP="005631EF" w:rsidRDefault="002E082B" w14:paraId="3FF2D832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625CDA7E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1F36F5EF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1A85835B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0F0CF003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7E604E2C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4FA3D8D5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40760B29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45D5DD77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556" w:type="pct"/>
          </w:tcPr>
          <w:p w:rsidRPr="00D22D16" w:rsidR="002E082B" w:rsidP="005631EF" w:rsidRDefault="002E082B" w14:paraId="389DEC88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1D87F021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0313E9D9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2DFEE4BA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26998492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6A7FAD1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3F1FC28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64DBAEB7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0B96E922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 Budžeta izdevumi</w:t>
            </w:r>
          </w:p>
        </w:tc>
        <w:tc>
          <w:tcPr>
            <w:tcW w:w="556" w:type="pct"/>
            <w:vAlign w:val="center"/>
          </w:tcPr>
          <w:p w:rsidRPr="00D22D16" w:rsidR="002E082B" w:rsidP="005631EF" w:rsidRDefault="002E082B" w14:paraId="377A6A8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6E55D18C" w14:textId="7777777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D75F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D75FB">
              <w:rPr>
                <w:sz w:val="28"/>
                <w:szCs w:val="28"/>
              </w:rPr>
              <w:t>973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6D54E88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6D68BEC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666BECB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55656EF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:rsidRPr="00D22D16" w:rsidR="002E082B" w:rsidP="005631EF" w:rsidRDefault="002E082B" w14:paraId="2F5ED9F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3C5E9F22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5ACA9D36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556" w:type="pct"/>
            <w:vAlign w:val="center"/>
          </w:tcPr>
          <w:p w:rsidRPr="00D22D16" w:rsidR="002E082B" w:rsidP="005631EF" w:rsidRDefault="002E082B" w14:paraId="29FE0EB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12864943" w14:textId="77777777">
            <w:pPr>
              <w:spacing w:line="259" w:lineRule="auto"/>
              <w:jc w:val="center"/>
              <w:rPr>
                <w:sz w:val="28"/>
                <w:szCs w:val="28"/>
                <w:highlight w:val="yellow"/>
              </w:rPr>
            </w:pPr>
            <w:r w:rsidRPr="000D75F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D75FB">
              <w:rPr>
                <w:sz w:val="28"/>
                <w:szCs w:val="28"/>
              </w:rPr>
              <w:t>973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44B5423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78BA1EA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173600D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0DCB502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:rsidRPr="00D22D16" w:rsidR="002E082B" w:rsidP="005631EF" w:rsidRDefault="002E082B" w14:paraId="4BCE173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5BAB66A9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150BADA0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556" w:type="pct"/>
          </w:tcPr>
          <w:p w:rsidRPr="00D22D16" w:rsidR="002E082B" w:rsidP="005631EF" w:rsidRDefault="002E082B" w14:paraId="7C109788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2392366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3B3D691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3DF4FA6F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7A3849D0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5C74BA6E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0520F032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065BC58E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598E3995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556" w:type="pct"/>
          </w:tcPr>
          <w:p w:rsidRPr="00D22D16" w:rsidR="002E082B" w:rsidP="005631EF" w:rsidRDefault="002E082B" w14:paraId="40440150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0BF34164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0E205F51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0AF54C91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7F871B9B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7D3B0DB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5D89B118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3B554BF0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09B69847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 Finansiālā ietekme</w:t>
            </w:r>
          </w:p>
        </w:tc>
        <w:tc>
          <w:tcPr>
            <w:tcW w:w="556" w:type="pct"/>
            <w:vAlign w:val="center"/>
          </w:tcPr>
          <w:p w:rsidRPr="00D22D16" w:rsidR="002E082B" w:rsidP="005631EF" w:rsidRDefault="002E082B" w14:paraId="3CFC9E6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4255C19D" w14:textId="7777777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-</w:t>
            </w:r>
            <w:r w:rsidRPr="000D75F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D75FB">
              <w:rPr>
                <w:sz w:val="28"/>
                <w:szCs w:val="28"/>
              </w:rPr>
              <w:t>973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6EF188F6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432038E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4633F9B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52FFCEB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:rsidRPr="00D22D16" w:rsidR="002E082B" w:rsidP="005631EF" w:rsidRDefault="002E082B" w14:paraId="3AAA88F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5CD0E160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524F18B8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556" w:type="pct"/>
            <w:vAlign w:val="center"/>
          </w:tcPr>
          <w:p w:rsidRPr="00D22D16" w:rsidR="002E082B" w:rsidP="005631EF" w:rsidRDefault="002E082B" w14:paraId="3F741F3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64DE48AF" w14:textId="7777777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-</w:t>
            </w:r>
            <w:r w:rsidRPr="000D75F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D75FB">
              <w:rPr>
                <w:sz w:val="28"/>
                <w:szCs w:val="28"/>
              </w:rPr>
              <w:t>973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3E975B4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4F94CC3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Align w:val="center"/>
          </w:tcPr>
          <w:p w:rsidRPr="00D22D16" w:rsidR="002E082B" w:rsidP="005631EF" w:rsidRDefault="002E082B" w14:paraId="1A6B40A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Pr="00D22D16" w:rsidR="002E082B" w:rsidP="005631EF" w:rsidRDefault="002E082B" w14:paraId="1F9B5AD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:rsidRPr="00D22D16" w:rsidR="002E082B" w:rsidP="005631EF" w:rsidRDefault="002E082B" w14:paraId="25F9021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58A1992F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5462F73E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556" w:type="pct"/>
          </w:tcPr>
          <w:p w:rsidRPr="00D22D16" w:rsidR="002E082B" w:rsidP="005631EF" w:rsidRDefault="002E082B" w14:paraId="73B3D76B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555C122A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4831BD7C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373F0AED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0892E78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06C85606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4E98D7F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3D9CB50B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4A7E8F58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556" w:type="pct"/>
          </w:tcPr>
          <w:p w:rsidRPr="00D22D16" w:rsidR="002E082B" w:rsidP="005631EF" w:rsidRDefault="002E082B" w14:paraId="744DF2B1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6D645454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3D04073D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5E967837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4D8EB3A4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4" w:type="pct"/>
          </w:tcPr>
          <w:p w:rsidRPr="00D22D16" w:rsidR="002E082B" w:rsidP="005631EF" w:rsidRDefault="002E082B" w14:paraId="768E765D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525FBB2E" w14:textId="77777777">
            <w:pPr>
              <w:jc w:val="center"/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Pr="00D22D16" w:rsidR="002E082B" w:rsidTr="00FA5E5A" w14:paraId="520EE653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3FDA3EF6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 xml:space="preserve">4. Finanšu līdzekļi papildu izdevumu finansēšanai </w:t>
            </w:r>
            <w:r w:rsidRPr="00D22D16">
              <w:rPr>
                <w:sz w:val="28"/>
                <w:szCs w:val="28"/>
              </w:rPr>
              <w:lastRenderedPageBreak/>
              <w:t>(kompensējošu izdevumu samazinājumu norāda ar "+" zīmi)</w:t>
            </w:r>
          </w:p>
        </w:tc>
        <w:tc>
          <w:tcPr>
            <w:tcW w:w="556" w:type="pct"/>
          </w:tcPr>
          <w:p w:rsidRPr="00D22D16" w:rsidR="002E082B" w:rsidP="005631EF" w:rsidRDefault="002E082B" w14:paraId="32AE46A6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614" w:type="pct"/>
          </w:tcPr>
          <w:p w:rsidRPr="00D22D16" w:rsidR="002E082B" w:rsidP="005631EF" w:rsidRDefault="002E082B" w14:paraId="62D91BA1" w14:textId="77777777">
            <w:pPr>
              <w:spacing w:line="259" w:lineRule="auto"/>
              <w:jc w:val="center"/>
              <w:rPr>
                <w:sz w:val="28"/>
                <w:szCs w:val="28"/>
                <w:highlight w:val="yellow"/>
              </w:rPr>
            </w:pPr>
            <w:r w:rsidRPr="000D75F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D75FB">
              <w:rPr>
                <w:sz w:val="28"/>
                <w:szCs w:val="28"/>
              </w:rPr>
              <w:t>973</w:t>
            </w:r>
          </w:p>
        </w:tc>
        <w:tc>
          <w:tcPr>
            <w:tcW w:w="498" w:type="pct"/>
          </w:tcPr>
          <w:p w:rsidRPr="00D22D16" w:rsidR="002E082B" w:rsidP="005631EF" w:rsidRDefault="002E082B" w14:paraId="3E05DAB6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:rsidRPr="00D22D16" w:rsidR="002E082B" w:rsidP="005631EF" w:rsidRDefault="002E082B" w14:paraId="01A44F3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</w:tcPr>
          <w:p w:rsidRPr="00D22D16" w:rsidR="002E082B" w:rsidP="005631EF" w:rsidRDefault="002E082B" w14:paraId="177E9A7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:rsidRPr="00D22D16" w:rsidR="002E082B" w:rsidP="005631EF" w:rsidRDefault="002E082B" w14:paraId="6EF8794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4D51B16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755076A3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20A6E34F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 Precizēta finansiālā ietekme</w:t>
            </w:r>
          </w:p>
        </w:tc>
        <w:tc>
          <w:tcPr>
            <w:tcW w:w="556" w:type="pct"/>
            <w:vMerge w:val="restart"/>
          </w:tcPr>
          <w:p w:rsidRPr="00D22D16" w:rsidR="002E082B" w:rsidP="005631EF" w:rsidRDefault="002E082B" w14:paraId="3D6B096B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:rsidRPr="00D22D16" w:rsidR="002E082B" w:rsidP="005631EF" w:rsidRDefault="002E082B" w14:paraId="4E551ECB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 w:val="restart"/>
          </w:tcPr>
          <w:p w:rsidRPr="00D22D16" w:rsidR="002E082B" w:rsidP="005631EF" w:rsidRDefault="002E082B" w14:paraId="328B322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:rsidRPr="00D22D16" w:rsidR="002E082B" w:rsidP="005631EF" w:rsidRDefault="002E082B" w14:paraId="2110DFC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 w:val="restart"/>
          </w:tcPr>
          <w:p w:rsidRPr="00D22D16" w:rsidR="002E082B" w:rsidP="005631EF" w:rsidRDefault="002E082B" w14:paraId="1F65EA0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4" w:type="pct"/>
          </w:tcPr>
          <w:p w:rsidRPr="00D22D16" w:rsidR="002E082B" w:rsidP="005631EF" w:rsidRDefault="002E082B" w14:paraId="23CFD76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778646A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5FB62D03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2AE437A3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556" w:type="pct"/>
            <w:vMerge/>
            <w:vAlign w:val="center"/>
          </w:tcPr>
          <w:p w:rsidRPr="00D22D16" w:rsidR="002E082B" w:rsidP="005631EF" w:rsidRDefault="002E082B" w14:paraId="10373BC3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31FC6F9F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:rsidRPr="00D22D16" w:rsidR="002E082B" w:rsidP="005631EF" w:rsidRDefault="002E082B" w14:paraId="3C53010D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575C24D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:rsidRPr="00D22D16" w:rsidR="002E082B" w:rsidP="005631EF" w:rsidRDefault="002E082B" w14:paraId="04FE3323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26FC6FD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3D5ACEA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7F6F7614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6AE9B836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556" w:type="pct"/>
            <w:vMerge/>
            <w:vAlign w:val="center"/>
          </w:tcPr>
          <w:p w:rsidRPr="00D22D16" w:rsidR="002E082B" w:rsidP="005631EF" w:rsidRDefault="002E082B" w14:paraId="234CCD94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54777836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:rsidRPr="00D22D16" w:rsidR="002E082B" w:rsidP="005631EF" w:rsidRDefault="002E082B" w14:paraId="064B9A78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1D71A1D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:rsidRPr="00D22D16" w:rsidR="002E082B" w:rsidP="005631EF" w:rsidRDefault="002E082B" w14:paraId="2B59BFEB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2D2470E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6A0C92F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4CF4578D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7211E7BB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5.3. pašvaldību budžets</w:t>
            </w:r>
          </w:p>
        </w:tc>
        <w:tc>
          <w:tcPr>
            <w:tcW w:w="556" w:type="pct"/>
            <w:vMerge/>
            <w:vAlign w:val="center"/>
          </w:tcPr>
          <w:p w:rsidRPr="00D22D16" w:rsidR="002E082B" w:rsidP="005631EF" w:rsidRDefault="002E082B" w14:paraId="33F3E48D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2E93B331" w14:textId="77777777">
            <w:pPr>
              <w:jc w:val="center"/>
              <w:rPr>
                <w:sz w:val="28"/>
                <w:szCs w:val="28"/>
                <w:highlight w:val="yellow"/>
              </w:rPr>
            </w:pPr>
            <w:r w:rsidRPr="00D22D16"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:rsidRPr="00D22D16" w:rsidR="002E082B" w:rsidP="005631EF" w:rsidRDefault="002E082B" w14:paraId="734E1A97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165F111D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vMerge/>
            <w:vAlign w:val="center"/>
          </w:tcPr>
          <w:p w:rsidRPr="00D22D16" w:rsidR="002E082B" w:rsidP="005631EF" w:rsidRDefault="002E082B" w14:paraId="58203B8F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Pr="00D22D16" w:rsidR="002E082B" w:rsidP="005631EF" w:rsidRDefault="002E082B" w14:paraId="6799B55D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Pr="00D22D16" w:rsidR="002E082B" w:rsidP="005631EF" w:rsidRDefault="002E082B" w14:paraId="0ECF9784" w14:textId="77777777">
            <w:pPr>
              <w:jc w:val="center"/>
              <w:rPr>
                <w:sz w:val="28"/>
                <w:szCs w:val="28"/>
              </w:rPr>
            </w:pPr>
            <w:r w:rsidRPr="00D52E16">
              <w:rPr>
                <w:sz w:val="28"/>
                <w:szCs w:val="28"/>
              </w:rPr>
              <w:t>0</w:t>
            </w:r>
          </w:p>
        </w:tc>
      </w:tr>
      <w:tr w:rsidRPr="00D22D16" w:rsidR="002E082B" w:rsidTr="00FA5E5A" w14:paraId="4F076D32" w14:textId="77777777">
        <w:trPr>
          <w:trHeight w:val="3314"/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54CFA9B1" w14:textId="77777777">
            <w:pPr>
              <w:rPr>
                <w:sz w:val="28"/>
                <w:szCs w:val="28"/>
                <w:highlight w:val="yellow"/>
              </w:rPr>
            </w:pPr>
            <w:r w:rsidRPr="00D22D16">
              <w:rPr>
                <w:sz w:val="28"/>
                <w:szCs w:val="28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37" w:type="pct"/>
            <w:gridSpan w:val="7"/>
            <w:vMerge w:val="restart"/>
          </w:tcPr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840"/>
              <w:gridCol w:w="960"/>
              <w:gridCol w:w="960"/>
              <w:gridCol w:w="960"/>
              <w:gridCol w:w="1180"/>
              <w:gridCol w:w="1180"/>
            </w:tblGrid>
            <w:tr w:rsidRPr="006E7B98" w:rsidR="002E082B" w:rsidTr="005631EF" w14:paraId="369AB069" w14:textId="77777777">
              <w:trPr>
                <w:trHeight w:val="675"/>
              </w:trPr>
              <w:tc>
                <w:tcPr>
                  <w:tcW w:w="1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3DADD39A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atlīdzība no </w:t>
                  </w:r>
                  <w:proofErr w:type="gramStart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2021.gada</w:t>
                  </w:r>
                  <w:proofErr w:type="gramEnd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 1.septembra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509B8ECA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koeficients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7AC1BF09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bāzes alga 2021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75CAAC6F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mēnešalga</w:t>
                  </w:r>
                </w:p>
              </w:tc>
              <w:tc>
                <w:tcPr>
                  <w:tcW w:w="11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7B461B60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VSAOI 23,59%</w:t>
                  </w:r>
                </w:p>
              </w:tc>
              <w:tc>
                <w:tcPr>
                  <w:tcW w:w="11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4B953839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kopā 4 mēnešiem</w:t>
                  </w:r>
                </w:p>
              </w:tc>
            </w:tr>
            <w:tr w:rsidRPr="006E7B98" w:rsidR="002E082B" w:rsidTr="005631EF" w14:paraId="46E56B6C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76E6D7B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priekšsēdētājs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26AF083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4,48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2B99897D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3C3C4738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4593,30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F84FBC5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1083,56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BBB98E5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22707,44</w:t>
                  </w:r>
                </w:p>
              </w:tc>
            </w:tr>
            <w:tr w:rsidRPr="006E7B98" w:rsidR="002E082B" w:rsidTr="005631EF" w14:paraId="172C6C87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A56ED17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priekšs</w:t>
                  </w:r>
                  <w:proofErr w:type="spellEnd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. </w:t>
                  </w:r>
                  <w:proofErr w:type="gramStart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vietnieks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23D289E9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4,34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F018177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7D0998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4449,76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789FC8E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1049,70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24EC4554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21997,84</w:t>
                  </w:r>
                </w:p>
              </w:tc>
            </w:tr>
            <w:tr w:rsidRPr="006E7B98" w:rsidR="002E082B" w:rsidTr="005631EF" w14:paraId="4094B6A7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E4C35AF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padomes loceklis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CB44EB7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4,20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C3CC20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21EBA690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4306,22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861A200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1015,84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0490C2FA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21288,24</w:t>
                  </w:r>
                </w:p>
              </w:tc>
            </w:tr>
            <w:tr w:rsidRPr="006E7B98" w:rsidR="002E082B" w:rsidTr="005631EF" w14:paraId="2CD599CD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24300999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padomes loceklis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1ECFFC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4,20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C1C92C3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4F372226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4306,22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125E77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1015,84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762CB98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21288,24</w:t>
                  </w:r>
                </w:p>
              </w:tc>
            </w:tr>
            <w:tr w:rsidRPr="006E7B98" w:rsidR="002E082B" w:rsidTr="005631EF" w14:paraId="3FD269C0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97A24C4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padomes loceklis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7DE13E21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4,20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45196A67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7B13D957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4306,22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4385DC56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1015,84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0162A14B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21288,24</w:t>
                  </w:r>
                </w:p>
              </w:tc>
            </w:tr>
            <w:tr w:rsidRPr="006E7B98" w:rsidR="002E082B" w:rsidTr="005631EF" w14:paraId="3E6E7458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062FCABD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72816762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696819AE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59AE0472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03ED7A43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4877FE95" w14:textId="7777777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108570</w:t>
                  </w:r>
                </w:p>
              </w:tc>
            </w:tr>
            <w:tr w:rsidRPr="006E7B98" w:rsidR="002E082B" w:rsidTr="005631EF" w14:paraId="3D63E9A5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2E72221F" w14:textId="7777777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6B93C40B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1ED4D076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654DF916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7B599FFF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385C0621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Pr="006E7B98" w:rsidR="002E082B" w:rsidTr="005631EF" w14:paraId="46023068" w14:textId="77777777">
              <w:trPr>
                <w:trHeight w:val="675"/>
              </w:trPr>
              <w:tc>
                <w:tcPr>
                  <w:tcW w:w="1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3D07279F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atlīdzība līdz </w:t>
                  </w:r>
                  <w:proofErr w:type="gramStart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2021.gada</w:t>
                  </w:r>
                  <w:proofErr w:type="gramEnd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 1.septembrim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5687DFF1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koeficients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35A710F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bāzes alga 2021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6541D91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mēnešalga</w:t>
                  </w:r>
                </w:p>
              </w:tc>
              <w:tc>
                <w:tcPr>
                  <w:tcW w:w="11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2A317A7B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VSAOI 23,59%</w:t>
                  </w:r>
                </w:p>
              </w:tc>
              <w:tc>
                <w:tcPr>
                  <w:tcW w:w="11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6E7B98" w:rsidR="002E082B" w:rsidP="005631EF" w:rsidRDefault="002E082B" w14:paraId="47348C96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kopā 4 mēnešiem</w:t>
                  </w:r>
                </w:p>
              </w:tc>
            </w:tr>
            <w:tr w:rsidRPr="006E7B98" w:rsidR="002E082B" w:rsidTr="005631EF" w14:paraId="57980C4D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D07DE6C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priekšsēdētājs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1ECAA8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2,78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3F55E577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D50CE76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2850,31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000D629B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672,39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C8C90B4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14090,80</w:t>
                  </w:r>
                </w:p>
              </w:tc>
            </w:tr>
            <w:tr w:rsidRPr="006E7B98" w:rsidR="002E082B" w:rsidTr="005631EF" w14:paraId="5B6F0741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7F1CD550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priekšs</w:t>
                  </w:r>
                  <w:proofErr w:type="spellEnd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. </w:t>
                  </w:r>
                  <w:proofErr w:type="gramStart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vietnieks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0305B1F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2,64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2A246DE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29844BA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2706,77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3691744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638,53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05279AEC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13381,20</w:t>
                  </w:r>
                </w:p>
              </w:tc>
            </w:tr>
            <w:tr w:rsidRPr="006E7B98" w:rsidR="002E082B" w:rsidTr="005631EF" w14:paraId="325794AF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4D76394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padomes loceklis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4B81465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2,31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3975669B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7EE15B5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2368,42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33C3B2F2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558,71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75B4C0DB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11708,52</w:t>
                  </w:r>
                </w:p>
              </w:tc>
            </w:tr>
            <w:tr w:rsidRPr="006E7B98" w:rsidR="002E082B" w:rsidTr="005631EF" w14:paraId="032727DE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4EFD29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padomes loceklis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F6FD774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2,31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0A97819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07133B1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2368,42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71D8FA9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558,71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2C138020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11708,52</w:t>
                  </w:r>
                </w:p>
              </w:tc>
            </w:tr>
            <w:tr w:rsidRPr="006E7B98" w:rsidR="002E082B" w:rsidTr="005631EF" w14:paraId="500DDCFD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103113C4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padomes loceklis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45D00ED0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2,31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9D50C6A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1025,29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5D4A29F4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2368,42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0138619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558,71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6E7B98" w:rsidR="002E082B" w:rsidP="005631EF" w:rsidRDefault="002E082B" w14:paraId="6B05940E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11708,52</w:t>
                  </w:r>
                </w:p>
              </w:tc>
            </w:tr>
            <w:tr w:rsidRPr="006E7B98" w:rsidR="002E082B" w:rsidTr="005631EF" w14:paraId="0AAECEBA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3EE3BDB0" w14:textId="777777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41F0D25E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4EC33A49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329FF011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3CC98515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1A03465B" w14:textId="7777777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62597,56</w:t>
                  </w:r>
                </w:p>
              </w:tc>
            </w:tr>
            <w:tr w:rsidRPr="006E7B98" w:rsidR="002E082B" w:rsidTr="005631EF" w14:paraId="4561488E" w14:textId="7777777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6F3D7BDA" w14:textId="7777777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24C54293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3E97B5ED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5D2B2B99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5C347900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6412EED5" w14:textId="777777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Pr="006E7B98" w:rsidR="002E082B" w:rsidTr="005631EF" w14:paraId="618EE7C9" w14:textId="77777777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40294DFF" w14:textId="3836DDCA">
                  <w:pPr>
                    <w:jc w:val="right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NEPLP locekļu atlīdzībai nepieciešamais papildu finansējums </w:t>
                  </w:r>
                  <w:proofErr w:type="gramStart"/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2021.gadam</w:t>
                  </w:r>
                  <w:proofErr w:type="gramEnd"/>
                  <w:r w:rsidR="00342BA4">
                    <w:rPr>
                      <w:color w:val="000000"/>
                      <w:sz w:val="16"/>
                      <w:szCs w:val="16"/>
                      <w:lang w:eastAsia="lv-LV"/>
                    </w:rPr>
                    <w:t xml:space="preserve">, </w:t>
                  </w:r>
                  <w:r w:rsidRPr="00342BA4" w:rsidR="00342BA4">
                    <w:rPr>
                      <w:i/>
                      <w:iCs/>
                      <w:color w:val="000000"/>
                      <w:sz w:val="16"/>
                      <w:szCs w:val="16"/>
                      <w:lang w:eastAsia="lv-LV"/>
                    </w:rPr>
                    <w:t>euro</w:t>
                  </w:r>
                  <w:r w:rsidRPr="006E7B98">
                    <w:rPr>
                      <w:color w:val="000000"/>
                      <w:sz w:val="16"/>
                      <w:szCs w:val="16"/>
                      <w:lang w:eastAsia="lv-LV"/>
                    </w:rPr>
                    <w:t>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E7B98" w:rsidR="002E082B" w:rsidP="005631EF" w:rsidRDefault="002E082B" w14:paraId="0BA20462" w14:textId="7777777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6E7B98"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45972,44</w:t>
                  </w:r>
                </w:p>
              </w:tc>
            </w:tr>
          </w:tbl>
          <w:p w:rsidRPr="00D22D16" w:rsidR="002E082B" w:rsidP="005631EF" w:rsidRDefault="002E082B" w14:paraId="425EEF19" w14:textId="7777777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Pr="00D22D16" w:rsidR="002E082B" w:rsidTr="00FA5E5A" w14:paraId="69380ACE" w14:textId="77777777">
        <w:trPr>
          <w:trHeight w:val="964"/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6AF4EC35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6.1. detalizēts ieņēmumu aprēķins</w:t>
            </w:r>
          </w:p>
        </w:tc>
        <w:tc>
          <w:tcPr>
            <w:tcW w:w="4037" w:type="pct"/>
            <w:gridSpan w:val="7"/>
            <w:vMerge/>
            <w:vAlign w:val="center"/>
          </w:tcPr>
          <w:p w:rsidRPr="00D22D16" w:rsidR="002E082B" w:rsidP="005631EF" w:rsidRDefault="002E082B" w14:paraId="51168D50" w14:textId="77777777">
            <w:pPr>
              <w:jc w:val="both"/>
              <w:rPr>
                <w:sz w:val="28"/>
                <w:szCs w:val="28"/>
              </w:rPr>
            </w:pPr>
          </w:p>
        </w:tc>
      </w:tr>
      <w:tr w:rsidRPr="00D22D16" w:rsidR="002E082B" w:rsidTr="00FA5E5A" w14:paraId="3FD1B553" w14:textId="77777777">
        <w:trPr>
          <w:trHeight w:val="964"/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26036B63" w14:textId="77777777">
            <w:pPr>
              <w:rPr>
                <w:sz w:val="28"/>
                <w:szCs w:val="28"/>
              </w:rPr>
            </w:pPr>
            <w:r w:rsidRPr="006671F0">
              <w:rPr>
                <w:rFonts w:eastAsia="Calibri"/>
                <w:color w:val="000000" w:themeColor="text1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37" w:type="pct"/>
            <w:gridSpan w:val="7"/>
            <w:vAlign w:val="center"/>
          </w:tcPr>
          <w:p w:rsidRPr="00D22D16" w:rsidR="002E082B" w:rsidP="005631EF" w:rsidRDefault="002E082B" w14:paraId="6C3B73AD" w14:textId="77777777">
            <w:pPr>
              <w:jc w:val="both"/>
              <w:rPr>
                <w:sz w:val="28"/>
                <w:szCs w:val="28"/>
              </w:rPr>
            </w:pPr>
          </w:p>
        </w:tc>
      </w:tr>
      <w:tr w:rsidRPr="00D22D16" w:rsidR="002E082B" w:rsidTr="00FA5E5A" w14:paraId="24B83B74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6B260632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lastRenderedPageBreak/>
              <w:t>7. Amata vietu skaita izmaiņas</w:t>
            </w:r>
          </w:p>
        </w:tc>
        <w:tc>
          <w:tcPr>
            <w:tcW w:w="4037" w:type="pct"/>
            <w:gridSpan w:val="7"/>
          </w:tcPr>
          <w:p w:rsidRPr="00D22D16" w:rsidR="002E082B" w:rsidP="005631EF" w:rsidRDefault="002E082B" w14:paraId="2CC88C39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  <w:tr w:rsidRPr="00D22D16" w:rsidR="002E082B" w:rsidTr="00FA5E5A" w14:paraId="6352908B" w14:textId="77777777">
        <w:trPr>
          <w:tblCellSpacing w:w="20" w:type="dxa"/>
        </w:trPr>
        <w:tc>
          <w:tcPr>
            <w:tcW w:w="963" w:type="pct"/>
          </w:tcPr>
          <w:p w:rsidRPr="00D22D16" w:rsidR="002E082B" w:rsidP="005631EF" w:rsidRDefault="002E082B" w14:paraId="4ACD9553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8. Cita informācija</w:t>
            </w:r>
          </w:p>
        </w:tc>
        <w:tc>
          <w:tcPr>
            <w:tcW w:w="4037" w:type="pct"/>
            <w:gridSpan w:val="7"/>
          </w:tcPr>
          <w:p w:rsidRPr="00D22D16" w:rsidR="002E082B" w:rsidP="005631EF" w:rsidRDefault="002E082B" w14:paraId="4BE6763B" w14:textId="77777777">
            <w:pPr>
              <w:jc w:val="both"/>
              <w:rPr>
                <w:sz w:val="28"/>
                <w:szCs w:val="28"/>
              </w:rPr>
            </w:pPr>
            <w:r w:rsidRPr="00AD4752">
              <w:rPr>
                <w:color w:val="000000"/>
                <w:sz w:val="28"/>
                <w:szCs w:val="28"/>
              </w:rPr>
              <w:t>Nacionāl</w:t>
            </w:r>
            <w:r>
              <w:rPr>
                <w:color w:val="000000"/>
                <w:sz w:val="28"/>
                <w:szCs w:val="28"/>
              </w:rPr>
              <w:t>ās</w:t>
            </w:r>
            <w:r w:rsidRPr="00AD4752">
              <w:rPr>
                <w:color w:val="000000"/>
                <w:sz w:val="28"/>
                <w:szCs w:val="28"/>
              </w:rPr>
              <w:t xml:space="preserve"> elektronisko plašsaziņas līdzekļu padome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locekļu atlīdzībai nepieciešamais papildu finansējums tiks nodrošināts no </w:t>
            </w:r>
            <w:r w:rsidRPr="008A4E40">
              <w:rPr>
                <w:color w:val="000000"/>
                <w:sz w:val="28"/>
                <w:szCs w:val="28"/>
              </w:rPr>
              <w:t xml:space="preserve">valsts budžeta </w:t>
            </w:r>
            <w:r w:rsidRPr="00AD4752">
              <w:rPr>
                <w:color w:val="000000"/>
                <w:sz w:val="28"/>
                <w:szCs w:val="28"/>
              </w:rPr>
              <w:t>programmas 02.00.00 „Līdzekļi neparedzētiem gadījumiem”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22D16" w:rsidP="007C6502" w:rsidRDefault="00D22D16" w14:paraId="2CD790D8" w14:textId="59BF93A3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9"/>
      </w:tblGrid>
      <w:tr w:rsidRPr="00D22D16" w:rsidR="002E082B" w:rsidTr="00FA5E5A" w14:paraId="06466884" w14:textId="77777777">
        <w:trPr>
          <w:tblCellSpacing w:w="20" w:type="dxa"/>
        </w:trPr>
        <w:tc>
          <w:tcPr>
            <w:tcW w:w="5000" w:type="pct"/>
            <w:vAlign w:val="center"/>
          </w:tcPr>
          <w:p w:rsidRPr="00D22D16" w:rsidR="002E082B" w:rsidP="005631EF" w:rsidRDefault="002E082B" w14:paraId="7BC31696" w14:textId="77777777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Pr="00D22D16" w:rsidR="002E082B" w:rsidTr="00FA5E5A" w14:paraId="45AC421E" w14:textId="77777777">
        <w:trPr>
          <w:tblCellSpacing w:w="20" w:type="dxa"/>
        </w:trPr>
        <w:tc>
          <w:tcPr>
            <w:tcW w:w="5000" w:type="pct"/>
            <w:vAlign w:val="center"/>
          </w:tcPr>
          <w:p w:rsidRPr="00D22D16" w:rsidR="002E082B" w:rsidP="005631EF" w:rsidRDefault="002E082B" w14:paraId="56243258" w14:textId="77777777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</w:tbl>
    <w:p w:rsidRPr="00D22D16" w:rsidR="002E082B" w:rsidP="002E082B" w:rsidRDefault="002E082B" w14:paraId="7C71652B" w14:textId="77777777">
      <w:pPr>
        <w:jc w:val="both"/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9"/>
      </w:tblGrid>
      <w:tr w:rsidRPr="00D22D16" w:rsidR="002E082B" w:rsidTr="00FA5E5A" w14:paraId="1890CD60" w14:textId="77777777">
        <w:trPr>
          <w:tblCellSpacing w:w="20" w:type="dxa"/>
        </w:trPr>
        <w:tc>
          <w:tcPr>
            <w:tcW w:w="5000" w:type="pct"/>
            <w:vAlign w:val="center"/>
          </w:tcPr>
          <w:p w:rsidRPr="00D22D16" w:rsidR="002E082B" w:rsidP="005631EF" w:rsidRDefault="002E082B" w14:paraId="25430E85" w14:textId="77777777">
            <w:pPr>
              <w:spacing w:before="100" w:beforeAutospacing="1" w:after="100" w:afterAutospacing="1" w:line="228" w:lineRule="atLeast"/>
              <w:jc w:val="center"/>
              <w:rPr>
                <w:b/>
                <w:sz w:val="28"/>
                <w:szCs w:val="28"/>
              </w:rPr>
            </w:pPr>
            <w:r w:rsidRPr="00D22D16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Pr="00D22D16" w:rsidR="002E082B" w:rsidTr="00FA5E5A" w14:paraId="1DD1DAC6" w14:textId="77777777">
        <w:trPr>
          <w:tblCellSpacing w:w="20" w:type="dxa"/>
        </w:trPr>
        <w:tc>
          <w:tcPr>
            <w:tcW w:w="5000" w:type="pct"/>
          </w:tcPr>
          <w:p w:rsidRPr="00D22D16" w:rsidR="002E082B" w:rsidP="005631EF" w:rsidRDefault="002E082B" w14:paraId="0623932D" w14:textId="77777777">
            <w:pPr>
              <w:jc w:val="center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  <w:tr w:rsidRPr="00D22D16" w:rsidR="002E082B" w:rsidTr="00FA5E5A" w14:paraId="443F52B3" w14:textId="77777777">
        <w:trPr>
          <w:tblCellSpacing w:w="20" w:type="dxa"/>
        </w:trPr>
        <w:tc>
          <w:tcPr>
            <w:tcW w:w="5000" w:type="pct"/>
            <w:vAlign w:val="center"/>
          </w:tcPr>
          <w:p w:rsidRPr="00D22D16" w:rsidR="002E082B" w:rsidP="005631EF" w:rsidRDefault="002E082B" w14:paraId="16C2A4F7" w14:textId="77777777">
            <w:pPr>
              <w:spacing w:before="100" w:beforeAutospacing="1" w:after="100" w:afterAutospacing="1" w:line="228" w:lineRule="atLeast"/>
              <w:jc w:val="center"/>
              <w:rPr>
                <w:b/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  </w:t>
            </w:r>
            <w:r w:rsidRPr="00D22D16">
              <w:rPr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Pr="00D22D16" w:rsidR="002E082B" w:rsidTr="00FA5E5A" w14:paraId="5F19178D" w14:textId="77777777">
        <w:trPr>
          <w:tblCellSpacing w:w="20" w:type="dxa"/>
        </w:trPr>
        <w:tc>
          <w:tcPr>
            <w:tcW w:w="5000" w:type="pct"/>
          </w:tcPr>
          <w:p w:rsidRPr="00D22D16" w:rsidR="002E082B" w:rsidP="005631EF" w:rsidRDefault="002E082B" w14:paraId="4C5474FE" w14:textId="77777777">
            <w:pPr>
              <w:jc w:val="center"/>
              <w:rPr>
                <w:sz w:val="28"/>
                <w:szCs w:val="28"/>
              </w:rPr>
            </w:pPr>
            <w:r w:rsidRPr="00D22D16">
              <w:rPr>
                <w:bCs/>
                <w:iCs/>
                <w:sz w:val="28"/>
                <w:szCs w:val="28"/>
              </w:rPr>
              <w:t>Projekts šo jomu neskar.</w:t>
            </w:r>
          </w:p>
        </w:tc>
      </w:tr>
    </w:tbl>
    <w:p w:rsidRPr="00D22D16" w:rsidR="002E082B" w:rsidP="002E082B" w:rsidRDefault="002E082B" w14:paraId="60A96FE9" w14:textId="77777777">
      <w:pPr>
        <w:jc w:val="both"/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4"/>
        <w:gridCol w:w="3554"/>
        <w:gridCol w:w="5241"/>
      </w:tblGrid>
      <w:tr w:rsidRPr="00D22D16" w:rsidR="002E082B" w:rsidTr="00FA5E5A" w14:paraId="6227A3B7" w14:textId="77777777">
        <w:trPr>
          <w:tblCellSpacing w:w="20" w:type="dxa"/>
        </w:trPr>
        <w:tc>
          <w:tcPr>
            <w:tcW w:w="5000" w:type="pct"/>
            <w:gridSpan w:val="3"/>
            <w:vAlign w:val="center"/>
          </w:tcPr>
          <w:p w:rsidRPr="00D22D16" w:rsidR="002E082B" w:rsidP="005631EF" w:rsidRDefault="002E082B" w14:paraId="5F3728DE" w14:textId="77777777">
            <w:pPr>
              <w:spacing w:before="100" w:beforeAutospacing="1" w:after="100" w:afterAutospacing="1" w:line="2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2D16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Pr="00D22D16" w:rsidR="002E082B" w:rsidTr="00FA5E5A" w14:paraId="07906519" w14:textId="77777777">
        <w:trPr>
          <w:tblCellSpacing w:w="20" w:type="dxa"/>
        </w:trPr>
        <w:tc>
          <w:tcPr>
            <w:tcW w:w="289" w:type="pct"/>
          </w:tcPr>
          <w:p w:rsidRPr="00D22D16" w:rsidR="002E082B" w:rsidP="005631EF" w:rsidRDefault="002E082B" w14:paraId="25C07FDE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1.</w:t>
            </w:r>
          </w:p>
        </w:tc>
        <w:tc>
          <w:tcPr>
            <w:tcW w:w="1904" w:type="pct"/>
          </w:tcPr>
          <w:p w:rsidRPr="00D22D16" w:rsidR="002E082B" w:rsidP="005631EF" w:rsidRDefault="002E082B" w14:paraId="64F64010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807" w:type="pct"/>
          </w:tcPr>
          <w:p w:rsidRPr="00D22D16" w:rsidR="002E082B" w:rsidP="005631EF" w:rsidRDefault="002E082B" w14:paraId="56048C8A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Nacionālā elektronisko plašsaziņas līdzekļu padome, Kultūras ministrija.</w:t>
            </w:r>
          </w:p>
        </w:tc>
      </w:tr>
      <w:tr w:rsidRPr="00D22D16" w:rsidR="002E082B" w:rsidTr="00FA5E5A" w14:paraId="1C7BBA85" w14:textId="77777777">
        <w:trPr>
          <w:tblCellSpacing w:w="20" w:type="dxa"/>
        </w:trPr>
        <w:tc>
          <w:tcPr>
            <w:tcW w:w="289" w:type="pct"/>
          </w:tcPr>
          <w:p w:rsidRPr="00D22D16" w:rsidR="002E082B" w:rsidP="005631EF" w:rsidRDefault="002E082B" w14:paraId="49833730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2.</w:t>
            </w:r>
          </w:p>
        </w:tc>
        <w:tc>
          <w:tcPr>
            <w:tcW w:w="1904" w:type="pct"/>
          </w:tcPr>
          <w:p w:rsidRPr="00D22D16" w:rsidR="002E082B" w:rsidP="005631EF" w:rsidRDefault="002E082B" w14:paraId="49E914BD" w14:textId="77777777">
            <w:pPr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Projekta izpildes ietekme uz pārvaldes funkcijām un institucionālo struktūru.</w:t>
            </w:r>
            <w:r w:rsidRPr="00D22D16">
              <w:rPr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807" w:type="pct"/>
          </w:tcPr>
          <w:p w:rsidRPr="00D22D16" w:rsidR="002E082B" w:rsidP="005631EF" w:rsidRDefault="002E082B" w14:paraId="0DCD6A82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Projekts šo jomu neskar.</w:t>
            </w:r>
          </w:p>
        </w:tc>
      </w:tr>
      <w:tr w:rsidRPr="00D22D16" w:rsidR="002E082B" w:rsidTr="00FA5E5A" w14:paraId="5A3632FD" w14:textId="77777777">
        <w:trPr>
          <w:tblCellSpacing w:w="20" w:type="dxa"/>
        </w:trPr>
        <w:tc>
          <w:tcPr>
            <w:tcW w:w="289" w:type="pct"/>
          </w:tcPr>
          <w:p w:rsidRPr="00D22D16" w:rsidR="002E082B" w:rsidP="005631EF" w:rsidRDefault="002E082B" w14:paraId="51AF4A1F" w14:textId="77777777">
            <w:pPr>
              <w:spacing w:before="100" w:beforeAutospacing="1" w:after="100" w:afterAutospacing="1" w:line="228" w:lineRule="atLeast"/>
              <w:jc w:val="center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3.</w:t>
            </w:r>
          </w:p>
        </w:tc>
        <w:tc>
          <w:tcPr>
            <w:tcW w:w="1904" w:type="pct"/>
          </w:tcPr>
          <w:p w:rsidRPr="00D22D16" w:rsidR="002E082B" w:rsidP="005631EF" w:rsidRDefault="002E082B" w14:paraId="4CBB5DE1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Cita informācija</w:t>
            </w:r>
          </w:p>
        </w:tc>
        <w:tc>
          <w:tcPr>
            <w:tcW w:w="2807" w:type="pct"/>
          </w:tcPr>
          <w:p w:rsidRPr="00D22D16" w:rsidR="002E082B" w:rsidP="005631EF" w:rsidRDefault="002E082B" w14:paraId="4B0D59AE" w14:textId="77777777">
            <w:pPr>
              <w:jc w:val="both"/>
              <w:rPr>
                <w:sz w:val="28"/>
                <w:szCs w:val="28"/>
              </w:rPr>
            </w:pPr>
            <w:r w:rsidRPr="00D22D16">
              <w:rPr>
                <w:sz w:val="28"/>
                <w:szCs w:val="28"/>
              </w:rPr>
              <w:t>Nav</w:t>
            </w:r>
          </w:p>
        </w:tc>
      </w:tr>
    </w:tbl>
    <w:p w:rsidR="002E082B" w:rsidP="007C6502" w:rsidRDefault="002E082B" w14:paraId="258FB33A" w14:textId="14DB77D6">
      <w:pPr>
        <w:rPr>
          <w:sz w:val="28"/>
          <w:szCs w:val="28"/>
        </w:rPr>
      </w:pPr>
    </w:p>
    <w:p w:rsidRPr="00D22D16" w:rsidR="005B46A4" w:rsidP="00D22D16" w:rsidRDefault="005B46A4" w14:paraId="72F0501D" w14:textId="77777777">
      <w:pPr>
        <w:tabs>
          <w:tab w:val="left" w:pos="6804"/>
        </w:tabs>
        <w:ind w:left="142"/>
        <w:jc w:val="both"/>
        <w:rPr>
          <w:sz w:val="28"/>
          <w:szCs w:val="28"/>
          <w:lang w:eastAsia="lv-LV"/>
        </w:rPr>
      </w:pPr>
      <w:r w:rsidRPr="00D22D16">
        <w:rPr>
          <w:sz w:val="28"/>
          <w:szCs w:val="28"/>
          <w:lang w:eastAsia="lv-LV"/>
        </w:rPr>
        <w:t>Kultūras ministrs                                                           </w:t>
      </w:r>
      <w:r w:rsidRPr="00D22D16">
        <w:rPr>
          <w:sz w:val="28"/>
          <w:szCs w:val="28"/>
          <w:lang w:eastAsia="lv-LV"/>
        </w:rPr>
        <w:tab/>
      </w:r>
      <w:r w:rsidRPr="00D22D16">
        <w:rPr>
          <w:sz w:val="28"/>
          <w:szCs w:val="28"/>
          <w:lang w:eastAsia="lv-LV"/>
        </w:rPr>
        <w:tab/>
        <w:t>N.Puntulis</w:t>
      </w:r>
    </w:p>
    <w:p w:rsidRPr="00D22D16" w:rsidR="005B46A4" w:rsidP="00D22D16" w:rsidRDefault="005B46A4" w14:paraId="083E70C2" w14:textId="77777777">
      <w:pPr>
        <w:ind w:left="142"/>
        <w:rPr>
          <w:sz w:val="28"/>
          <w:szCs w:val="28"/>
          <w:lang w:eastAsia="lv-LV"/>
        </w:rPr>
      </w:pPr>
    </w:p>
    <w:p w:rsidRPr="00D22D16" w:rsidR="005B46A4" w:rsidP="00D22D16" w:rsidRDefault="00BC1E53" w14:paraId="5E787EA4" w14:textId="62BA8108">
      <w:pPr>
        <w:tabs>
          <w:tab w:val="left" w:pos="6120"/>
        </w:tabs>
        <w:ind w:left="142"/>
        <w:jc w:val="both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</w:rPr>
        <w:t xml:space="preserve">Vīza: Valsts sekretāra </w:t>
      </w:r>
      <w:proofErr w:type="spellStart"/>
      <w:r>
        <w:rPr>
          <w:color w:val="000000"/>
          <w:sz w:val="28"/>
          <w:szCs w:val="28"/>
        </w:rPr>
        <w:t>p.i</w:t>
      </w:r>
      <w:proofErr w:type="spellEnd"/>
      <w:r>
        <w:rPr>
          <w:color w:val="000000"/>
          <w:sz w:val="28"/>
          <w:szCs w:val="28"/>
        </w:rPr>
        <w:t>.</w:t>
      </w:r>
      <w:r w:rsidRPr="00D22D16" w:rsidR="005B46A4">
        <w:rPr>
          <w:sz w:val="28"/>
          <w:szCs w:val="28"/>
          <w:lang w:eastAsia="lv-LV"/>
        </w:rPr>
        <w:tab/>
      </w:r>
      <w:r w:rsidRPr="00D22D16" w:rsidR="005B46A4">
        <w:rPr>
          <w:sz w:val="28"/>
          <w:szCs w:val="28"/>
          <w:lang w:eastAsia="lv-LV"/>
        </w:rPr>
        <w:tab/>
      </w:r>
      <w:r w:rsidRPr="00D22D16" w:rsidR="005B46A4">
        <w:rPr>
          <w:sz w:val="28"/>
          <w:szCs w:val="28"/>
          <w:lang w:eastAsia="lv-LV"/>
        </w:rPr>
        <w:tab/>
      </w:r>
      <w:r>
        <w:rPr>
          <w:sz w:val="28"/>
          <w:szCs w:val="28"/>
        </w:rPr>
        <w:t>U.Zariņš</w:t>
      </w:r>
    </w:p>
    <w:p w:rsidRPr="003F3829" w:rsidR="002D5DAB" w:rsidP="009C2CFB" w:rsidRDefault="002D5DAB" w14:paraId="2D30C2A9" w14:textId="77777777">
      <w:pPr>
        <w:tabs>
          <w:tab w:val="left" w:pos="720"/>
          <w:tab w:val="center" w:pos="4153"/>
          <w:tab w:val="right" w:pos="8306"/>
        </w:tabs>
      </w:pPr>
    </w:p>
    <w:p w:rsidRPr="000F6155" w:rsidR="00657885" w:rsidP="00657885" w:rsidRDefault="00657885" w14:paraId="1C22E425" w14:textId="77777777">
      <w:pPr>
        <w:ind w:right="-694"/>
        <w:jc w:val="both"/>
        <w:rPr>
          <w:sz w:val="20"/>
          <w:szCs w:val="20"/>
        </w:rPr>
      </w:pPr>
      <w:r>
        <w:rPr>
          <w:sz w:val="20"/>
          <w:szCs w:val="20"/>
        </w:rPr>
        <w:t>Groza</w:t>
      </w:r>
      <w:r w:rsidRPr="000F6155">
        <w:rPr>
          <w:sz w:val="20"/>
          <w:szCs w:val="20"/>
        </w:rPr>
        <w:t xml:space="preserve"> </w:t>
      </w:r>
      <w:r>
        <w:rPr>
          <w:sz w:val="20"/>
          <w:szCs w:val="20"/>
        </w:rPr>
        <w:t>67330268</w:t>
      </w:r>
    </w:p>
    <w:p w:rsidRPr="003F3829" w:rsidR="00657885" w:rsidP="2EC0DF3C" w:rsidRDefault="00342BA4" w14:paraId="68478E17" w14:textId="182A895A">
      <w:pPr>
        <w:rPr>
          <w:rStyle w:val="Hipersaite"/>
        </w:rPr>
      </w:pPr>
      <w:hyperlink w:history="1" r:id="rId11">
        <w:r w:rsidRPr="003F66A8" w:rsidR="00657885">
          <w:rPr>
            <w:rStyle w:val="Hipersaite"/>
            <w:sz w:val="20"/>
            <w:szCs w:val="20"/>
          </w:rPr>
          <w:t>Gatis.Groza@km.gov.lv</w:t>
        </w:r>
      </w:hyperlink>
    </w:p>
    <w:sectPr w:rsidRPr="003F3829" w:rsidR="00657885" w:rsidSect="00D22D16">
      <w:headerReference w:type="default" r:id="rId12"/>
      <w:footerReference w:type="default" r:id="rId13"/>
      <w:footerReference w:type="first" r:id="rId14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9BC8" w14:textId="77777777" w:rsidR="00481CCA" w:rsidRDefault="00481CCA">
      <w:r>
        <w:separator/>
      </w:r>
    </w:p>
  </w:endnote>
  <w:endnote w:type="continuationSeparator" w:id="0">
    <w:p w14:paraId="1D750770" w14:textId="77777777" w:rsidR="00481CCA" w:rsidRDefault="00481CCA">
      <w:r>
        <w:continuationSeparator/>
      </w:r>
    </w:p>
  </w:endnote>
  <w:endnote w:type="continuationNotice" w:id="1">
    <w:p w14:paraId="176C4ED8" w14:textId="77777777" w:rsidR="00481CCA" w:rsidRDefault="00481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5BE" w14:textId="49173DFE" w:rsidR="000C35A5" w:rsidRPr="002703BC" w:rsidRDefault="002703BC" w:rsidP="002703BC">
    <w:pPr>
      <w:pStyle w:val="Kjene"/>
    </w:pPr>
    <w:r w:rsidRPr="002703BC">
      <w:rPr>
        <w:sz w:val="20"/>
        <w:szCs w:val="20"/>
      </w:rPr>
      <w:t>KMAnot_</w:t>
    </w:r>
    <w:r w:rsidR="009157F8">
      <w:rPr>
        <w:sz w:val="20"/>
        <w:szCs w:val="20"/>
      </w:rPr>
      <w:t>2</w:t>
    </w:r>
    <w:r w:rsidR="00C01D90">
      <w:rPr>
        <w:sz w:val="20"/>
        <w:szCs w:val="20"/>
      </w:rPr>
      <w:t>2</w:t>
    </w:r>
    <w:r w:rsidR="009157F8">
      <w:rPr>
        <w:sz w:val="20"/>
        <w:szCs w:val="20"/>
      </w:rPr>
      <w:t>07</w:t>
    </w:r>
    <w:r w:rsidRPr="002703BC">
      <w:rPr>
        <w:sz w:val="20"/>
        <w:szCs w:val="20"/>
      </w:rPr>
      <w:t>21_LNG_NEPLP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07D3" w14:textId="7F851D81" w:rsidR="000C35A5" w:rsidRPr="002703BC" w:rsidRDefault="002703BC" w:rsidP="002703BC">
    <w:pPr>
      <w:pStyle w:val="Kjene"/>
    </w:pPr>
    <w:r w:rsidRPr="002703BC">
      <w:rPr>
        <w:sz w:val="20"/>
        <w:szCs w:val="20"/>
      </w:rPr>
      <w:t>KMAnot_</w:t>
    </w:r>
    <w:r w:rsidR="009157F8">
      <w:rPr>
        <w:sz w:val="20"/>
        <w:szCs w:val="20"/>
      </w:rPr>
      <w:t>2</w:t>
    </w:r>
    <w:r w:rsidR="00C01D90">
      <w:rPr>
        <w:sz w:val="20"/>
        <w:szCs w:val="20"/>
      </w:rPr>
      <w:t>2</w:t>
    </w:r>
    <w:r w:rsidR="009157F8">
      <w:rPr>
        <w:sz w:val="20"/>
        <w:szCs w:val="20"/>
      </w:rPr>
      <w:t>07</w:t>
    </w:r>
    <w:r w:rsidRPr="002703BC">
      <w:rPr>
        <w:sz w:val="20"/>
        <w:szCs w:val="20"/>
      </w:rPr>
      <w:t>21_LNG_NEPLP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2773" w14:textId="77777777" w:rsidR="00481CCA" w:rsidRDefault="00481CCA">
      <w:r>
        <w:separator/>
      </w:r>
    </w:p>
  </w:footnote>
  <w:footnote w:type="continuationSeparator" w:id="0">
    <w:p w14:paraId="5A5FA93B" w14:textId="77777777" w:rsidR="00481CCA" w:rsidRDefault="00481CCA">
      <w:r>
        <w:continuationSeparator/>
      </w:r>
    </w:p>
  </w:footnote>
  <w:footnote w:type="continuationNotice" w:id="1">
    <w:p w14:paraId="562ACC95" w14:textId="77777777" w:rsidR="00481CCA" w:rsidRDefault="00481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108200"/>
      <w:docPartObj>
        <w:docPartGallery w:val="Page Numbers (Top of Page)"/>
        <w:docPartUnique/>
      </w:docPartObj>
    </w:sdtPr>
    <w:sdtEndPr/>
    <w:sdtContent>
      <w:p w:rsidR="000C35A5" w:rsidP="00931258" w:rsidRDefault="000C35A5" w14:paraId="30F4CA00" w14:textId="27BC04F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25E5"/>
    <w:multiLevelType w:val="hybridMultilevel"/>
    <w:tmpl w:val="FFFFFFFF"/>
    <w:lvl w:ilvl="0" w:tplc="0B9468BC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9A19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7EC0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A4DC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6C9D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4BE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E480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8CC4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14E7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15830"/>
    <w:multiLevelType w:val="hybridMultilevel"/>
    <w:tmpl w:val="FFFFFFFF"/>
    <w:lvl w:ilvl="0" w:tplc="BFE098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CC95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2ED4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2A68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04DE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ECF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BAAC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6A28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D601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C4F02"/>
    <w:multiLevelType w:val="hybridMultilevel"/>
    <w:tmpl w:val="FFFFFFFF"/>
    <w:lvl w:ilvl="0" w:tplc="732A95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D6A6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208E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80C2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380B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845D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C0A2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B043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A21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A02BE"/>
    <w:multiLevelType w:val="hybridMultilevel"/>
    <w:tmpl w:val="062077E4"/>
    <w:lvl w:ilvl="0" w:tplc="49CEC0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26409"/>
    <w:multiLevelType w:val="hybridMultilevel"/>
    <w:tmpl w:val="FFFFFFFF"/>
    <w:lvl w:ilvl="0" w:tplc="153619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8824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C0D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1213F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BCB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B207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D62F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F868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102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0D"/>
    <w:rsid w:val="0000026A"/>
    <w:rsid w:val="000116C4"/>
    <w:rsid w:val="00015EFC"/>
    <w:rsid w:val="00017F7C"/>
    <w:rsid w:val="000243C4"/>
    <w:rsid w:val="00030537"/>
    <w:rsid w:val="000371E7"/>
    <w:rsid w:val="00052487"/>
    <w:rsid w:val="00053805"/>
    <w:rsid w:val="00053DC1"/>
    <w:rsid w:val="00067342"/>
    <w:rsid w:val="00067955"/>
    <w:rsid w:val="00070014"/>
    <w:rsid w:val="00071860"/>
    <w:rsid w:val="00072D9E"/>
    <w:rsid w:val="00081234"/>
    <w:rsid w:val="00082784"/>
    <w:rsid w:val="00083C28"/>
    <w:rsid w:val="000A0C66"/>
    <w:rsid w:val="000A0DCA"/>
    <w:rsid w:val="000A637A"/>
    <w:rsid w:val="000C0D3B"/>
    <w:rsid w:val="000C11E8"/>
    <w:rsid w:val="000C35A5"/>
    <w:rsid w:val="000D2FBC"/>
    <w:rsid w:val="000D50ED"/>
    <w:rsid w:val="000D75FB"/>
    <w:rsid w:val="000E12D8"/>
    <w:rsid w:val="000E3654"/>
    <w:rsid w:val="000F4EEC"/>
    <w:rsid w:val="000F50F7"/>
    <w:rsid w:val="00101A66"/>
    <w:rsid w:val="00103369"/>
    <w:rsid w:val="00113846"/>
    <w:rsid w:val="00115B5E"/>
    <w:rsid w:val="001171B7"/>
    <w:rsid w:val="001222F1"/>
    <w:rsid w:val="00143C95"/>
    <w:rsid w:val="001550F7"/>
    <w:rsid w:val="00155A5F"/>
    <w:rsid w:val="00161E0A"/>
    <w:rsid w:val="00174611"/>
    <w:rsid w:val="00174BF6"/>
    <w:rsid w:val="00184C37"/>
    <w:rsid w:val="001930CC"/>
    <w:rsid w:val="00196788"/>
    <w:rsid w:val="001970F5"/>
    <w:rsid w:val="001A154B"/>
    <w:rsid w:val="001A6E82"/>
    <w:rsid w:val="001C19EF"/>
    <w:rsid w:val="001C6AC5"/>
    <w:rsid w:val="001C6E3F"/>
    <w:rsid w:val="001C6E64"/>
    <w:rsid w:val="001D2797"/>
    <w:rsid w:val="001E5155"/>
    <w:rsid w:val="001F6B6B"/>
    <w:rsid w:val="002159D2"/>
    <w:rsid w:val="002229F4"/>
    <w:rsid w:val="002262A6"/>
    <w:rsid w:val="00237E2F"/>
    <w:rsid w:val="002438F7"/>
    <w:rsid w:val="00250A67"/>
    <w:rsid w:val="002566B3"/>
    <w:rsid w:val="00261FF4"/>
    <w:rsid w:val="0026220A"/>
    <w:rsid w:val="002703BC"/>
    <w:rsid w:val="0027227B"/>
    <w:rsid w:val="00274E6B"/>
    <w:rsid w:val="00275A85"/>
    <w:rsid w:val="00276EC2"/>
    <w:rsid w:val="00277BCD"/>
    <w:rsid w:val="0028178B"/>
    <w:rsid w:val="0028488D"/>
    <w:rsid w:val="002922CC"/>
    <w:rsid w:val="002A65D9"/>
    <w:rsid w:val="002B34A6"/>
    <w:rsid w:val="002B40D5"/>
    <w:rsid w:val="002C11AD"/>
    <w:rsid w:val="002C2440"/>
    <w:rsid w:val="002D357F"/>
    <w:rsid w:val="002D5DAB"/>
    <w:rsid w:val="002E082B"/>
    <w:rsid w:val="002E66CD"/>
    <w:rsid w:val="002F1BCC"/>
    <w:rsid w:val="003018B3"/>
    <w:rsid w:val="003035CD"/>
    <w:rsid w:val="0030466E"/>
    <w:rsid w:val="00307EEC"/>
    <w:rsid w:val="00313831"/>
    <w:rsid w:val="0031680B"/>
    <w:rsid w:val="00331231"/>
    <w:rsid w:val="00337BD6"/>
    <w:rsid w:val="00342BA4"/>
    <w:rsid w:val="00352F70"/>
    <w:rsid w:val="003617C1"/>
    <w:rsid w:val="00383E8E"/>
    <w:rsid w:val="003948DD"/>
    <w:rsid w:val="00397F8F"/>
    <w:rsid w:val="003A1DC6"/>
    <w:rsid w:val="003A4930"/>
    <w:rsid w:val="003B2CD3"/>
    <w:rsid w:val="003C1008"/>
    <w:rsid w:val="003C4635"/>
    <w:rsid w:val="003D0090"/>
    <w:rsid w:val="003D3175"/>
    <w:rsid w:val="003DCF7A"/>
    <w:rsid w:val="003E3849"/>
    <w:rsid w:val="003E4103"/>
    <w:rsid w:val="003E4EF5"/>
    <w:rsid w:val="003E7B0F"/>
    <w:rsid w:val="003F3829"/>
    <w:rsid w:val="00414A68"/>
    <w:rsid w:val="0041553A"/>
    <w:rsid w:val="00417C6F"/>
    <w:rsid w:val="004205D9"/>
    <w:rsid w:val="0042737A"/>
    <w:rsid w:val="00430B86"/>
    <w:rsid w:val="004346E9"/>
    <w:rsid w:val="0044340A"/>
    <w:rsid w:val="0044401A"/>
    <w:rsid w:val="00452BC9"/>
    <w:rsid w:val="00454026"/>
    <w:rsid w:val="00456610"/>
    <w:rsid w:val="00460C2D"/>
    <w:rsid w:val="00481CCA"/>
    <w:rsid w:val="0048604B"/>
    <w:rsid w:val="00494E47"/>
    <w:rsid w:val="004A6C7B"/>
    <w:rsid w:val="004C1A14"/>
    <w:rsid w:val="004E5C73"/>
    <w:rsid w:val="004F0641"/>
    <w:rsid w:val="004F313B"/>
    <w:rsid w:val="00504F35"/>
    <w:rsid w:val="005060E9"/>
    <w:rsid w:val="00514AFD"/>
    <w:rsid w:val="00523D34"/>
    <w:rsid w:val="00524DB4"/>
    <w:rsid w:val="00525427"/>
    <w:rsid w:val="00535406"/>
    <w:rsid w:val="00543140"/>
    <w:rsid w:val="00545D33"/>
    <w:rsid w:val="005462BD"/>
    <w:rsid w:val="00546607"/>
    <w:rsid w:val="00546CCB"/>
    <w:rsid w:val="00554427"/>
    <w:rsid w:val="00562321"/>
    <w:rsid w:val="005633F7"/>
    <w:rsid w:val="00571AB7"/>
    <w:rsid w:val="00580010"/>
    <w:rsid w:val="00584446"/>
    <w:rsid w:val="00593B2C"/>
    <w:rsid w:val="005A3C09"/>
    <w:rsid w:val="005B338A"/>
    <w:rsid w:val="005B46A4"/>
    <w:rsid w:val="005B6A44"/>
    <w:rsid w:val="005C3185"/>
    <w:rsid w:val="005D397F"/>
    <w:rsid w:val="005D4939"/>
    <w:rsid w:val="005F0DC3"/>
    <w:rsid w:val="005F1560"/>
    <w:rsid w:val="005F725D"/>
    <w:rsid w:val="00600D78"/>
    <w:rsid w:val="00622C36"/>
    <w:rsid w:val="00623C22"/>
    <w:rsid w:val="00626473"/>
    <w:rsid w:val="00631FFC"/>
    <w:rsid w:val="00635B28"/>
    <w:rsid w:val="006418C8"/>
    <w:rsid w:val="006511AB"/>
    <w:rsid w:val="00654124"/>
    <w:rsid w:val="00656DB9"/>
    <w:rsid w:val="00657885"/>
    <w:rsid w:val="0067118B"/>
    <w:rsid w:val="006748EE"/>
    <w:rsid w:val="0069340D"/>
    <w:rsid w:val="006945B4"/>
    <w:rsid w:val="00695962"/>
    <w:rsid w:val="006A52C1"/>
    <w:rsid w:val="006B0095"/>
    <w:rsid w:val="006B1715"/>
    <w:rsid w:val="006B2F13"/>
    <w:rsid w:val="006C339A"/>
    <w:rsid w:val="006D5984"/>
    <w:rsid w:val="006E1CF9"/>
    <w:rsid w:val="006E4C63"/>
    <w:rsid w:val="006E7B98"/>
    <w:rsid w:val="006F3FB6"/>
    <w:rsid w:val="006F7822"/>
    <w:rsid w:val="00701065"/>
    <w:rsid w:val="00703C1B"/>
    <w:rsid w:val="0070530E"/>
    <w:rsid w:val="00711AF2"/>
    <w:rsid w:val="00713DFA"/>
    <w:rsid w:val="00717096"/>
    <w:rsid w:val="0073424F"/>
    <w:rsid w:val="00737C26"/>
    <w:rsid w:val="007453AB"/>
    <w:rsid w:val="00753C62"/>
    <w:rsid w:val="00775CFD"/>
    <w:rsid w:val="00775DDD"/>
    <w:rsid w:val="0077DED4"/>
    <w:rsid w:val="0079488B"/>
    <w:rsid w:val="007A2267"/>
    <w:rsid w:val="007A5BEC"/>
    <w:rsid w:val="007A6C7D"/>
    <w:rsid w:val="007B2511"/>
    <w:rsid w:val="007B3F0D"/>
    <w:rsid w:val="007B4B0B"/>
    <w:rsid w:val="007B5F37"/>
    <w:rsid w:val="007B6883"/>
    <w:rsid w:val="007C27E9"/>
    <w:rsid w:val="007C6502"/>
    <w:rsid w:val="008028A5"/>
    <w:rsid w:val="008120E8"/>
    <w:rsid w:val="00812ECE"/>
    <w:rsid w:val="00814334"/>
    <w:rsid w:val="008200A7"/>
    <w:rsid w:val="008251C6"/>
    <w:rsid w:val="00835FD0"/>
    <w:rsid w:val="008406D8"/>
    <w:rsid w:val="008618B9"/>
    <w:rsid w:val="0086340C"/>
    <w:rsid w:val="00881580"/>
    <w:rsid w:val="00894930"/>
    <w:rsid w:val="008A4E40"/>
    <w:rsid w:val="008A6099"/>
    <w:rsid w:val="008B0AF7"/>
    <w:rsid w:val="008B2925"/>
    <w:rsid w:val="008B572B"/>
    <w:rsid w:val="008C0520"/>
    <w:rsid w:val="008C380B"/>
    <w:rsid w:val="008C4658"/>
    <w:rsid w:val="008C5C4C"/>
    <w:rsid w:val="008D656E"/>
    <w:rsid w:val="008F1DBD"/>
    <w:rsid w:val="00900784"/>
    <w:rsid w:val="009157F8"/>
    <w:rsid w:val="00921AC1"/>
    <w:rsid w:val="00924A75"/>
    <w:rsid w:val="00931258"/>
    <w:rsid w:val="00931E90"/>
    <w:rsid w:val="0094328B"/>
    <w:rsid w:val="009453EC"/>
    <w:rsid w:val="00945C30"/>
    <w:rsid w:val="009541CF"/>
    <w:rsid w:val="00966D72"/>
    <w:rsid w:val="00973732"/>
    <w:rsid w:val="00980FA3"/>
    <w:rsid w:val="00982301"/>
    <w:rsid w:val="00986F04"/>
    <w:rsid w:val="009919DF"/>
    <w:rsid w:val="0099667B"/>
    <w:rsid w:val="00996861"/>
    <w:rsid w:val="009A08D3"/>
    <w:rsid w:val="009A5C62"/>
    <w:rsid w:val="009A6CF2"/>
    <w:rsid w:val="009B0AFD"/>
    <w:rsid w:val="009C1C3E"/>
    <w:rsid w:val="009C2CFB"/>
    <w:rsid w:val="009C7319"/>
    <w:rsid w:val="009D7CBD"/>
    <w:rsid w:val="009F5CCD"/>
    <w:rsid w:val="009F6533"/>
    <w:rsid w:val="00A00DD4"/>
    <w:rsid w:val="00A03BB8"/>
    <w:rsid w:val="00A05E1B"/>
    <w:rsid w:val="00A21295"/>
    <w:rsid w:val="00A2467B"/>
    <w:rsid w:val="00A357EC"/>
    <w:rsid w:val="00A460CF"/>
    <w:rsid w:val="00A46C02"/>
    <w:rsid w:val="00A66C0F"/>
    <w:rsid w:val="00A7193A"/>
    <w:rsid w:val="00A92AD7"/>
    <w:rsid w:val="00A9784D"/>
    <w:rsid w:val="00AA08F4"/>
    <w:rsid w:val="00AC0CD7"/>
    <w:rsid w:val="00AC1B36"/>
    <w:rsid w:val="00AC32C0"/>
    <w:rsid w:val="00AD0A51"/>
    <w:rsid w:val="00AD4752"/>
    <w:rsid w:val="00AD6AD7"/>
    <w:rsid w:val="00AD75D5"/>
    <w:rsid w:val="00AE5F6F"/>
    <w:rsid w:val="00AE685F"/>
    <w:rsid w:val="00AE6A61"/>
    <w:rsid w:val="00AE6E01"/>
    <w:rsid w:val="00AF21D6"/>
    <w:rsid w:val="00AF65F7"/>
    <w:rsid w:val="00B111AA"/>
    <w:rsid w:val="00B129BA"/>
    <w:rsid w:val="00B14CC0"/>
    <w:rsid w:val="00B31E85"/>
    <w:rsid w:val="00B3268F"/>
    <w:rsid w:val="00B50F13"/>
    <w:rsid w:val="00B5261F"/>
    <w:rsid w:val="00B632BB"/>
    <w:rsid w:val="00B656EA"/>
    <w:rsid w:val="00B71555"/>
    <w:rsid w:val="00B723A6"/>
    <w:rsid w:val="00B758CF"/>
    <w:rsid w:val="00B77C8B"/>
    <w:rsid w:val="00B810D4"/>
    <w:rsid w:val="00B82A9B"/>
    <w:rsid w:val="00B83DD6"/>
    <w:rsid w:val="00B968A1"/>
    <w:rsid w:val="00BA4F0A"/>
    <w:rsid w:val="00BB14EC"/>
    <w:rsid w:val="00BB70A1"/>
    <w:rsid w:val="00BB7CF8"/>
    <w:rsid w:val="00BC1E53"/>
    <w:rsid w:val="00BD0DB2"/>
    <w:rsid w:val="00BD4ABF"/>
    <w:rsid w:val="00BF391B"/>
    <w:rsid w:val="00C01D90"/>
    <w:rsid w:val="00C03834"/>
    <w:rsid w:val="00C044EF"/>
    <w:rsid w:val="00C56049"/>
    <w:rsid w:val="00C612BA"/>
    <w:rsid w:val="00C86E44"/>
    <w:rsid w:val="00CA081C"/>
    <w:rsid w:val="00CA296A"/>
    <w:rsid w:val="00CA4F73"/>
    <w:rsid w:val="00CB13BC"/>
    <w:rsid w:val="00CB3993"/>
    <w:rsid w:val="00CB6E84"/>
    <w:rsid w:val="00CC136A"/>
    <w:rsid w:val="00CD0F21"/>
    <w:rsid w:val="00CD0F3D"/>
    <w:rsid w:val="00CE0331"/>
    <w:rsid w:val="00CE344D"/>
    <w:rsid w:val="00CE4410"/>
    <w:rsid w:val="00D03E4E"/>
    <w:rsid w:val="00D1061C"/>
    <w:rsid w:val="00D1329F"/>
    <w:rsid w:val="00D159D0"/>
    <w:rsid w:val="00D16326"/>
    <w:rsid w:val="00D21AF1"/>
    <w:rsid w:val="00D22D16"/>
    <w:rsid w:val="00D27B3F"/>
    <w:rsid w:val="00D32EFF"/>
    <w:rsid w:val="00D331D7"/>
    <w:rsid w:val="00D33214"/>
    <w:rsid w:val="00D55591"/>
    <w:rsid w:val="00D55D4F"/>
    <w:rsid w:val="00D8630C"/>
    <w:rsid w:val="00D90E59"/>
    <w:rsid w:val="00DA601F"/>
    <w:rsid w:val="00DA6E98"/>
    <w:rsid w:val="00DB2BAC"/>
    <w:rsid w:val="00DC04EF"/>
    <w:rsid w:val="00DD43F3"/>
    <w:rsid w:val="00DE651C"/>
    <w:rsid w:val="00DF38FC"/>
    <w:rsid w:val="00E10EC6"/>
    <w:rsid w:val="00E1245B"/>
    <w:rsid w:val="00E14764"/>
    <w:rsid w:val="00E166A4"/>
    <w:rsid w:val="00E22689"/>
    <w:rsid w:val="00E23B69"/>
    <w:rsid w:val="00E241FE"/>
    <w:rsid w:val="00E249CD"/>
    <w:rsid w:val="00E2533A"/>
    <w:rsid w:val="00E26B7D"/>
    <w:rsid w:val="00E27199"/>
    <w:rsid w:val="00E33B7B"/>
    <w:rsid w:val="00E34B6E"/>
    <w:rsid w:val="00E424F9"/>
    <w:rsid w:val="00E46CE9"/>
    <w:rsid w:val="00E5059E"/>
    <w:rsid w:val="00E51162"/>
    <w:rsid w:val="00E55023"/>
    <w:rsid w:val="00E626C2"/>
    <w:rsid w:val="00E73D83"/>
    <w:rsid w:val="00EA3FC0"/>
    <w:rsid w:val="00EB47BE"/>
    <w:rsid w:val="00EB6FF7"/>
    <w:rsid w:val="00EC36B1"/>
    <w:rsid w:val="00EC3AC0"/>
    <w:rsid w:val="00ED4196"/>
    <w:rsid w:val="00EE1849"/>
    <w:rsid w:val="00EE28E8"/>
    <w:rsid w:val="00EE2E06"/>
    <w:rsid w:val="00EF15C5"/>
    <w:rsid w:val="00EF6193"/>
    <w:rsid w:val="00F1433B"/>
    <w:rsid w:val="00F20951"/>
    <w:rsid w:val="00F25C19"/>
    <w:rsid w:val="00F27C6F"/>
    <w:rsid w:val="00F27E7B"/>
    <w:rsid w:val="00F367A2"/>
    <w:rsid w:val="00F63676"/>
    <w:rsid w:val="00F64BC3"/>
    <w:rsid w:val="00F66B0A"/>
    <w:rsid w:val="00F7454F"/>
    <w:rsid w:val="00F75FEE"/>
    <w:rsid w:val="00F843B7"/>
    <w:rsid w:val="00F84462"/>
    <w:rsid w:val="00FA5E5A"/>
    <w:rsid w:val="00FB058D"/>
    <w:rsid w:val="00FB19CD"/>
    <w:rsid w:val="00FC3029"/>
    <w:rsid w:val="00FE393C"/>
    <w:rsid w:val="00FE6FCC"/>
    <w:rsid w:val="013909AB"/>
    <w:rsid w:val="01C13257"/>
    <w:rsid w:val="01D6571E"/>
    <w:rsid w:val="01DFCC8F"/>
    <w:rsid w:val="01F491C2"/>
    <w:rsid w:val="02091EF5"/>
    <w:rsid w:val="0236D2B0"/>
    <w:rsid w:val="0272C1F0"/>
    <w:rsid w:val="02757AC3"/>
    <w:rsid w:val="02A8AAB1"/>
    <w:rsid w:val="02AA6DDE"/>
    <w:rsid w:val="02BD7DB8"/>
    <w:rsid w:val="02F39183"/>
    <w:rsid w:val="03B18919"/>
    <w:rsid w:val="0437F574"/>
    <w:rsid w:val="0452D176"/>
    <w:rsid w:val="04CFB262"/>
    <w:rsid w:val="04EE4A52"/>
    <w:rsid w:val="050383FD"/>
    <w:rsid w:val="05510844"/>
    <w:rsid w:val="0610542A"/>
    <w:rsid w:val="067701D0"/>
    <w:rsid w:val="06C30A71"/>
    <w:rsid w:val="06CF6D21"/>
    <w:rsid w:val="06E3D474"/>
    <w:rsid w:val="0716FFD2"/>
    <w:rsid w:val="075D53F3"/>
    <w:rsid w:val="079115A1"/>
    <w:rsid w:val="07A37018"/>
    <w:rsid w:val="07E633A4"/>
    <w:rsid w:val="07EDD36F"/>
    <w:rsid w:val="07F6B997"/>
    <w:rsid w:val="0801B86E"/>
    <w:rsid w:val="0825349A"/>
    <w:rsid w:val="082C23D8"/>
    <w:rsid w:val="0843DF3C"/>
    <w:rsid w:val="08722FEB"/>
    <w:rsid w:val="0889D68A"/>
    <w:rsid w:val="08D7E791"/>
    <w:rsid w:val="08EBF894"/>
    <w:rsid w:val="09252571"/>
    <w:rsid w:val="0987C816"/>
    <w:rsid w:val="0A6ACA01"/>
    <w:rsid w:val="0B24384B"/>
    <w:rsid w:val="0B79F536"/>
    <w:rsid w:val="0B9673AC"/>
    <w:rsid w:val="0BFD6ACB"/>
    <w:rsid w:val="0C5E4E7D"/>
    <w:rsid w:val="0CADC698"/>
    <w:rsid w:val="0D429D6D"/>
    <w:rsid w:val="0E498C8E"/>
    <w:rsid w:val="0EEBF1CC"/>
    <w:rsid w:val="0EF4880A"/>
    <w:rsid w:val="0EFA1784"/>
    <w:rsid w:val="0F91EE49"/>
    <w:rsid w:val="0FA28A5A"/>
    <w:rsid w:val="0FE3FAA5"/>
    <w:rsid w:val="1043F612"/>
    <w:rsid w:val="10595436"/>
    <w:rsid w:val="1083E49A"/>
    <w:rsid w:val="109DC99A"/>
    <w:rsid w:val="10F11692"/>
    <w:rsid w:val="111CD5D3"/>
    <w:rsid w:val="1123614C"/>
    <w:rsid w:val="11565E14"/>
    <w:rsid w:val="1175107D"/>
    <w:rsid w:val="117FCB8C"/>
    <w:rsid w:val="11B7DF57"/>
    <w:rsid w:val="11E37235"/>
    <w:rsid w:val="12129362"/>
    <w:rsid w:val="1257A21F"/>
    <w:rsid w:val="1261A61E"/>
    <w:rsid w:val="127B64F8"/>
    <w:rsid w:val="128DDAEF"/>
    <w:rsid w:val="12F66E26"/>
    <w:rsid w:val="132346F5"/>
    <w:rsid w:val="132C02E1"/>
    <w:rsid w:val="13D9AC56"/>
    <w:rsid w:val="14982F56"/>
    <w:rsid w:val="14F7EED3"/>
    <w:rsid w:val="150C3ED2"/>
    <w:rsid w:val="1514BE41"/>
    <w:rsid w:val="1524DC14"/>
    <w:rsid w:val="1562E5A7"/>
    <w:rsid w:val="159E0F3B"/>
    <w:rsid w:val="15C41F8B"/>
    <w:rsid w:val="1692B524"/>
    <w:rsid w:val="169F7FCA"/>
    <w:rsid w:val="16A747DF"/>
    <w:rsid w:val="16C1804F"/>
    <w:rsid w:val="16F253DE"/>
    <w:rsid w:val="16FAB429"/>
    <w:rsid w:val="177B2AFC"/>
    <w:rsid w:val="17A54146"/>
    <w:rsid w:val="181CCCC5"/>
    <w:rsid w:val="184A446F"/>
    <w:rsid w:val="18A3AF77"/>
    <w:rsid w:val="18B8F985"/>
    <w:rsid w:val="18E21780"/>
    <w:rsid w:val="18F631F1"/>
    <w:rsid w:val="19304530"/>
    <w:rsid w:val="19A6FA2E"/>
    <w:rsid w:val="19F0EFC6"/>
    <w:rsid w:val="19F64679"/>
    <w:rsid w:val="19FE6437"/>
    <w:rsid w:val="1A3317A1"/>
    <w:rsid w:val="1A90DE8D"/>
    <w:rsid w:val="1AE5AAAC"/>
    <w:rsid w:val="1B2E5F6E"/>
    <w:rsid w:val="1B334CA0"/>
    <w:rsid w:val="1B42CA8F"/>
    <w:rsid w:val="1C075C2E"/>
    <w:rsid w:val="1C16106B"/>
    <w:rsid w:val="1C3396EE"/>
    <w:rsid w:val="1C7B83BB"/>
    <w:rsid w:val="1C8FC9D0"/>
    <w:rsid w:val="1C9D9F87"/>
    <w:rsid w:val="1CB5021B"/>
    <w:rsid w:val="1D069DC4"/>
    <w:rsid w:val="1DC5D14D"/>
    <w:rsid w:val="1DF74140"/>
    <w:rsid w:val="1E2215AC"/>
    <w:rsid w:val="1E29DF5C"/>
    <w:rsid w:val="1E9FC888"/>
    <w:rsid w:val="1EDF93F2"/>
    <w:rsid w:val="1EF6630F"/>
    <w:rsid w:val="1FD237DC"/>
    <w:rsid w:val="1FEDE241"/>
    <w:rsid w:val="2068A0BD"/>
    <w:rsid w:val="208D0DDC"/>
    <w:rsid w:val="209709F8"/>
    <w:rsid w:val="20E851BF"/>
    <w:rsid w:val="21554BA2"/>
    <w:rsid w:val="216469E3"/>
    <w:rsid w:val="222F5837"/>
    <w:rsid w:val="2252471D"/>
    <w:rsid w:val="22836AC4"/>
    <w:rsid w:val="2284C099"/>
    <w:rsid w:val="22CDBDA6"/>
    <w:rsid w:val="22D7118F"/>
    <w:rsid w:val="22EA43DC"/>
    <w:rsid w:val="231330A0"/>
    <w:rsid w:val="23357BE6"/>
    <w:rsid w:val="239E24B4"/>
    <w:rsid w:val="23CB95D8"/>
    <w:rsid w:val="24804E75"/>
    <w:rsid w:val="24914108"/>
    <w:rsid w:val="24AB92DE"/>
    <w:rsid w:val="24F3225F"/>
    <w:rsid w:val="252E730B"/>
    <w:rsid w:val="26613AA5"/>
    <w:rsid w:val="2736B1B2"/>
    <w:rsid w:val="281A820B"/>
    <w:rsid w:val="2825D0A2"/>
    <w:rsid w:val="288248B7"/>
    <w:rsid w:val="289E4AE3"/>
    <w:rsid w:val="28ABD6C1"/>
    <w:rsid w:val="28C13442"/>
    <w:rsid w:val="28C52288"/>
    <w:rsid w:val="2914C889"/>
    <w:rsid w:val="293ADF1F"/>
    <w:rsid w:val="2972C278"/>
    <w:rsid w:val="29DA629E"/>
    <w:rsid w:val="29F3B82D"/>
    <w:rsid w:val="2A01EC32"/>
    <w:rsid w:val="2AAF2E14"/>
    <w:rsid w:val="2B084DCB"/>
    <w:rsid w:val="2BEFF9B3"/>
    <w:rsid w:val="2C0476A7"/>
    <w:rsid w:val="2C29FDEF"/>
    <w:rsid w:val="2C7C011B"/>
    <w:rsid w:val="2CD8A6A1"/>
    <w:rsid w:val="2E1E5699"/>
    <w:rsid w:val="2E69D584"/>
    <w:rsid w:val="2EAD3813"/>
    <w:rsid w:val="2EC0DF3C"/>
    <w:rsid w:val="2EE0E8B1"/>
    <w:rsid w:val="3153805B"/>
    <w:rsid w:val="31FB60B0"/>
    <w:rsid w:val="3267CFBE"/>
    <w:rsid w:val="32913170"/>
    <w:rsid w:val="3313702C"/>
    <w:rsid w:val="333AA6D4"/>
    <w:rsid w:val="33E2A924"/>
    <w:rsid w:val="34683E98"/>
    <w:rsid w:val="34B10A17"/>
    <w:rsid w:val="353119A7"/>
    <w:rsid w:val="3537E1E0"/>
    <w:rsid w:val="35426E3D"/>
    <w:rsid w:val="35530275"/>
    <w:rsid w:val="3578E3C1"/>
    <w:rsid w:val="365E5949"/>
    <w:rsid w:val="36757327"/>
    <w:rsid w:val="37086995"/>
    <w:rsid w:val="3732619C"/>
    <w:rsid w:val="3756C5D8"/>
    <w:rsid w:val="376797EB"/>
    <w:rsid w:val="379111D2"/>
    <w:rsid w:val="37C4E578"/>
    <w:rsid w:val="381A314A"/>
    <w:rsid w:val="382E5E67"/>
    <w:rsid w:val="3851370F"/>
    <w:rsid w:val="3852F61F"/>
    <w:rsid w:val="38AAFE45"/>
    <w:rsid w:val="38EBD120"/>
    <w:rsid w:val="38FC4C15"/>
    <w:rsid w:val="395EEF87"/>
    <w:rsid w:val="39AF4C04"/>
    <w:rsid w:val="3A6AFFD6"/>
    <w:rsid w:val="3A822C28"/>
    <w:rsid w:val="3B0A32E1"/>
    <w:rsid w:val="3B1BE04D"/>
    <w:rsid w:val="3B85410B"/>
    <w:rsid w:val="3BCFB5EB"/>
    <w:rsid w:val="3BDD8FC2"/>
    <w:rsid w:val="3C1795A5"/>
    <w:rsid w:val="3C1E7933"/>
    <w:rsid w:val="3C2E71A9"/>
    <w:rsid w:val="3C5CCA9E"/>
    <w:rsid w:val="3C85AB21"/>
    <w:rsid w:val="3CBC1B8D"/>
    <w:rsid w:val="3CD6F8B3"/>
    <w:rsid w:val="3CD70F69"/>
    <w:rsid w:val="3D33FCA3"/>
    <w:rsid w:val="3D5B9B48"/>
    <w:rsid w:val="3D699004"/>
    <w:rsid w:val="3D90ED07"/>
    <w:rsid w:val="3DA5577D"/>
    <w:rsid w:val="3DD1DA94"/>
    <w:rsid w:val="3DEA3273"/>
    <w:rsid w:val="3E79E64B"/>
    <w:rsid w:val="3EF10500"/>
    <w:rsid w:val="3F4C88A7"/>
    <w:rsid w:val="3F525BEE"/>
    <w:rsid w:val="3FE549B6"/>
    <w:rsid w:val="401E775D"/>
    <w:rsid w:val="404512FC"/>
    <w:rsid w:val="4087B79E"/>
    <w:rsid w:val="40BAA88D"/>
    <w:rsid w:val="40EBE66E"/>
    <w:rsid w:val="40F93606"/>
    <w:rsid w:val="4123D5EC"/>
    <w:rsid w:val="41818D9C"/>
    <w:rsid w:val="4190CFD9"/>
    <w:rsid w:val="41DA5593"/>
    <w:rsid w:val="42A823A0"/>
    <w:rsid w:val="42BD3B3C"/>
    <w:rsid w:val="42FBCC38"/>
    <w:rsid w:val="4313D513"/>
    <w:rsid w:val="4350F8B3"/>
    <w:rsid w:val="43733DEE"/>
    <w:rsid w:val="437A776F"/>
    <w:rsid w:val="43F21116"/>
    <w:rsid w:val="44B29302"/>
    <w:rsid w:val="44ECB4FC"/>
    <w:rsid w:val="450C161B"/>
    <w:rsid w:val="45475D0C"/>
    <w:rsid w:val="45866685"/>
    <w:rsid w:val="458EA30D"/>
    <w:rsid w:val="45F5AADF"/>
    <w:rsid w:val="46001515"/>
    <w:rsid w:val="462F91A1"/>
    <w:rsid w:val="4652DEA6"/>
    <w:rsid w:val="4712BEB6"/>
    <w:rsid w:val="47154FCF"/>
    <w:rsid w:val="47338B04"/>
    <w:rsid w:val="473884FF"/>
    <w:rsid w:val="47AEF2AF"/>
    <w:rsid w:val="47AF9710"/>
    <w:rsid w:val="4831EC3F"/>
    <w:rsid w:val="4870823A"/>
    <w:rsid w:val="48C6AB63"/>
    <w:rsid w:val="48D0ECAC"/>
    <w:rsid w:val="48DA929F"/>
    <w:rsid w:val="49915F62"/>
    <w:rsid w:val="49C86092"/>
    <w:rsid w:val="4A5D52F0"/>
    <w:rsid w:val="4A888A3B"/>
    <w:rsid w:val="4B2F64B1"/>
    <w:rsid w:val="4B6FC4F9"/>
    <w:rsid w:val="4BC4F745"/>
    <w:rsid w:val="4BE7BBE1"/>
    <w:rsid w:val="4C590755"/>
    <w:rsid w:val="4CCD07B1"/>
    <w:rsid w:val="4CD290F9"/>
    <w:rsid w:val="4CDA323E"/>
    <w:rsid w:val="4D26C79D"/>
    <w:rsid w:val="4D4AAACC"/>
    <w:rsid w:val="4D91516F"/>
    <w:rsid w:val="4DBB41AF"/>
    <w:rsid w:val="4E01E6C0"/>
    <w:rsid w:val="4E02A9E5"/>
    <w:rsid w:val="4E24C1B9"/>
    <w:rsid w:val="4E3DC4E7"/>
    <w:rsid w:val="4E4D8B69"/>
    <w:rsid w:val="4E552453"/>
    <w:rsid w:val="4E7CF08B"/>
    <w:rsid w:val="4E7E441A"/>
    <w:rsid w:val="4E97AD2D"/>
    <w:rsid w:val="4EEBDBF8"/>
    <w:rsid w:val="4F5CC3DC"/>
    <w:rsid w:val="4F70F5CF"/>
    <w:rsid w:val="4FAAF42A"/>
    <w:rsid w:val="4FD18327"/>
    <w:rsid w:val="517185A8"/>
    <w:rsid w:val="518310A9"/>
    <w:rsid w:val="524A7C30"/>
    <w:rsid w:val="52A24AEA"/>
    <w:rsid w:val="52C8681D"/>
    <w:rsid w:val="53093423"/>
    <w:rsid w:val="539871BE"/>
    <w:rsid w:val="5438301F"/>
    <w:rsid w:val="54942F08"/>
    <w:rsid w:val="55082A69"/>
    <w:rsid w:val="552C0C22"/>
    <w:rsid w:val="553CF752"/>
    <w:rsid w:val="55B77D02"/>
    <w:rsid w:val="55C25DBD"/>
    <w:rsid w:val="55D0DF76"/>
    <w:rsid w:val="55E7D5B9"/>
    <w:rsid w:val="5620F4D9"/>
    <w:rsid w:val="563276C3"/>
    <w:rsid w:val="564EB413"/>
    <w:rsid w:val="56C46757"/>
    <w:rsid w:val="5789D1E8"/>
    <w:rsid w:val="57DA0FF6"/>
    <w:rsid w:val="582FD430"/>
    <w:rsid w:val="583F2C02"/>
    <w:rsid w:val="588E13A7"/>
    <w:rsid w:val="58D7F1F1"/>
    <w:rsid w:val="5905839A"/>
    <w:rsid w:val="59299FDF"/>
    <w:rsid w:val="59E73845"/>
    <w:rsid w:val="59FEA49E"/>
    <w:rsid w:val="5A9E1A92"/>
    <w:rsid w:val="5AE0B349"/>
    <w:rsid w:val="5B1FC87E"/>
    <w:rsid w:val="5B258219"/>
    <w:rsid w:val="5B39CB95"/>
    <w:rsid w:val="5BABB5FA"/>
    <w:rsid w:val="5BAD20A2"/>
    <w:rsid w:val="5BC880EB"/>
    <w:rsid w:val="5BD9E5A4"/>
    <w:rsid w:val="5BF4B629"/>
    <w:rsid w:val="5CAA6B6C"/>
    <w:rsid w:val="5CD42548"/>
    <w:rsid w:val="5CD47813"/>
    <w:rsid w:val="5CD62B1B"/>
    <w:rsid w:val="5D5C6421"/>
    <w:rsid w:val="5DC50EC0"/>
    <w:rsid w:val="5DDD0DBB"/>
    <w:rsid w:val="5E8504B5"/>
    <w:rsid w:val="5EA91B5E"/>
    <w:rsid w:val="5EAD1456"/>
    <w:rsid w:val="5ED710D7"/>
    <w:rsid w:val="5F166A96"/>
    <w:rsid w:val="5F1CCCED"/>
    <w:rsid w:val="5F513FDE"/>
    <w:rsid w:val="5FCA7095"/>
    <w:rsid w:val="60087219"/>
    <w:rsid w:val="603A6134"/>
    <w:rsid w:val="607BE2BB"/>
    <w:rsid w:val="60F6F5CE"/>
    <w:rsid w:val="611E4821"/>
    <w:rsid w:val="613CD5E2"/>
    <w:rsid w:val="61F0B22B"/>
    <w:rsid w:val="61F9AC2F"/>
    <w:rsid w:val="621FDAB4"/>
    <w:rsid w:val="62705CB0"/>
    <w:rsid w:val="62A1AD26"/>
    <w:rsid w:val="62C130D8"/>
    <w:rsid w:val="630B4D52"/>
    <w:rsid w:val="631BFDE0"/>
    <w:rsid w:val="635F4339"/>
    <w:rsid w:val="63832C35"/>
    <w:rsid w:val="63BD4381"/>
    <w:rsid w:val="63D28747"/>
    <w:rsid w:val="6407E1FD"/>
    <w:rsid w:val="6465C575"/>
    <w:rsid w:val="64E47276"/>
    <w:rsid w:val="64E62713"/>
    <w:rsid w:val="6505CBC8"/>
    <w:rsid w:val="6528B3CA"/>
    <w:rsid w:val="65DE5E73"/>
    <w:rsid w:val="6629B08F"/>
    <w:rsid w:val="66598B00"/>
    <w:rsid w:val="665E243B"/>
    <w:rsid w:val="667FD584"/>
    <w:rsid w:val="6683A68A"/>
    <w:rsid w:val="66A3EA5C"/>
    <w:rsid w:val="678DBE25"/>
    <w:rsid w:val="67A540DB"/>
    <w:rsid w:val="67D1CD60"/>
    <w:rsid w:val="67DB4D41"/>
    <w:rsid w:val="67FC2E76"/>
    <w:rsid w:val="6806749C"/>
    <w:rsid w:val="6813E22A"/>
    <w:rsid w:val="6839956E"/>
    <w:rsid w:val="68633A49"/>
    <w:rsid w:val="68782CDB"/>
    <w:rsid w:val="696FB553"/>
    <w:rsid w:val="69A5BD31"/>
    <w:rsid w:val="6A59A68E"/>
    <w:rsid w:val="6A7249E8"/>
    <w:rsid w:val="6B6F16C4"/>
    <w:rsid w:val="6BBB7253"/>
    <w:rsid w:val="6C1128EE"/>
    <w:rsid w:val="6C2793EB"/>
    <w:rsid w:val="6C96A437"/>
    <w:rsid w:val="6CA23A97"/>
    <w:rsid w:val="6D3B90B6"/>
    <w:rsid w:val="6E6DAE05"/>
    <w:rsid w:val="6E88B5AC"/>
    <w:rsid w:val="6ECE7391"/>
    <w:rsid w:val="6FA0CB3D"/>
    <w:rsid w:val="6FA78C80"/>
    <w:rsid w:val="710FD689"/>
    <w:rsid w:val="714DD2C5"/>
    <w:rsid w:val="725E9B74"/>
    <w:rsid w:val="72BC4BD8"/>
    <w:rsid w:val="7372EC8A"/>
    <w:rsid w:val="73807E70"/>
    <w:rsid w:val="73C377F1"/>
    <w:rsid w:val="742144C9"/>
    <w:rsid w:val="74435316"/>
    <w:rsid w:val="74A7563B"/>
    <w:rsid w:val="74B0072E"/>
    <w:rsid w:val="74C666B3"/>
    <w:rsid w:val="74F9337F"/>
    <w:rsid w:val="751F57C0"/>
    <w:rsid w:val="752D3DF3"/>
    <w:rsid w:val="7531065C"/>
    <w:rsid w:val="75C0014D"/>
    <w:rsid w:val="75C6654E"/>
    <w:rsid w:val="75D67BEB"/>
    <w:rsid w:val="762C4D8F"/>
    <w:rsid w:val="76495714"/>
    <w:rsid w:val="76B3AD13"/>
    <w:rsid w:val="76C37DBB"/>
    <w:rsid w:val="77B254A2"/>
    <w:rsid w:val="77E227E1"/>
    <w:rsid w:val="77EB0A10"/>
    <w:rsid w:val="7803F979"/>
    <w:rsid w:val="781BCBD9"/>
    <w:rsid w:val="784E8AB1"/>
    <w:rsid w:val="78A9D303"/>
    <w:rsid w:val="79A2A3F3"/>
    <w:rsid w:val="79A71228"/>
    <w:rsid w:val="79C7DDE2"/>
    <w:rsid w:val="79C8EE16"/>
    <w:rsid w:val="7A11F8BB"/>
    <w:rsid w:val="7B083715"/>
    <w:rsid w:val="7B1BD426"/>
    <w:rsid w:val="7B8B41FF"/>
    <w:rsid w:val="7BEABBD9"/>
    <w:rsid w:val="7C00E428"/>
    <w:rsid w:val="7C546065"/>
    <w:rsid w:val="7D5D711C"/>
    <w:rsid w:val="7DA0DCC4"/>
    <w:rsid w:val="7EA5408B"/>
    <w:rsid w:val="7F275D8C"/>
    <w:rsid w:val="7F8F3A63"/>
    <w:rsid w:val="7FA64B02"/>
    <w:rsid w:val="7FB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BCB1989"/>
  <w15:docId w15:val="{AD3E2D9C-64D3-45A6-9080-CE83F20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arasts">
    <w:name w:val="Normal"/>
    <w:qFormat/>
    <w:rsid w:val="00775DD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9C2CFB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9C2CFB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9C2CFB"/>
    <w:rPr>
      <w:rFonts w:ascii="Times New Roman" w:hAnsi="Times New Roman" w:cs="Times New Roman"/>
      <w:lang w:val="lv-LV"/>
    </w:rPr>
  </w:style>
  <w:style w:type="paragraph" w:styleId="Pamatteksts3">
    <w:name w:val="Body Text 3"/>
    <w:basedOn w:val="Parasts"/>
    <w:link w:val="Pamatteksts3Rakstz"/>
    <w:uiPriority w:val="99"/>
    <w:rsid w:val="009C2CFB"/>
    <w:pPr>
      <w:spacing w:after="120"/>
    </w:pPr>
    <w:rPr>
      <w:sz w:val="16"/>
      <w:szCs w:val="16"/>
      <w:lang w:val="en-US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9C2CFB"/>
    <w:rPr>
      <w:rFonts w:ascii="Times New Roman" w:hAnsi="Times New Roman" w:cs="Times New Roman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rsid w:val="009C2C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uiPriority w:val="99"/>
    <w:rsid w:val="009C2CFB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9C2CF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C2CFB"/>
    <w:rPr>
      <w:rFonts w:ascii="Times New Roman" w:hAnsi="Times New Roman" w:cs="Times New Roman"/>
      <w:lang w:val="lv-LV"/>
    </w:rPr>
  </w:style>
  <w:style w:type="table" w:styleId="Reatabula">
    <w:name w:val="Table Grid"/>
    <w:basedOn w:val="Parastatabula"/>
    <w:uiPriority w:val="99"/>
    <w:locked/>
    <w:rsid w:val="00B723A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DE651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E651C"/>
    <w:rPr>
      <w:rFonts w:ascii="Segoe UI" w:hAnsi="Segoe UI" w:cs="Segoe UI"/>
      <w:sz w:val="18"/>
      <w:szCs w:val="18"/>
      <w:lang w:eastAsia="en-US"/>
    </w:rPr>
  </w:style>
  <w:style w:type="paragraph" w:styleId="Prskatjums">
    <w:name w:val="Revision"/>
    <w:hidden/>
    <w:uiPriority w:val="99"/>
    <w:semiHidden/>
    <w:rsid w:val="001222F1"/>
    <w:rPr>
      <w:rFonts w:ascii="Times New Roman" w:eastAsia="Times New Roman" w:hAnsi="Times New Roman"/>
      <w:sz w:val="24"/>
      <w:szCs w:val="24"/>
      <w:lang w:eastAsia="en-US"/>
    </w:rPr>
  </w:style>
  <w:style w:type="paragraph" w:styleId="Vresteksts">
    <w:name w:val="footnote text"/>
    <w:aliases w:val="Footnote Text1,Char Char Char1,Char1,Char Char Char Char Char1,Char Char Char Char Char Char Char,Char Char Char Char Char Char Char Char Char,Char Char Char Char Char Char Char C Char"/>
    <w:basedOn w:val="Parasts"/>
    <w:link w:val="VrestekstsRakstz"/>
    <w:uiPriority w:val="99"/>
    <w:unhideWhenUsed/>
    <w:rsid w:val="001A6E82"/>
    <w:rPr>
      <w:rFonts w:ascii="Calibri" w:eastAsiaTheme="minorHAnsi" w:hAnsi="Calibri" w:cs="Calibri"/>
      <w:sz w:val="20"/>
      <w:szCs w:val="20"/>
      <w:lang w:eastAsia="lv-LV"/>
    </w:rPr>
  </w:style>
  <w:style w:type="character" w:customStyle="1" w:styleId="VrestekstsRakstz">
    <w:name w:val="Vēres teksts Rakstz."/>
    <w:aliases w:val="Footnote Text1 Rakstz.,Char Char Char1 Rakstz.,Char1 Rakstz.,Char Char Char Char Char1 Rakstz.,Char Char Char Char Char Char Char Rakstz.,Char Char Char Char Char Char Char Char Char Rakstz."/>
    <w:basedOn w:val="Noklusjumarindkopasfonts"/>
    <w:link w:val="Vresteksts"/>
    <w:uiPriority w:val="99"/>
    <w:rsid w:val="001A6E82"/>
    <w:rPr>
      <w:rFonts w:eastAsiaTheme="minorHAnsi" w:cs="Calibri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D009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E34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34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344D"/>
    <w:rPr>
      <w:rFonts w:ascii="Times New Roman" w:eastAsia="Times New Roman" w:hAnsi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34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344D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1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tis.Groza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7B47C8F56360438D6393264B5F3568" ma:contentTypeVersion="13" ma:contentTypeDescription="Izveidot jaunu dokumentu." ma:contentTypeScope="" ma:versionID="908a560bd3a9a1eac1502e5b6ea6ec2a">
  <xsd:schema xmlns:xsd="http://www.w3.org/2001/XMLSchema" xmlns:xs="http://www.w3.org/2001/XMLSchema" xmlns:p="http://schemas.microsoft.com/office/2006/metadata/properties" xmlns:ns3="759328dd-0269-4ab1-9769-381686d40f78" xmlns:ns4="c4ac0050-f20e-4b84-adbf-5ea0a7eb78e7" targetNamespace="http://schemas.microsoft.com/office/2006/metadata/properties" ma:root="true" ma:fieldsID="c517f840f99a5f0dbd197c7712501bc2" ns3:_="" ns4:_="">
    <xsd:import namespace="759328dd-0269-4ab1-9769-381686d40f78"/>
    <xsd:import namespace="c4ac0050-f20e-4b84-adbf-5ea0a7eb7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28dd-0269-4ab1-9769-381686d40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0050-f20e-4b84-adbf-5ea0a7eb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B9FBC-2A5E-4442-B770-8C200D30475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c4ac0050-f20e-4b84-adbf-5ea0a7eb78e7"/>
    <ds:schemaRef ds:uri="http://schemas.openxmlformats.org/package/2006/metadata/core-properties"/>
    <ds:schemaRef ds:uri="759328dd-0269-4ab1-9769-381686d40f78"/>
  </ds:schemaRefs>
</ds:datastoreItem>
</file>

<file path=customXml/itemProps2.xml><?xml version="1.0" encoding="utf-8"?>
<ds:datastoreItem xmlns:ds="http://schemas.openxmlformats.org/officeDocument/2006/customXml" ds:itemID="{C25930EF-5248-4A85-9BF8-5F3779F50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09FBA-2D0B-4EF5-A604-0F57D0A4F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EFF0B-797D-453E-9839-FF5096D58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328dd-0269-4ab1-9769-381686d40f78"/>
    <ds:schemaRef ds:uri="c4ac0050-f20e-4b84-adbf-5ea0a7eb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797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Tiesību akta projekta sākotnējās ietekmes novērtējuma ziņojums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</dc:title>
  <dc:subject/>
  <dc:creator>Sandra Ķirse</dc:creator>
  <cp:keywords/>
  <dc:description/>
  <cp:lastModifiedBy>Anete Šakina</cp:lastModifiedBy>
  <cp:revision>21</cp:revision>
  <cp:lastPrinted>2020-07-14T20:52:00Z</cp:lastPrinted>
  <dcterms:created xsi:type="dcterms:W3CDTF">2021-07-22T06:03:00Z</dcterms:created>
  <dcterms:modified xsi:type="dcterms:W3CDTF">2021-07-22T07:03:00Z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0x010100F77B47C8F56360438D6393264B5F3568</vt:lpwstr>
  </property>
</Properties>
</file>