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07C0" w:rsidR="00CE6EC5" w:rsidP="00CE6EC5" w:rsidRDefault="00CE6EC5" w14:paraId="2D4B1CD2" w14:textId="23AC18BB">
      <w:pPr>
        <w:spacing w:after="0" w:line="240" w:lineRule="auto"/>
        <w:ind w:firstLine="300"/>
        <w:jc w:val="center"/>
        <w:rPr>
          <w:rFonts w:ascii="Times New Roman" w:hAnsi="Times New Roman" w:eastAsia="Times New Roman"/>
          <w:b/>
          <w:bCs/>
          <w:sz w:val="24"/>
          <w:szCs w:val="24"/>
          <w:lang w:eastAsia="lv-LV"/>
        </w:rPr>
      </w:pPr>
      <w:r w:rsidRPr="004607C0">
        <w:rPr>
          <w:rFonts w:ascii="Times New Roman" w:hAnsi="Times New Roman" w:eastAsia="Times New Roman" w:cs="Times New Roman"/>
          <w:b/>
          <w:bCs/>
          <w:sz w:val="24"/>
          <w:szCs w:val="24"/>
          <w:lang w:eastAsia="lv-LV"/>
        </w:rPr>
        <w:t xml:space="preserve">Ministru kabineta noteikumu </w:t>
      </w:r>
      <w:r w:rsidRPr="004607C0" w:rsidR="0064227B">
        <w:rPr>
          <w:rFonts w:ascii="Times New Roman" w:hAnsi="Times New Roman" w:eastAsia="Times New Roman" w:cs="Times New Roman"/>
          <w:b/>
          <w:bCs/>
          <w:sz w:val="24"/>
          <w:szCs w:val="24"/>
          <w:lang w:eastAsia="lv-LV"/>
        </w:rPr>
        <w:t>projekta "</w:t>
      </w:r>
      <w:bookmarkStart w:name="_Hlk77858996" w:id="0"/>
      <w:r w:rsidRPr="0031335C" w:rsidR="0031335C">
        <w:rPr>
          <w:rFonts w:ascii="Times New Roman" w:hAnsi="Times New Roman" w:cs="Times New Roman"/>
          <w:b/>
          <w:sz w:val="24"/>
          <w:szCs w:val="24"/>
        </w:rPr>
        <w:t xml:space="preserve">Grozījumi </w:t>
      </w:r>
      <w:bookmarkStart w:name="OLE_LINK1" w:id="1"/>
      <w:bookmarkStart w:name="OLE_LINK2" w:id="2"/>
      <w:r w:rsidRPr="0031335C" w:rsidR="0031335C">
        <w:rPr>
          <w:rFonts w:ascii="Times New Roman" w:hAnsi="Times New Roman" w:cs="Times New Roman"/>
          <w:b/>
          <w:sz w:val="24"/>
          <w:szCs w:val="24"/>
        </w:rPr>
        <w:t>Ministru kabineta 2016. gada 11. oktobra noteikumos Nr. 664 "</w:t>
      </w:r>
      <w:r w:rsidRPr="0031335C" w:rsidR="0031335C">
        <w:rPr>
          <w:rFonts w:ascii="Times New Roman" w:hAnsi="Times New Roman" w:cs="Times New Roman"/>
          <w:b/>
          <w:bCs/>
          <w:sz w:val="24"/>
          <w:szCs w:val="24"/>
        </w:rPr>
        <w:t>Noteikumi par valsts nodevu, kas maksājama par ierakstu izdarīšanu uzņēmumu reģistra žurnālā un komercreģistrā, kā arī iesniedzamo dokumentu reģistrēšanu</w:t>
      </w:r>
      <w:bookmarkEnd w:id="1"/>
      <w:bookmarkEnd w:id="2"/>
      <w:bookmarkEnd w:id="0"/>
      <w:r w:rsidRPr="0031335C" w:rsidR="0031335C">
        <w:rPr>
          <w:rFonts w:ascii="Times New Roman" w:hAnsi="Times New Roman" w:cs="Times New Roman"/>
          <w:b/>
          <w:sz w:val="24"/>
          <w:szCs w:val="24"/>
        </w:rPr>
        <w:t>"</w:t>
      </w:r>
      <w:r w:rsidRPr="004607C0" w:rsidR="00A71986">
        <w:rPr>
          <w:rFonts w:ascii="Times New Roman" w:hAnsi="Times New Roman" w:eastAsia="Times New Roman"/>
          <w:b/>
          <w:bCs/>
          <w:sz w:val="24"/>
          <w:szCs w:val="24"/>
          <w:lang w:eastAsia="lv-LV"/>
        </w:rPr>
        <w:t>"</w:t>
      </w:r>
      <w:r w:rsidRPr="004607C0">
        <w:rPr>
          <w:rFonts w:ascii="Times New Roman" w:hAnsi="Times New Roman" w:eastAsia="Times New Roman"/>
          <w:b/>
          <w:bCs/>
          <w:sz w:val="24"/>
          <w:szCs w:val="24"/>
          <w:lang w:eastAsia="lv-LV"/>
        </w:rPr>
        <w:t xml:space="preserve"> sākotnējās ietekmes novērtējuma ziņojums (anotācija)</w:t>
      </w:r>
    </w:p>
    <w:p w:rsidRPr="004607C0" w:rsidR="00DA596D" w:rsidP="00DA596D" w:rsidRDefault="00DA596D" w14:paraId="1C76E832" w14:textId="422FD4BE">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114"/>
        <w:gridCol w:w="5947"/>
      </w:tblGrid>
      <w:tr w:rsidRPr="004607C0" w:rsidR="004607C0" w:rsidTr="00ED02D8" w14:paraId="077F5BB3" w14:textId="77777777">
        <w:trPr>
          <w:cantSplit/>
        </w:trPr>
        <w:tc>
          <w:tcPr>
            <w:tcW w:w="9061" w:type="dxa"/>
            <w:gridSpan w:val="2"/>
            <w:shd w:val="clear" w:color="auto" w:fill="FFFFFF"/>
            <w:vAlign w:val="center"/>
            <w:hideMark/>
          </w:tcPr>
          <w:p w:rsidRPr="004607C0" w:rsidR="00C647F8" w:rsidP="00ED02D8" w:rsidRDefault="00C647F8" w14:paraId="10903649" w14:textId="77777777">
            <w:pPr>
              <w:spacing w:after="0" w:line="240" w:lineRule="auto"/>
              <w:ind w:firstLine="300"/>
              <w:jc w:val="center"/>
              <w:rPr>
                <w:rFonts w:ascii="Cambria" w:hAnsi="Cambria"/>
                <w:b/>
                <w:iCs/>
                <w:sz w:val="19"/>
                <w:szCs w:val="19"/>
              </w:rPr>
            </w:pPr>
            <w:r w:rsidRPr="004607C0">
              <w:rPr>
                <w:rFonts w:ascii="Times New Roman" w:hAnsi="Times New Roman" w:eastAsia="Times New Roman" w:cs="Times New Roman"/>
                <w:b/>
                <w:bCs/>
                <w:sz w:val="24"/>
                <w:szCs w:val="24"/>
                <w:lang w:eastAsia="lv-LV"/>
              </w:rPr>
              <w:t>Tiesību akta projekta anotācijas kopsavilkums</w:t>
            </w:r>
          </w:p>
        </w:tc>
      </w:tr>
      <w:tr w:rsidRPr="004607C0" w:rsidR="004607C0" w:rsidTr="00E11837" w14:paraId="5DF8F6FD" w14:textId="77777777">
        <w:trPr>
          <w:cantSplit/>
        </w:trPr>
        <w:tc>
          <w:tcPr>
            <w:tcW w:w="3114" w:type="dxa"/>
            <w:shd w:val="clear" w:color="auto" w:fill="FFFFFF"/>
            <w:hideMark/>
          </w:tcPr>
          <w:p w:rsidRPr="004607C0" w:rsidR="00C647F8" w:rsidP="00ED02D8" w:rsidRDefault="00C647F8" w14:paraId="3BED98F3"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Mērķis, risinājums un projekta spēkā stāšanās laiks (500 zīmes bez atstarpēm)</w:t>
            </w:r>
          </w:p>
        </w:tc>
        <w:tc>
          <w:tcPr>
            <w:tcW w:w="5947" w:type="dxa"/>
            <w:shd w:val="clear" w:color="auto" w:fill="FFFFFF"/>
            <w:hideMark/>
          </w:tcPr>
          <w:p w:rsidR="0031335C" w:rsidP="00B8533B" w:rsidRDefault="00B8533B" w14:paraId="585D4374" w14:textId="1174C21A">
            <w:pPr>
              <w:spacing w:after="0" w:line="240" w:lineRule="auto"/>
              <w:ind w:firstLine="284"/>
              <w:jc w:val="both"/>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 xml:space="preserve">Ministru kabineta </w:t>
            </w:r>
            <w:r w:rsidRPr="0031335C">
              <w:rPr>
                <w:rFonts w:ascii="Times New Roman" w:hAnsi="Times New Roman" w:eastAsia="Times New Roman" w:cs="Times New Roman"/>
                <w:sz w:val="24"/>
                <w:szCs w:val="24"/>
                <w:lang w:eastAsia="lv-LV"/>
              </w:rPr>
              <w:t>noteikumu projekta "</w:t>
            </w:r>
            <w:r w:rsidRPr="0031335C" w:rsidR="0031335C">
              <w:rPr>
                <w:rFonts w:ascii="Times New Roman" w:hAnsi="Times New Roman" w:cs="Times New Roman"/>
                <w:sz w:val="24"/>
                <w:szCs w:val="24"/>
              </w:rPr>
              <w:t>Grozījumi Ministru kabineta 2016. gada 11. oktobra noteikumos Nr. 664 "Noteikumi par valsts nodevu, kas maksājama par ierakstu izdarīšanu uzņēmumu reģistra žurnālā un komercreģistrā, kā arī iesniedzamo dokumentu reģistrēšanu"</w:t>
            </w:r>
            <w:r w:rsidR="0031335C">
              <w:rPr>
                <w:rFonts w:ascii="Times New Roman" w:hAnsi="Times New Roman" w:cs="Times New Roman"/>
                <w:sz w:val="24"/>
                <w:szCs w:val="24"/>
              </w:rPr>
              <w:t xml:space="preserve"> </w:t>
            </w:r>
            <w:r w:rsidRPr="004607C0">
              <w:rPr>
                <w:rFonts w:ascii="Times New Roman" w:hAnsi="Times New Roman" w:eastAsia="Times New Roman"/>
                <w:sz w:val="24"/>
                <w:szCs w:val="24"/>
                <w:lang w:eastAsia="lv-LV"/>
              </w:rPr>
              <w:t>(turpmāk – P</w:t>
            </w:r>
            <w:r w:rsidRPr="004607C0" w:rsidR="00212835">
              <w:rPr>
                <w:rFonts w:ascii="Times New Roman" w:hAnsi="Times New Roman" w:eastAsia="Times New Roman" w:cs="Times New Roman"/>
                <w:sz w:val="24"/>
                <w:szCs w:val="24"/>
                <w:lang w:eastAsia="lv-LV"/>
              </w:rPr>
              <w:t>rojekt</w:t>
            </w:r>
            <w:r w:rsidRPr="004607C0">
              <w:rPr>
                <w:rFonts w:ascii="Times New Roman" w:hAnsi="Times New Roman" w:eastAsia="Times New Roman" w:cs="Times New Roman"/>
                <w:sz w:val="24"/>
                <w:szCs w:val="24"/>
                <w:lang w:eastAsia="lv-LV"/>
              </w:rPr>
              <w:t>s)</w:t>
            </w:r>
            <w:r w:rsidRPr="004607C0" w:rsidR="007F3583">
              <w:rPr>
                <w:rFonts w:ascii="Times New Roman" w:hAnsi="Times New Roman" w:eastAsia="Times New Roman" w:cs="Times New Roman"/>
                <w:sz w:val="24"/>
                <w:szCs w:val="24"/>
                <w:lang w:eastAsia="lv-LV"/>
              </w:rPr>
              <w:t xml:space="preserve"> mērķis ir </w:t>
            </w:r>
            <w:r w:rsidR="001C1BEA">
              <w:rPr>
                <w:rFonts w:ascii="Times New Roman" w:hAnsi="Times New Roman" w:eastAsia="Times New Roman" w:cs="Times New Roman"/>
                <w:sz w:val="24"/>
                <w:szCs w:val="24"/>
                <w:lang w:eastAsia="lv-LV"/>
              </w:rPr>
              <w:t xml:space="preserve">noteikt </w:t>
            </w:r>
            <w:r w:rsidR="0031335C">
              <w:rPr>
                <w:rFonts w:ascii="Times New Roman" w:hAnsi="Times New Roman" w:eastAsia="Times New Roman" w:cs="Times New Roman"/>
                <w:sz w:val="24"/>
                <w:szCs w:val="24"/>
                <w:lang w:eastAsia="lv-LV"/>
              </w:rPr>
              <w:t>valsts nodevas par komercreģistrā ierakstāmo tiesību subjektu reģistrāciju</w:t>
            </w:r>
            <w:r w:rsidR="001C1BEA">
              <w:rPr>
                <w:rFonts w:ascii="Times New Roman" w:hAnsi="Times New Roman" w:eastAsia="Times New Roman" w:cs="Times New Roman"/>
                <w:sz w:val="24"/>
                <w:szCs w:val="24"/>
                <w:lang w:eastAsia="lv-LV"/>
              </w:rPr>
              <w:t>, d</w:t>
            </w:r>
            <w:r w:rsidR="0031335C">
              <w:rPr>
                <w:rFonts w:ascii="Times New Roman" w:hAnsi="Times New Roman" w:eastAsia="Times New Roman" w:cs="Times New Roman"/>
                <w:sz w:val="24"/>
                <w:szCs w:val="24"/>
                <w:lang w:eastAsia="lv-LV"/>
              </w:rPr>
              <w:t>okumentu pievienošanu reģistrācijas lietai</w:t>
            </w:r>
            <w:r w:rsidR="001C1BEA">
              <w:rPr>
                <w:rFonts w:ascii="Times New Roman" w:hAnsi="Times New Roman" w:eastAsia="Times New Roman" w:cs="Times New Roman"/>
                <w:sz w:val="24"/>
                <w:szCs w:val="24"/>
                <w:lang w:eastAsia="lv-LV"/>
              </w:rPr>
              <w:t xml:space="preserve"> un</w:t>
            </w:r>
            <w:r w:rsidR="0031335C">
              <w:rPr>
                <w:rFonts w:ascii="Times New Roman" w:hAnsi="Times New Roman" w:eastAsia="Times New Roman" w:cs="Times New Roman"/>
                <w:sz w:val="24"/>
                <w:szCs w:val="24"/>
                <w:lang w:eastAsia="lv-LV"/>
              </w:rPr>
              <w:t xml:space="preserve"> izmaiņu reģistrāciju apmēr</w:t>
            </w:r>
            <w:r w:rsidR="001C1BEA">
              <w:rPr>
                <w:rFonts w:ascii="Times New Roman" w:hAnsi="Times New Roman" w:eastAsia="Times New Roman" w:cs="Times New Roman"/>
                <w:sz w:val="24"/>
                <w:szCs w:val="24"/>
                <w:lang w:eastAsia="lv-LV"/>
              </w:rPr>
              <w:t>ā, kas</w:t>
            </w:r>
            <w:r w:rsidR="002F7B2B">
              <w:rPr>
                <w:rFonts w:ascii="Times New Roman" w:hAnsi="Times New Roman" w:eastAsia="Times New Roman" w:cs="Times New Roman"/>
                <w:sz w:val="24"/>
                <w:szCs w:val="24"/>
                <w:lang w:eastAsia="lv-LV"/>
              </w:rPr>
              <w:t xml:space="preserve"> ne</w:t>
            </w:r>
            <w:r w:rsidR="005005ED">
              <w:rPr>
                <w:rFonts w:ascii="Times New Roman" w:hAnsi="Times New Roman" w:eastAsia="Times New Roman" w:cs="Times New Roman"/>
                <w:sz w:val="24"/>
                <w:szCs w:val="24"/>
                <w:lang w:eastAsia="lv-LV"/>
              </w:rPr>
              <w:t>pārsnie</w:t>
            </w:r>
            <w:r w:rsidR="001C1BEA">
              <w:rPr>
                <w:rFonts w:ascii="Times New Roman" w:hAnsi="Times New Roman" w:eastAsia="Times New Roman" w:cs="Times New Roman"/>
                <w:sz w:val="24"/>
                <w:szCs w:val="24"/>
                <w:lang w:eastAsia="lv-LV"/>
              </w:rPr>
              <w:t>dz</w:t>
            </w:r>
            <w:r w:rsidR="0031335C">
              <w:rPr>
                <w:rFonts w:ascii="Times New Roman" w:hAnsi="Times New Roman" w:eastAsia="Times New Roman" w:cs="Times New Roman"/>
                <w:sz w:val="24"/>
                <w:szCs w:val="24"/>
                <w:lang w:eastAsia="lv-LV"/>
              </w:rPr>
              <w:t xml:space="preserve"> administratīvā</w:t>
            </w:r>
            <w:r w:rsidR="005005ED">
              <w:rPr>
                <w:rFonts w:ascii="Times New Roman" w:hAnsi="Times New Roman" w:eastAsia="Times New Roman" w:cs="Times New Roman"/>
                <w:sz w:val="24"/>
                <w:szCs w:val="24"/>
                <w:lang w:eastAsia="lv-LV"/>
              </w:rPr>
              <w:t>s</w:t>
            </w:r>
            <w:r w:rsidR="0031335C">
              <w:rPr>
                <w:rFonts w:ascii="Times New Roman" w:hAnsi="Times New Roman" w:eastAsia="Times New Roman" w:cs="Times New Roman"/>
                <w:sz w:val="24"/>
                <w:szCs w:val="24"/>
                <w:lang w:eastAsia="lv-LV"/>
              </w:rPr>
              <w:t xml:space="preserve"> izmaks</w:t>
            </w:r>
            <w:r w:rsidR="005005ED">
              <w:rPr>
                <w:rFonts w:ascii="Times New Roman" w:hAnsi="Times New Roman" w:eastAsia="Times New Roman" w:cs="Times New Roman"/>
                <w:sz w:val="24"/>
                <w:szCs w:val="24"/>
                <w:lang w:eastAsia="lv-LV"/>
              </w:rPr>
              <w:t>as</w:t>
            </w:r>
            <w:r w:rsidR="0031335C">
              <w:rPr>
                <w:rFonts w:ascii="Times New Roman" w:hAnsi="Times New Roman" w:eastAsia="Times New Roman" w:cs="Times New Roman"/>
                <w:sz w:val="24"/>
                <w:szCs w:val="24"/>
                <w:lang w:eastAsia="lv-LV"/>
              </w:rPr>
              <w:t>.</w:t>
            </w:r>
          </w:p>
          <w:p w:rsidRPr="0071079A" w:rsidR="007F3583" w:rsidP="0071079A" w:rsidRDefault="00FD75D9" w14:paraId="7BA75872" w14:textId="6AA96740">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Paredzēts, ka a</w:t>
            </w:r>
            <w:r w:rsidR="0031335C">
              <w:rPr>
                <w:rFonts w:ascii="Times New Roman" w:hAnsi="Times New Roman" w:eastAsia="Times New Roman" w:cs="Times New Roman"/>
                <w:sz w:val="24"/>
                <w:szCs w:val="24"/>
                <w:lang w:eastAsia="lv-LV"/>
              </w:rPr>
              <w:t>ttiecīgie noteikumi stājas spēkā 2021. gada 1. </w:t>
            </w:r>
            <w:r w:rsidR="0046591A">
              <w:rPr>
                <w:rFonts w:ascii="Times New Roman" w:hAnsi="Times New Roman" w:eastAsia="Times New Roman" w:cs="Times New Roman"/>
                <w:sz w:val="24"/>
                <w:szCs w:val="24"/>
                <w:lang w:eastAsia="lv-LV"/>
              </w:rPr>
              <w:t>septembrī</w:t>
            </w:r>
            <w:r w:rsidR="0031335C">
              <w:rPr>
                <w:rFonts w:ascii="Times New Roman" w:hAnsi="Times New Roman" w:eastAsia="Times New Roman" w:cs="Times New Roman"/>
                <w:sz w:val="24"/>
                <w:szCs w:val="24"/>
                <w:lang w:eastAsia="lv-LV"/>
              </w:rPr>
              <w:t>.</w:t>
            </w:r>
          </w:p>
        </w:tc>
      </w:tr>
    </w:tbl>
    <w:p w:rsidRPr="004607C0" w:rsidR="00C647F8" w:rsidP="00DA596D" w:rsidRDefault="00C647F8" w14:paraId="40014DB9" w14:textId="0D0F7DBD">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37"/>
        <w:gridCol w:w="2488"/>
        <w:gridCol w:w="6130"/>
      </w:tblGrid>
      <w:tr w:rsidRPr="004607C0" w:rsidR="004607C0" w:rsidTr="004D15A9" w14:paraId="2C53EF84" w14:textId="77777777">
        <w:trPr>
          <w:trHeight w:val="40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4607C0" w:rsidR="004D15A9" w:rsidP="00DA596D" w:rsidRDefault="004D15A9" w14:paraId="18B67FDD" w14:textId="16673563">
            <w:pPr>
              <w:spacing w:after="0" w:line="240" w:lineRule="auto"/>
              <w:ind w:firstLine="300"/>
              <w:jc w:val="center"/>
              <w:rPr>
                <w:rFonts w:ascii="Times New Roman" w:hAnsi="Times New Roman" w:eastAsia="Times New Roman" w:cs="Times New Roman"/>
                <w:b/>
                <w:bCs/>
                <w:sz w:val="24"/>
                <w:szCs w:val="24"/>
                <w:lang w:eastAsia="lv-LV"/>
              </w:rPr>
            </w:pPr>
            <w:r w:rsidRPr="004607C0">
              <w:rPr>
                <w:rFonts w:ascii="Times New Roman" w:hAnsi="Times New Roman" w:eastAsia="Times New Roman" w:cs="Times New Roman"/>
                <w:b/>
                <w:bCs/>
                <w:sz w:val="24"/>
                <w:szCs w:val="24"/>
                <w:lang w:eastAsia="lv-LV"/>
              </w:rPr>
              <w:t>I.</w:t>
            </w:r>
            <w:r w:rsidRPr="004607C0" w:rsidR="00C647F8">
              <w:rPr>
                <w:rFonts w:ascii="Times New Roman" w:hAnsi="Times New Roman" w:eastAsia="Times New Roman" w:cs="Times New Roman"/>
                <w:b/>
                <w:bCs/>
                <w:sz w:val="24"/>
                <w:szCs w:val="24"/>
                <w:lang w:eastAsia="lv-LV"/>
              </w:rPr>
              <w:t> </w:t>
            </w:r>
            <w:r w:rsidRPr="004607C0">
              <w:rPr>
                <w:rFonts w:ascii="Times New Roman" w:hAnsi="Times New Roman" w:eastAsia="Times New Roman" w:cs="Times New Roman"/>
                <w:b/>
                <w:bCs/>
                <w:sz w:val="24"/>
                <w:szCs w:val="24"/>
                <w:lang w:eastAsia="lv-LV"/>
              </w:rPr>
              <w:t>Tiesību akta projekta izstrādes nepieciešamība</w:t>
            </w:r>
          </w:p>
        </w:tc>
      </w:tr>
      <w:tr w:rsidRPr="004607C0" w:rsidR="004607C0" w:rsidTr="00E13D80" w14:paraId="22687615" w14:textId="77777777">
        <w:trPr>
          <w:trHeight w:val="405"/>
        </w:trPr>
        <w:tc>
          <w:tcPr>
            <w:tcW w:w="241"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1.</w:t>
            </w:r>
          </w:p>
        </w:tc>
        <w:tc>
          <w:tcPr>
            <w:tcW w:w="1374" w:type="pct"/>
            <w:tcBorders>
              <w:top w:val="outset" w:color="414142" w:sz="6" w:space="0"/>
              <w:left w:val="outset" w:color="414142" w:sz="6" w:space="0"/>
              <w:bottom w:val="outset" w:color="414142" w:sz="6" w:space="0"/>
              <w:right w:val="outset" w:color="414142" w:sz="6" w:space="0"/>
            </w:tcBorders>
            <w:hideMark/>
          </w:tcPr>
          <w:p w:rsidRPr="00F15468"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F15468">
              <w:rPr>
                <w:rFonts w:ascii="Times New Roman" w:hAnsi="Times New Roman" w:eastAsia="Times New Roman" w:cs="Times New Roman"/>
                <w:sz w:val="24"/>
                <w:szCs w:val="24"/>
                <w:lang w:eastAsia="lv-LV"/>
              </w:rPr>
              <w:t>Pamatojums</w:t>
            </w:r>
          </w:p>
        </w:tc>
        <w:tc>
          <w:tcPr>
            <w:tcW w:w="3385" w:type="pct"/>
            <w:tcBorders>
              <w:top w:val="outset" w:color="414142" w:sz="6" w:space="0"/>
              <w:left w:val="outset" w:color="414142" w:sz="6" w:space="0"/>
              <w:bottom w:val="outset" w:color="414142" w:sz="6" w:space="0"/>
              <w:right w:val="outset" w:color="414142" w:sz="6" w:space="0"/>
            </w:tcBorders>
            <w:hideMark/>
          </w:tcPr>
          <w:p w:rsidR="00CC7F24" w:rsidP="00EE4122" w:rsidRDefault="00CC7F24" w14:paraId="2121F9E7" w14:textId="4EEB07EA">
            <w:pPr>
              <w:spacing w:after="0" w:line="240" w:lineRule="auto"/>
              <w:ind w:firstLine="284"/>
              <w:jc w:val="both"/>
              <w:rPr>
                <w:rFonts w:ascii="Times New Roman" w:hAnsi="Times New Roman" w:eastAsia="Times New Roman"/>
                <w:sz w:val="24"/>
                <w:szCs w:val="24"/>
                <w:lang w:eastAsia="lv-LV"/>
              </w:rPr>
            </w:pPr>
            <w:r w:rsidRPr="004607C0">
              <w:rPr>
                <w:rFonts w:ascii="Times New Roman" w:hAnsi="Times New Roman" w:eastAsia="Times New Roman" w:cs="Times New Roman"/>
                <w:bCs/>
                <w:sz w:val="24"/>
                <w:szCs w:val="24"/>
                <w:lang w:eastAsia="lv-LV"/>
              </w:rPr>
              <w:t>P</w:t>
            </w:r>
            <w:r w:rsidRPr="004607C0" w:rsidR="00B0774B">
              <w:rPr>
                <w:rFonts w:ascii="Times New Roman" w:hAnsi="Times New Roman" w:eastAsia="Times New Roman" w:cs="Times New Roman"/>
                <w:bCs/>
                <w:sz w:val="24"/>
                <w:szCs w:val="24"/>
                <w:lang w:eastAsia="lv-LV"/>
              </w:rPr>
              <w:t>rojekt</w:t>
            </w:r>
            <w:r w:rsidRPr="004607C0" w:rsidR="00B22448">
              <w:rPr>
                <w:rFonts w:ascii="Times New Roman" w:hAnsi="Times New Roman" w:eastAsia="Times New Roman" w:cs="Times New Roman"/>
                <w:bCs/>
                <w:sz w:val="24"/>
                <w:szCs w:val="24"/>
                <w:lang w:eastAsia="lv-LV"/>
              </w:rPr>
              <w:t>s</w:t>
            </w:r>
            <w:r w:rsidRPr="004607C0" w:rsidR="00B0774B">
              <w:rPr>
                <w:rFonts w:ascii="Times New Roman" w:hAnsi="Times New Roman" w:eastAsia="Times New Roman" w:cs="Times New Roman"/>
                <w:bCs/>
                <w:sz w:val="24"/>
                <w:szCs w:val="24"/>
                <w:lang w:eastAsia="lv-LV"/>
              </w:rPr>
              <w:t xml:space="preserve"> </w:t>
            </w:r>
            <w:r w:rsidRPr="004607C0" w:rsidR="00212835">
              <w:rPr>
                <w:rFonts w:ascii="Times New Roman" w:hAnsi="Times New Roman" w:eastAsia="Times New Roman" w:cs="Times New Roman"/>
                <w:sz w:val="24"/>
                <w:szCs w:val="24"/>
                <w:lang w:eastAsia="lv-LV"/>
              </w:rPr>
              <w:t xml:space="preserve">sagatavots, </w:t>
            </w:r>
            <w:r w:rsidRPr="004607C0" w:rsidR="00212835">
              <w:rPr>
                <w:rFonts w:ascii="Times New Roman" w:hAnsi="Times New Roman" w:eastAsia="Times New Roman"/>
                <w:sz w:val="24"/>
                <w:szCs w:val="24"/>
                <w:lang w:eastAsia="lv-LV"/>
              </w:rPr>
              <w:t xml:space="preserve">ņemot vērā </w:t>
            </w:r>
            <w:r w:rsidRPr="004607C0" w:rsidR="00B21180">
              <w:rPr>
                <w:rFonts w:ascii="Times New Roman" w:hAnsi="Times New Roman" w:eastAsia="Times New Roman"/>
                <w:sz w:val="24"/>
                <w:szCs w:val="24"/>
                <w:lang w:eastAsia="lv-LV"/>
              </w:rPr>
              <w:t>likumā</w:t>
            </w:r>
            <w:r w:rsidR="0071079A">
              <w:rPr>
                <w:rFonts w:ascii="Times New Roman" w:hAnsi="Times New Roman" w:eastAsia="Times New Roman"/>
                <w:sz w:val="24"/>
                <w:szCs w:val="24"/>
                <w:lang w:eastAsia="lv-LV"/>
              </w:rPr>
              <w:t xml:space="preserve"> </w:t>
            </w:r>
            <w:r w:rsidRPr="004607C0" w:rsidR="00811D32">
              <w:rPr>
                <w:rFonts w:ascii="Times New Roman" w:hAnsi="Times New Roman" w:eastAsia="Times New Roman"/>
                <w:sz w:val="24"/>
                <w:szCs w:val="24"/>
                <w:lang w:eastAsia="lv-LV"/>
              </w:rPr>
              <w:t>"</w:t>
            </w:r>
            <w:r w:rsidRPr="004607C0" w:rsidR="00B21180">
              <w:rPr>
                <w:rFonts w:ascii="Times New Roman" w:hAnsi="Times New Roman" w:eastAsia="Times New Roman"/>
                <w:sz w:val="24"/>
                <w:szCs w:val="24"/>
                <w:lang w:eastAsia="lv-LV"/>
              </w:rPr>
              <w:t xml:space="preserve">Grozījumi </w:t>
            </w:r>
            <w:r w:rsidR="0071079A">
              <w:rPr>
                <w:rFonts w:ascii="Times New Roman" w:hAnsi="Times New Roman" w:eastAsia="Times New Roman"/>
                <w:sz w:val="24"/>
                <w:szCs w:val="24"/>
                <w:lang w:eastAsia="lv-LV"/>
              </w:rPr>
              <w:t>Komerc</w:t>
            </w:r>
            <w:r w:rsidRPr="004607C0" w:rsidR="00B21180">
              <w:rPr>
                <w:rFonts w:ascii="Times New Roman" w:hAnsi="Times New Roman" w:eastAsia="Times New Roman"/>
                <w:sz w:val="24"/>
                <w:szCs w:val="24"/>
                <w:lang w:eastAsia="lv-LV"/>
              </w:rPr>
              <w:t>likumā</w:t>
            </w:r>
            <w:r w:rsidRPr="004607C0" w:rsidR="00127DAA">
              <w:rPr>
                <w:rFonts w:ascii="Times New Roman" w:hAnsi="Times New Roman" w:eastAsia="Times New Roman"/>
                <w:sz w:val="24"/>
                <w:szCs w:val="24"/>
                <w:lang w:eastAsia="lv-LV"/>
              </w:rPr>
              <w:t>"</w:t>
            </w:r>
            <w:r w:rsidR="0071079A">
              <w:rPr>
                <w:rFonts w:ascii="Times New Roman" w:hAnsi="Times New Roman" w:eastAsia="Times New Roman"/>
                <w:sz w:val="24"/>
                <w:szCs w:val="24"/>
                <w:lang w:eastAsia="lv-LV"/>
              </w:rPr>
              <w:t xml:space="preserve"> </w:t>
            </w:r>
            <w:r w:rsidRPr="004607C0">
              <w:rPr>
                <w:rFonts w:ascii="Times New Roman" w:hAnsi="Times New Roman" w:eastAsia="Times New Roman"/>
                <w:sz w:val="24"/>
                <w:szCs w:val="24"/>
                <w:lang w:eastAsia="lv-LV"/>
              </w:rPr>
              <w:t>(</w:t>
            </w:r>
            <w:r w:rsidR="001C1BEA">
              <w:rPr>
                <w:rFonts w:ascii="Times New Roman" w:hAnsi="Times New Roman" w:eastAsia="Times New Roman"/>
                <w:sz w:val="24"/>
                <w:szCs w:val="24"/>
                <w:lang w:eastAsia="lv-LV"/>
              </w:rPr>
              <w:t xml:space="preserve">pieņemts </w:t>
            </w:r>
            <w:r w:rsidR="00E57C0D">
              <w:rPr>
                <w:rFonts w:ascii="Times New Roman" w:hAnsi="Times New Roman" w:eastAsia="Times New Roman"/>
                <w:sz w:val="24"/>
                <w:szCs w:val="24"/>
                <w:lang w:eastAsia="lv-LV"/>
              </w:rPr>
              <w:t xml:space="preserve">Saeimā </w:t>
            </w:r>
            <w:r w:rsidR="001C1BEA">
              <w:rPr>
                <w:rFonts w:ascii="Times New Roman" w:hAnsi="Times New Roman" w:eastAsia="Times New Roman"/>
                <w:sz w:val="24"/>
                <w:szCs w:val="24"/>
                <w:lang w:eastAsia="lv-LV"/>
              </w:rPr>
              <w:t>2021. gada 8. jūlijā</w:t>
            </w:r>
            <w:r w:rsidRPr="004607C0">
              <w:rPr>
                <w:rFonts w:ascii="Times New Roman" w:hAnsi="Times New Roman" w:eastAsia="Times New Roman"/>
                <w:sz w:val="24"/>
                <w:szCs w:val="24"/>
                <w:lang w:eastAsia="lv-LV"/>
              </w:rPr>
              <w:t xml:space="preserve">) </w:t>
            </w:r>
            <w:r w:rsidR="00F15468">
              <w:rPr>
                <w:rFonts w:ascii="Times New Roman" w:hAnsi="Times New Roman" w:eastAsia="Times New Roman"/>
                <w:sz w:val="24"/>
                <w:szCs w:val="24"/>
                <w:lang w:eastAsia="lv-LV"/>
              </w:rPr>
              <w:t xml:space="preserve">(turpmāk – Komerclikuma grozījumi) </w:t>
            </w:r>
            <w:r w:rsidRPr="004607C0" w:rsidR="00B21180">
              <w:rPr>
                <w:rFonts w:ascii="Times New Roman" w:hAnsi="Times New Roman" w:eastAsia="Times New Roman"/>
                <w:sz w:val="24"/>
                <w:szCs w:val="24"/>
                <w:lang w:eastAsia="lv-LV"/>
              </w:rPr>
              <w:t>paredzētos grozījumus</w:t>
            </w:r>
            <w:r w:rsidR="0071079A">
              <w:rPr>
                <w:rFonts w:ascii="Times New Roman" w:hAnsi="Times New Roman" w:eastAsia="Times New Roman"/>
                <w:sz w:val="24"/>
                <w:szCs w:val="24"/>
                <w:lang w:eastAsia="lv-LV"/>
              </w:rPr>
              <w:t xml:space="preserve">, kā arī ievērojot likumā </w:t>
            </w:r>
            <w:r w:rsidRPr="004607C0" w:rsidR="0071079A">
              <w:rPr>
                <w:rFonts w:ascii="Times New Roman" w:hAnsi="Times New Roman" w:eastAsia="Times New Roman"/>
                <w:sz w:val="24"/>
                <w:szCs w:val="24"/>
                <w:lang w:eastAsia="lv-LV"/>
              </w:rPr>
              <w:t>"</w:t>
            </w:r>
            <w:r w:rsidR="0071079A">
              <w:rPr>
                <w:rFonts w:ascii="Times New Roman" w:hAnsi="Times New Roman" w:eastAsia="Times New Roman"/>
                <w:sz w:val="24"/>
                <w:szCs w:val="24"/>
                <w:lang w:eastAsia="lv-LV"/>
              </w:rPr>
              <w:t xml:space="preserve">Grozījumi likumā </w:t>
            </w:r>
            <w:r w:rsidRPr="004607C0" w:rsidR="0071079A">
              <w:rPr>
                <w:rFonts w:ascii="Times New Roman" w:hAnsi="Times New Roman" w:eastAsia="Times New Roman"/>
                <w:sz w:val="24"/>
                <w:szCs w:val="24"/>
                <w:lang w:eastAsia="lv-LV"/>
              </w:rPr>
              <w:t>"</w:t>
            </w:r>
            <w:r w:rsidR="0071079A">
              <w:rPr>
                <w:rFonts w:ascii="Times New Roman" w:hAnsi="Times New Roman" w:eastAsia="Times New Roman"/>
                <w:sz w:val="24"/>
                <w:szCs w:val="24"/>
                <w:lang w:eastAsia="lv-LV"/>
              </w:rPr>
              <w:t>Par Latvijas Republikas Uzņēmumu reģistru</w:t>
            </w:r>
            <w:r w:rsidRPr="004607C0" w:rsidR="0071079A">
              <w:rPr>
                <w:rFonts w:ascii="Times New Roman" w:hAnsi="Times New Roman" w:eastAsia="Times New Roman"/>
                <w:sz w:val="24"/>
                <w:szCs w:val="24"/>
                <w:lang w:eastAsia="lv-LV"/>
              </w:rPr>
              <w:t>""</w:t>
            </w:r>
            <w:r w:rsidR="0071079A">
              <w:rPr>
                <w:rFonts w:ascii="Times New Roman" w:hAnsi="Times New Roman" w:eastAsia="Times New Roman"/>
                <w:sz w:val="24"/>
                <w:szCs w:val="24"/>
                <w:lang w:eastAsia="lv-LV"/>
              </w:rPr>
              <w:t xml:space="preserve"> (</w:t>
            </w:r>
            <w:r w:rsidR="001C1BEA">
              <w:rPr>
                <w:rFonts w:ascii="Times New Roman" w:hAnsi="Times New Roman" w:eastAsia="Times New Roman"/>
                <w:sz w:val="24"/>
                <w:szCs w:val="24"/>
                <w:lang w:eastAsia="lv-LV"/>
              </w:rPr>
              <w:t xml:space="preserve">pieņemts </w:t>
            </w:r>
            <w:r w:rsidR="00E57C0D">
              <w:rPr>
                <w:rFonts w:ascii="Times New Roman" w:hAnsi="Times New Roman" w:eastAsia="Times New Roman"/>
                <w:sz w:val="24"/>
                <w:szCs w:val="24"/>
                <w:lang w:eastAsia="lv-LV"/>
              </w:rPr>
              <w:t>Saeimā</w:t>
            </w:r>
            <w:r w:rsidR="001C1BEA">
              <w:rPr>
                <w:rFonts w:ascii="Times New Roman" w:hAnsi="Times New Roman" w:eastAsia="Times New Roman"/>
                <w:sz w:val="24"/>
                <w:szCs w:val="24"/>
                <w:lang w:eastAsia="lv-LV"/>
              </w:rPr>
              <w:t xml:space="preserve"> 2021. gada 8. jūlijā</w:t>
            </w:r>
            <w:r w:rsidR="0071079A">
              <w:rPr>
                <w:rFonts w:ascii="Times New Roman" w:hAnsi="Times New Roman" w:eastAsia="Times New Roman"/>
                <w:sz w:val="24"/>
                <w:szCs w:val="24"/>
                <w:lang w:eastAsia="lv-LV"/>
              </w:rPr>
              <w:t xml:space="preserve">) </w:t>
            </w:r>
            <w:r w:rsidR="00F15468">
              <w:rPr>
                <w:rFonts w:ascii="Times New Roman" w:hAnsi="Times New Roman" w:eastAsia="Times New Roman"/>
                <w:sz w:val="24"/>
                <w:szCs w:val="24"/>
                <w:lang w:eastAsia="lv-LV"/>
              </w:rPr>
              <w:t xml:space="preserve">(turpmāk – Reģistra likuma grozījumi) </w:t>
            </w:r>
            <w:r w:rsidR="0071079A">
              <w:rPr>
                <w:rFonts w:ascii="Times New Roman" w:hAnsi="Times New Roman" w:eastAsia="Times New Roman"/>
                <w:sz w:val="24"/>
                <w:szCs w:val="24"/>
                <w:lang w:eastAsia="lv-LV"/>
              </w:rPr>
              <w:t>paredzēto.</w:t>
            </w:r>
          </w:p>
          <w:p w:rsidR="00057DE7" w:rsidP="00EE4122" w:rsidRDefault="00057DE7" w14:paraId="204FB93E" w14:textId="77777777">
            <w:pPr>
              <w:spacing w:after="0" w:line="240" w:lineRule="auto"/>
              <w:ind w:firstLine="284"/>
              <w:jc w:val="both"/>
              <w:rPr>
                <w:rFonts w:ascii="Times New Roman" w:hAnsi="Times New Roman" w:eastAsia="Times New Roman"/>
                <w:sz w:val="24"/>
                <w:szCs w:val="24"/>
                <w:lang w:eastAsia="lv-LV"/>
              </w:rPr>
            </w:pPr>
            <w:r w:rsidRPr="00057DE7">
              <w:rPr>
                <w:rFonts w:ascii="Times New Roman" w:hAnsi="Times New Roman" w:eastAsia="Times New Roman"/>
                <w:sz w:val="24"/>
                <w:szCs w:val="24"/>
                <w:lang w:eastAsia="lv-LV"/>
              </w:rPr>
              <w:t>Projekts izstrādāts, lai pārņemtu Eiropas Parlamenta un Padomes 2019. gada 20. jūnija Direktīvas (ES) 2019/1151, ar ko groza Direktīvu (ES) 2017/1132 attiecībā uz digitālo rīku un procesu izmantošanu sabiedrību tiesībās, (turpmāk – Direktīva 2019/1151) normas.</w:t>
            </w:r>
          </w:p>
          <w:p w:rsidRPr="00EE4122" w:rsidR="00F53811" w:rsidP="00F53811" w:rsidRDefault="00F53811" w14:paraId="0A3EB312" w14:textId="6257B425">
            <w:pPr>
              <w:spacing w:after="0" w:line="240" w:lineRule="auto"/>
              <w:ind w:firstLine="284"/>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Projekts sagatavots, lai izpildītu ar Ministru kabineta 2019. gada 22. maija rīkojumu Nr. 247 “Par Uzņēmējdarbības vides pilnveidošanas pasākumu plāna 2019.-2022. gadam” apstiprinātajā Uzņēmējdarbības vides pilnveidošanas pasākumu plānā 2019.-2022. gadam paredzēto 4.1.2. pasākumu “Kopējo uzņēmuma (SIA) e-reģistrācijas izmaksu mazināšana”.</w:t>
            </w:r>
          </w:p>
        </w:tc>
      </w:tr>
      <w:tr w:rsidRPr="004607C0" w:rsidR="004607C0" w:rsidTr="00E13D80" w14:paraId="5FF7B6AF" w14:textId="77777777">
        <w:trPr>
          <w:trHeight w:val="465"/>
        </w:trPr>
        <w:tc>
          <w:tcPr>
            <w:tcW w:w="241" w:type="pct"/>
            <w:tcBorders>
              <w:top w:val="outset" w:color="414142" w:sz="6" w:space="0"/>
              <w:left w:val="outset" w:color="414142" w:sz="6" w:space="0"/>
              <w:bottom w:val="outset" w:color="414142" w:sz="6" w:space="0"/>
              <w:right w:val="outset" w:color="414142" w:sz="6" w:space="0"/>
            </w:tcBorders>
            <w:hideMark/>
          </w:tcPr>
          <w:p w:rsidRPr="004607C0" w:rsidR="00FE5E7B" w:rsidP="00FE5E7B" w:rsidRDefault="004D15A9" w14:paraId="1FB478E4" w14:textId="3DE59449">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2.</w:t>
            </w:r>
          </w:p>
          <w:p w:rsidRPr="004607C0" w:rsidR="004D15A9" w:rsidP="00FE5E7B" w:rsidRDefault="004D15A9" w14:paraId="03A51270" w14:textId="111CFA21">
            <w:pPr>
              <w:rPr>
                <w:rFonts w:ascii="Times New Roman" w:hAnsi="Times New Roman" w:eastAsia="Times New Roman" w:cs="Times New Roman"/>
                <w:sz w:val="24"/>
                <w:szCs w:val="24"/>
                <w:lang w:eastAsia="lv-LV"/>
              </w:rPr>
            </w:pPr>
          </w:p>
        </w:tc>
        <w:tc>
          <w:tcPr>
            <w:tcW w:w="1374" w:type="pct"/>
            <w:tcBorders>
              <w:top w:val="outset" w:color="414142" w:sz="6" w:space="0"/>
              <w:left w:val="outset" w:color="414142" w:sz="6" w:space="0"/>
              <w:bottom w:val="outset" w:color="414142" w:sz="6" w:space="0"/>
              <w:right w:val="outset" w:color="414142" w:sz="6" w:space="0"/>
            </w:tcBorders>
            <w:hideMark/>
          </w:tcPr>
          <w:p w:rsidRPr="004607C0" w:rsidR="004D15A9" w:rsidP="00E11837" w:rsidRDefault="004D15A9" w14:paraId="7376C309" w14:textId="77777777">
            <w:pPr>
              <w:spacing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4607C0" w:rsidR="007B2A27" w:rsidP="007B2A27" w:rsidRDefault="007B2A27" w14:paraId="6203D7AC" w14:textId="77777777">
            <w:pPr>
              <w:rPr>
                <w:rFonts w:ascii="Times New Roman" w:hAnsi="Times New Roman" w:eastAsia="Times New Roman" w:cs="Times New Roman"/>
                <w:sz w:val="24"/>
                <w:szCs w:val="24"/>
                <w:lang w:eastAsia="lv-LV"/>
              </w:rPr>
            </w:pPr>
          </w:p>
          <w:p w:rsidR="007B2A27" w:rsidP="007B2A27" w:rsidRDefault="007B2A27" w14:paraId="6311A78F" w14:textId="77777777">
            <w:pPr>
              <w:ind w:firstLine="720"/>
              <w:rPr>
                <w:rFonts w:ascii="Times New Roman" w:hAnsi="Times New Roman" w:eastAsia="Times New Roman" w:cs="Times New Roman"/>
                <w:sz w:val="24"/>
                <w:szCs w:val="24"/>
                <w:lang w:eastAsia="lv-LV"/>
              </w:rPr>
            </w:pPr>
          </w:p>
          <w:p w:rsidRPr="00FD7465" w:rsidR="00FD7465" w:rsidP="00FD7465" w:rsidRDefault="00FD7465" w14:paraId="7966A8FF" w14:textId="77777777">
            <w:pPr>
              <w:rPr>
                <w:rFonts w:ascii="Times New Roman" w:hAnsi="Times New Roman" w:eastAsia="Times New Roman" w:cs="Times New Roman"/>
                <w:sz w:val="24"/>
                <w:szCs w:val="24"/>
                <w:lang w:eastAsia="lv-LV"/>
              </w:rPr>
            </w:pPr>
          </w:p>
          <w:p w:rsidRPr="00FD7465" w:rsidR="00FD7465" w:rsidP="00FD7465" w:rsidRDefault="00FD7465" w14:paraId="0A790F57" w14:textId="77777777">
            <w:pPr>
              <w:rPr>
                <w:rFonts w:ascii="Times New Roman" w:hAnsi="Times New Roman" w:eastAsia="Times New Roman" w:cs="Times New Roman"/>
                <w:sz w:val="24"/>
                <w:szCs w:val="24"/>
                <w:lang w:eastAsia="lv-LV"/>
              </w:rPr>
            </w:pPr>
          </w:p>
          <w:p w:rsidRPr="00FD7465" w:rsidR="00FD7465" w:rsidP="00FD7465" w:rsidRDefault="00FD7465" w14:paraId="0E1BF860" w14:textId="77777777">
            <w:pPr>
              <w:rPr>
                <w:rFonts w:ascii="Times New Roman" w:hAnsi="Times New Roman" w:eastAsia="Times New Roman" w:cs="Times New Roman"/>
                <w:sz w:val="24"/>
                <w:szCs w:val="24"/>
                <w:lang w:eastAsia="lv-LV"/>
              </w:rPr>
            </w:pPr>
          </w:p>
          <w:p w:rsidRPr="00FD7465" w:rsidR="00FD7465" w:rsidP="00FD7465" w:rsidRDefault="00FD7465" w14:paraId="3C3A393F" w14:textId="77777777">
            <w:pPr>
              <w:rPr>
                <w:rFonts w:ascii="Times New Roman" w:hAnsi="Times New Roman" w:eastAsia="Times New Roman" w:cs="Times New Roman"/>
                <w:sz w:val="24"/>
                <w:szCs w:val="24"/>
                <w:lang w:eastAsia="lv-LV"/>
              </w:rPr>
            </w:pPr>
          </w:p>
          <w:p w:rsidRPr="00FD7465" w:rsidR="00FD7465" w:rsidP="00FD7465" w:rsidRDefault="00FD7465" w14:paraId="0C9964CD" w14:textId="77777777">
            <w:pPr>
              <w:rPr>
                <w:rFonts w:ascii="Times New Roman" w:hAnsi="Times New Roman" w:eastAsia="Times New Roman" w:cs="Times New Roman"/>
                <w:sz w:val="24"/>
                <w:szCs w:val="24"/>
                <w:lang w:eastAsia="lv-LV"/>
              </w:rPr>
            </w:pPr>
          </w:p>
          <w:p w:rsidRPr="00FD7465" w:rsidR="00FD7465" w:rsidP="00FD7465" w:rsidRDefault="00FD7465" w14:paraId="055847B9" w14:textId="20B2F623">
            <w:pPr>
              <w:ind w:firstLine="720"/>
              <w:rPr>
                <w:rFonts w:ascii="Times New Roman" w:hAnsi="Times New Roman" w:eastAsia="Times New Roman" w:cs="Times New Roman"/>
                <w:sz w:val="24"/>
                <w:szCs w:val="24"/>
                <w:lang w:eastAsia="lv-LV"/>
              </w:rPr>
            </w:pPr>
          </w:p>
        </w:tc>
        <w:tc>
          <w:tcPr>
            <w:tcW w:w="3385" w:type="pct"/>
            <w:tcBorders>
              <w:top w:val="outset" w:color="414142" w:sz="6" w:space="0"/>
              <w:left w:val="outset" w:color="414142" w:sz="6" w:space="0"/>
              <w:bottom w:val="outset" w:color="414142" w:sz="6" w:space="0"/>
              <w:right w:val="outset" w:color="414142" w:sz="6" w:space="0"/>
            </w:tcBorders>
          </w:tcPr>
          <w:p w:rsidR="00CF66CA" w:rsidP="00F15468" w:rsidRDefault="00EE4122" w14:paraId="4B51A678" w14:textId="4EFE3FBC">
            <w:pPr>
              <w:spacing w:after="0" w:line="240" w:lineRule="auto"/>
              <w:ind w:firstLine="284"/>
              <w:jc w:val="both"/>
              <w:rPr>
                <w:rFonts w:ascii="Times New Roman" w:hAnsi="Times New Roman" w:cs="Times New Roman"/>
                <w:sz w:val="24"/>
                <w:szCs w:val="24"/>
              </w:rPr>
            </w:pPr>
            <w:r w:rsidRPr="00EE4122">
              <w:rPr>
                <w:rFonts w:ascii="Times New Roman" w:hAnsi="Times New Roman" w:cs="Times New Roman"/>
                <w:bCs/>
                <w:sz w:val="24"/>
                <w:szCs w:val="24"/>
              </w:rPr>
              <w:lastRenderedPageBreak/>
              <w:t>Ministru kabineta 2016. gada 11. oktobra noteikum</w:t>
            </w:r>
            <w:r>
              <w:rPr>
                <w:rFonts w:ascii="Times New Roman" w:hAnsi="Times New Roman" w:cs="Times New Roman"/>
                <w:bCs/>
                <w:sz w:val="24"/>
                <w:szCs w:val="24"/>
              </w:rPr>
              <w:t>i</w:t>
            </w:r>
            <w:r w:rsidRPr="00EE4122">
              <w:rPr>
                <w:rFonts w:ascii="Times New Roman" w:hAnsi="Times New Roman" w:cs="Times New Roman"/>
                <w:bCs/>
                <w:sz w:val="24"/>
                <w:szCs w:val="24"/>
              </w:rPr>
              <w:t xml:space="preserve"> Nr. 664 "Noteikumi par valsts nodevu, kas maksājama par ierakstu izdarīšanu uzņēmumu reģistra žurnālā un komercreģistrā, kā arī iesniedzamo dokumentu reģistrēšanu"</w:t>
            </w:r>
            <w:r>
              <w:rPr>
                <w:rFonts w:ascii="Times New Roman" w:hAnsi="Times New Roman" w:cs="Times New Roman"/>
                <w:bCs/>
                <w:sz w:val="24"/>
                <w:szCs w:val="24"/>
              </w:rPr>
              <w:t xml:space="preserve"> (turpmāk – Noteikumi)</w:t>
            </w:r>
            <w:r w:rsidR="00CF66CA">
              <w:rPr>
                <w:rFonts w:ascii="Times New Roman" w:hAnsi="Times New Roman" w:cs="Times New Roman"/>
                <w:bCs/>
                <w:sz w:val="24"/>
                <w:szCs w:val="24"/>
              </w:rPr>
              <w:t xml:space="preserve"> nosaka valsts nodevas, kas </w:t>
            </w:r>
            <w:r w:rsidRPr="00EE4122" w:rsidR="00CF66CA">
              <w:rPr>
                <w:rFonts w:ascii="Times New Roman" w:hAnsi="Times New Roman" w:cs="Times New Roman"/>
                <w:bCs/>
                <w:sz w:val="24"/>
                <w:szCs w:val="24"/>
              </w:rPr>
              <w:t>maksājama par ierakstu izdarīšanu uzņēmumu reģistra žurnālā un komercreģistrā, kā arī iesniedzamo dokumentu reģistrēšanu</w:t>
            </w:r>
            <w:r w:rsidR="00CF66CA">
              <w:rPr>
                <w:rFonts w:ascii="Times New Roman" w:hAnsi="Times New Roman" w:cs="Times New Roman"/>
                <w:bCs/>
                <w:sz w:val="24"/>
                <w:szCs w:val="24"/>
              </w:rPr>
              <w:t>, apmēru, maksāšanas kārtību un atvieglojumus. Ar noteikumiem noteiktais valsts nodevu apmērs</w:t>
            </w:r>
            <w:r w:rsidR="00FD75D9">
              <w:rPr>
                <w:rFonts w:ascii="Times New Roman" w:hAnsi="Times New Roman" w:cs="Times New Roman"/>
                <w:bCs/>
                <w:sz w:val="24"/>
                <w:szCs w:val="24"/>
              </w:rPr>
              <w:t xml:space="preserve"> (</w:t>
            </w:r>
            <w:r w:rsidR="00CF66CA">
              <w:rPr>
                <w:rFonts w:ascii="Times New Roman" w:hAnsi="Times New Roman" w:cs="Times New Roman"/>
                <w:bCs/>
                <w:sz w:val="24"/>
                <w:szCs w:val="24"/>
              </w:rPr>
              <w:t>ar atsevišķu izņēmumu</w:t>
            </w:r>
            <w:r w:rsidR="00FD75D9">
              <w:rPr>
                <w:rFonts w:ascii="Times New Roman" w:hAnsi="Times New Roman" w:cs="Times New Roman"/>
                <w:bCs/>
                <w:sz w:val="24"/>
                <w:szCs w:val="24"/>
              </w:rPr>
              <w:t>)</w:t>
            </w:r>
            <w:r w:rsidR="00CF66CA">
              <w:rPr>
                <w:rFonts w:ascii="Times New Roman" w:hAnsi="Times New Roman" w:cs="Times New Roman"/>
                <w:bCs/>
                <w:sz w:val="24"/>
                <w:szCs w:val="24"/>
              </w:rPr>
              <w:t xml:space="preserve"> ir noteikts nesaistīti ar attiecīgo darbību administratīvajām izmaksām</w:t>
            </w:r>
            <w:r w:rsidR="00F15468">
              <w:rPr>
                <w:rFonts w:ascii="Times New Roman" w:hAnsi="Times New Roman" w:cs="Times New Roman"/>
                <w:bCs/>
                <w:sz w:val="24"/>
                <w:szCs w:val="24"/>
              </w:rPr>
              <w:t xml:space="preserve">, ņemot vērā, ka atbilstoši </w:t>
            </w:r>
            <w:r w:rsidRPr="00F15468" w:rsidR="00F15468">
              <w:rPr>
                <w:rFonts w:ascii="Times New Roman" w:hAnsi="Times New Roman" w:cs="Times New Roman"/>
                <w:bCs/>
                <w:sz w:val="24"/>
                <w:szCs w:val="24"/>
              </w:rPr>
              <w:t xml:space="preserve">likuma "Par nodokļiem un nodevām" 1. panta 2. punktam </w:t>
            </w:r>
            <w:r w:rsidRPr="00FD75D9" w:rsidR="00CF66CA">
              <w:rPr>
                <w:rFonts w:ascii="Times New Roman" w:hAnsi="Times New Roman" w:cs="Times New Roman"/>
                <w:sz w:val="24"/>
                <w:szCs w:val="24"/>
              </w:rPr>
              <w:t>valsts nodeva</w:t>
            </w:r>
            <w:r w:rsidRPr="00FD75D9" w:rsidR="00F15468">
              <w:rPr>
                <w:rFonts w:ascii="Times New Roman" w:hAnsi="Times New Roman" w:cs="Times New Roman"/>
                <w:sz w:val="24"/>
                <w:szCs w:val="24"/>
              </w:rPr>
              <w:t xml:space="preserve"> ir </w:t>
            </w:r>
            <w:r w:rsidRPr="00FD75D9" w:rsidR="00CF66CA">
              <w:rPr>
                <w:rFonts w:ascii="Times New Roman" w:hAnsi="Times New Roman" w:cs="Times New Roman"/>
                <w:sz w:val="24"/>
                <w:szCs w:val="24"/>
              </w:rPr>
              <w:t>obl</w:t>
            </w:r>
            <w:r w:rsidRPr="00F15468" w:rsidR="00CF66CA">
              <w:rPr>
                <w:rFonts w:ascii="Times New Roman" w:hAnsi="Times New Roman" w:cs="Times New Roman"/>
                <w:sz w:val="24"/>
                <w:szCs w:val="24"/>
              </w:rPr>
              <w:t xml:space="preserve">igāts maksājums valsts budžetā vai šajā likumā noteiktajos gadījumos pašvaldības budžetā par </w:t>
            </w:r>
            <w:r w:rsidRPr="00F15468" w:rsidR="00CF66CA">
              <w:rPr>
                <w:rFonts w:ascii="Times New Roman" w:hAnsi="Times New Roman" w:cs="Times New Roman"/>
                <w:sz w:val="24"/>
                <w:szCs w:val="24"/>
              </w:rPr>
              <w:lastRenderedPageBreak/>
              <w:t>valsts vai pašvaldības institūcijas veicamo darbību, kas izriet no šīs institūcijas funkcijām</w:t>
            </w:r>
            <w:r w:rsidR="00FD75D9">
              <w:rPr>
                <w:rFonts w:ascii="Times New Roman" w:hAnsi="Times New Roman" w:cs="Times New Roman"/>
                <w:sz w:val="24"/>
                <w:szCs w:val="24"/>
              </w:rPr>
              <w:t>; v</w:t>
            </w:r>
            <w:r w:rsidRPr="00F15468" w:rsidR="00CF66CA">
              <w:rPr>
                <w:rFonts w:ascii="Times New Roman" w:hAnsi="Times New Roman" w:cs="Times New Roman"/>
                <w:sz w:val="24"/>
                <w:szCs w:val="24"/>
              </w:rPr>
              <w:t>alsts nodevas mērķis ir personu darbību regulēšana (kontrolēšana, veicināšana, ierobežošana)</w:t>
            </w:r>
            <w:r w:rsidR="00FD75D9">
              <w:rPr>
                <w:rFonts w:ascii="Times New Roman" w:hAnsi="Times New Roman" w:cs="Times New Roman"/>
                <w:sz w:val="24"/>
                <w:szCs w:val="24"/>
              </w:rPr>
              <w:t xml:space="preserve"> un v</w:t>
            </w:r>
            <w:r w:rsidRPr="00F15468" w:rsidR="00CF66CA">
              <w:rPr>
                <w:rFonts w:ascii="Times New Roman" w:hAnsi="Times New Roman" w:cs="Times New Roman"/>
                <w:sz w:val="24"/>
                <w:szCs w:val="24"/>
              </w:rPr>
              <w:t>alsts nodevas apmērs nav tiešā veidā saistīts ar institūcijas veiktās darbības izmaksu segšanu</w:t>
            </w:r>
            <w:r w:rsidRPr="00F15468" w:rsidR="00F15468">
              <w:rPr>
                <w:rFonts w:ascii="Times New Roman" w:hAnsi="Times New Roman" w:cs="Times New Roman"/>
                <w:sz w:val="24"/>
                <w:szCs w:val="24"/>
              </w:rPr>
              <w:t>.</w:t>
            </w:r>
            <w:r w:rsidR="00F53811">
              <w:rPr>
                <w:rFonts w:ascii="Times New Roman" w:hAnsi="Times New Roman" w:cs="Times New Roman"/>
                <w:sz w:val="24"/>
                <w:szCs w:val="24"/>
              </w:rPr>
              <w:t xml:space="preserve"> Tostarp</w:t>
            </w:r>
            <w:r w:rsidR="008128B1">
              <w:rPr>
                <w:rFonts w:ascii="Times New Roman" w:hAnsi="Times New Roman" w:cs="Times New Roman"/>
                <w:sz w:val="24"/>
                <w:szCs w:val="24"/>
              </w:rPr>
              <w:t xml:space="preserve"> ar Noteikumiem noteiktā </w:t>
            </w:r>
            <w:r w:rsidR="00F53811">
              <w:rPr>
                <w:rFonts w:ascii="Times New Roman" w:hAnsi="Times New Roman" w:cs="Times New Roman"/>
                <w:sz w:val="24"/>
                <w:szCs w:val="24"/>
              </w:rPr>
              <w:t xml:space="preserve">valsts nodeva par </w:t>
            </w:r>
            <w:r w:rsidR="008128B1">
              <w:rPr>
                <w:rFonts w:ascii="Times New Roman" w:hAnsi="Times New Roman" w:cs="Times New Roman"/>
                <w:sz w:val="24"/>
                <w:szCs w:val="24"/>
              </w:rPr>
              <w:t xml:space="preserve"> jaunas SIA reģistrāciju ir 150 </w:t>
            </w:r>
            <w:r w:rsidRPr="008128B1" w:rsidR="008128B1">
              <w:rPr>
                <w:rFonts w:ascii="Times New Roman" w:hAnsi="Times New Roman" w:cs="Times New Roman"/>
                <w:i/>
                <w:iCs/>
                <w:sz w:val="24"/>
                <w:szCs w:val="24"/>
              </w:rPr>
              <w:t>euro</w:t>
            </w:r>
            <w:r w:rsidR="00ED1A76">
              <w:rPr>
                <w:rFonts w:ascii="Times New Roman" w:hAnsi="Times New Roman" w:cs="Times New Roman"/>
                <w:i/>
                <w:iCs/>
                <w:sz w:val="24"/>
                <w:szCs w:val="24"/>
              </w:rPr>
              <w:t>.</w:t>
            </w:r>
          </w:p>
          <w:p w:rsidR="003D639D" w:rsidP="00F15468" w:rsidRDefault="00F15468" w14:paraId="6519D27D" w14:textId="2B5862A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Komerclikuma </w:t>
            </w:r>
            <w:r w:rsidRPr="00F15468">
              <w:rPr>
                <w:rFonts w:ascii="Times New Roman" w:hAnsi="Times New Roman" w:cs="Times New Roman"/>
                <w:sz w:val="24"/>
                <w:szCs w:val="24"/>
              </w:rPr>
              <w:t>grozījumi</w:t>
            </w:r>
            <w:r>
              <w:rPr>
                <w:rFonts w:ascii="Times New Roman" w:hAnsi="Times New Roman" w:cs="Times New Roman"/>
                <w:sz w:val="24"/>
                <w:szCs w:val="24"/>
              </w:rPr>
              <w:t xml:space="preserve"> citastarp paredz </w:t>
            </w:r>
            <w:r w:rsidR="003D639D">
              <w:rPr>
                <w:rFonts w:ascii="Times New Roman" w:hAnsi="Times New Roman" w:cs="Times New Roman"/>
                <w:sz w:val="24"/>
                <w:szCs w:val="24"/>
              </w:rPr>
              <w:t>grozīt Komerclikuma 15. panta pirmo daļu, kas</w:t>
            </w:r>
            <w:r w:rsidR="00FD75D9">
              <w:rPr>
                <w:rFonts w:ascii="Times New Roman" w:hAnsi="Times New Roman" w:cs="Times New Roman"/>
                <w:sz w:val="24"/>
                <w:szCs w:val="24"/>
              </w:rPr>
              <w:t xml:space="preserve"> šobrīd</w:t>
            </w:r>
            <w:r w:rsidR="003D639D">
              <w:rPr>
                <w:rFonts w:ascii="Times New Roman" w:hAnsi="Times New Roman" w:cs="Times New Roman"/>
                <w:sz w:val="24"/>
                <w:szCs w:val="24"/>
              </w:rPr>
              <w:t xml:space="preserve"> noteic valsts nodevas maksāšanas pienākumu par ierakstu izdarīšanu komercreģistrā </w:t>
            </w:r>
            <w:r w:rsidR="00000613">
              <w:rPr>
                <w:rFonts w:ascii="Times New Roman" w:hAnsi="Times New Roman" w:cs="Times New Roman"/>
                <w:sz w:val="24"/>
                <w:szCs w:val="24"/>
              </w:rPr>
              <w:t>un</w:t>
            </w:r>
            <w:r w:rsidR="003D639D">
              <w:rPr>
                <w:rFonts w:ascii="Times New Roman" w:hAnsi="Times New Roman" w:cs="Times New Roman"/>
                <w:sz w:val="24"/>
                <w:szCs w:val="24"/>
              </w:rPr>
              <w:t xml:space="preserve"> dokumentu pievienošanu reģistrācijas lietai</w:t>
            </w:r>
            <w:r w:rsidR="00000613">
              <w:rPr>
                <w:rFonts w:ascii="Times New Roman" w:hAnsi="Times New Roman" w:cs="Times New Roman"/>
                <w:sz w:val="24"/>
                <w:szCs w:val="24"/>
              </w:rPr>
              <w:t xml:space="preserve"> un deleģējumu Ministru kabinetam noteikt valsts nodevas apmēru, samaksas kārtību un atvieglojumus, kā arī noteic valsts nodevas apmēra ierobežojumu Komerclikuma 185</w:t>
            </w:r>
            <w:r w:rsidR="0046591A">
              <w:rPr>
                <w:rFonts w:ascii="Times New Roman" w:hAnsi="Times New Roman" w:cs="Times New Roman"/>
                <w:sz w:val="24"/>
                <w:szCs w:val="24"/>
              </w:rPr>
              <w:t>.</w:t>
            </w:r>
            <w:r w:rsidR="00000613">
              <w:rPr>
                <w:rFonts w:ascii="Times New Roman" w:hAnsi="Times New Roman" w:cs="Times New Roman"/>
                <w:sz w:val="24"/>
                <w:szCs w:val="24"/>
                <w:vertAlign w:val="superscript"/>
              </w:rPr>
              <w:t>1</w:t>
            </w:r>
            <w:r w:rsidR="00000613">
              <w:rPr>
                <w:rFonts w:ascii="Times New Roman" w:hAnsi="Times New Roman" w:cs="Times New Roman"/>
                <w:sz w:val="24"/>
                <w:szCs w:val="24"/>
              </w:rPr>
              <w:t> panta pirmās daļas noteikumiem atbilstošas sabiedrības ar ierobežotu atbildību gadījumā.</w:t>
            </w:r>
          </w:p>
          <w:p w:rsidR="003D639D" w:rsidP="00000613" w:rsidRDefault="00000613" w14:paraId="2E20B06A" w14:textId="1A1ABAF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Komerclikuma grozījumi paredz turpmāku valsts nodevas </w:t>
            </w:r>
            <w:r w:rsidRPr="00000613">
              <w:rPr>
                <w:rFonts w:ascii="Times New Roman" w:hAnsi="Times New Roman" w:cs="Times New Roman"/>
                <w:sz w:val="24"/>
                <w:szCs w:val="24"/>
              </w:rPr>
              <w:t xml:space="preserve">apmēra ierobežojumu ikvienā gadījumā, nosakot, ka tās apmērs nevar pārsniegt ar attiecīgā ieraksta izdarīšanu un dokumentu pievienošanu reģistrācijas lietai saistītos administratīvos izdevumus. Komerclikuma grozījumu priekšlikumi sagatavoti, lai nodrošinātu Komerclikuma regulējuma atbilstību </w:t>
            </w:r>
            <w:r w:rsidRPr="00000613">
              <w:rPr>
                <w:rFonts w:ascii="Times New Roman" w:hAnsi="Times New Roman" w:eastAsia="Times New Roman" w:cs="Times New Roman"/>
                <w:sz w:val="24"/>
                <w:szCs w:val="24"/>
                <w:lang w:eastAsia="lv-LV"/>
              </w:rPr>
              <w:t>Direktīva</w:t>
            </w:r>
            <w:r w:rsidR="007F6860">
              <w:rPr>
                <w:rFonts w:ascii="Times New Roman" w:hAnsi="Times New Roman" w:eastAsia="Times New Roman" w:cs="Times New Roman"/>
                <w:sz w:val="24"/>
                <w:szCs w:val="24"/>
                <w:lang w:eastAsia="lv-LV"/>
              </w:rPr>
              <w:t>s</w:t>
            </w:r>
            <w:r w:rsidRPr="00000613">
              <w:rPr>
                <w:rFonts w:ascii="Times New Roman" w:hAnsi="Times New Roman" w:eastAsia="Times New Roman" w:cs="Times New Roman"/>
                <w:sz w:val="24"/>
                <w:szCs w:val="24"/>
                <w:lang w:eastAsia="lv-LV"/>
              </w:rPr>
              <w:t xml:space="preserve"> 2019/1151 prasībām. </w:t>
            </w:r>
            <w:r w:rsidRPr="00000613" w:rsidR="003D639D">
              <w:rPr>
                <w:rFonts w:ascii="Times New Roman" w:hAnsi="Times New Roman" w:eastAsia="Times New Roman" w:cs="Times New Roman"/>
                <w:sz w:val="24"/>
                <w:szCs w:val="24"/>
                <w:lang w:eastAsia="lv-LV"/>
              </w:rPr>
              <w:t xml:space="preserve">Direktīva 2019/1151 </w:t>
            </w:r>
            <w:r w:rsidRPr="00000613">
              <w:rPr>
                <w:rFonts w:ascii="Times New Roman" w:hAnsi="Times New Roman" w:eastAsia="Times New Roman" w:cs="Times New Roman"/>
                <w:sz w:val="24"/>
                <w:szCs w:val="24"/>
                <w:lang w:eastAsia="lv-LV"/>
              </w:rPr>
              <w:t>noteic</w:t>
            </w:r>
            <w:r w:rsidRPr="00000613" w:rsidR="003D639D">
              <w:rPr>
                <w:rFonts w:ascii="Times New Roman" w:hAnsi="Times New Roman" w:cs="Times New Roman"/>
                <w:sz w:val="24"/>
                <w:szCs w:val="24"/>
              </w:rPr>
              <w:t>, ka valsts nodeva par lēmuma pieņemšanu par reģistrāciju, attiecīgā ieraksta izdarīšanu un dokumentu pievienošanu reģistrācijas lietai nedrīkst pārsniegt saistītos administratīvos izdevumus. Līdz ar to ti</w:t>
            </w:r>
            <w:r w:rsidR="00FD75D9">
              <w:rPr>
                <w:rFonts w:ascii="Times New Roman" w:hAnsi="Times New Roman" w:cs="Times New Roman"/>
                <w:sz w:val="24"/>
                <w:szCs w:val="24"/>
              </w:rPr>
              <w:t>e</w:t>
            </w:r>
            <w:r w:rsidRPr="00000613" w:rsidR="003D639D">
              <w:rPr>
                <w:rFonts w:ascii="Times New Roman" w:hAnsi="Times New Roman" w:cs="Times New Roman"/>
                <w:sz w:val="24"/>
                <w:szCs w:val="24"/>
              </w:rPr>
              <w:t>k precizēta Komerclikuma 15. panta pirmā daļa, paredzot, ka valsts nodeva nepārsnie</w:t>
            </w:r>
            <w:r w:rsidR="00FD75D9">
              <w:rPr>
                <w:rFonts w:ascii="Times New Roman" w:hAnsi="Times New Roman" w:cs="Times New Roman"/>
                <w:sz w:val="24"/>
                <w:szCs w:val="24"/>
              </w:rPr>
              <w:t>dz</w:t>
            </w:r>
            <w:r w:rsidRPr="00000613" w:rsidR="003D639D">
              <w:rPr>
                <w:rFonts w:ascii="Times New Roman" w:hAnsi="Times New Roman" w:cs="Times New Roman"/>
                <w:sz w:val="24"/>
                <w:szCs w:val="24"/>
              </w:rPr>
              <w:t xml:space="preserve"> administratīvos izdevumus.</w:t>
            </w:r>
          </w:p>
          <w:p w:rsidR="00CF6AFC" w:rsidP="00000613" w:rsidRDefault="00CF6AFC" w14:paraId="718ED0C3" w14:textId="162D87D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Ņemot vērā minēto, sagatavots Projekts, kurā noteikt</w:t>
            </w:r>
            <w:r w:rsidR="00FD75D9">
              <w:rPr>
                <w:rFonts w:ascii="Times New Roman" w:hAnsi="Times New Roman" w:cs="Times New Roman"/>
                <w:sz w:val="24"/>
                <w:szCs w:val="24"/>
              </w:rPr>
              <w:t>ā</w:t>
            </w:r>
            <w:r>
              <w:rPr>
                <w:rFonts w:ascii="Times New Roman" w:hAnsi="Times New Roman" w:cs="Times New Roman"/>
                <w:sz w:val="24"/>
                <w:szCs w:val="24"/>
              </w:rPr>
              <w:t xml:space="preserve"> valsts nodeva būs noteikt</w:t>
            </w:r>
            <w:r w:rsidR="00FD75D9">
              <w:rPr>
                <w:rFonts w:ascii="Times New Roman" w:hAnsi="Times New Roman" w:cs="Times New Roman"/>
                <w:sz w:val="24"/>
                <w:szCs w:val="24"/>
              </w:rPr>
              <w:t>a</w:t>
            </w:r>
            <w:r>
              <w:rPr>
                <w:rFonts w:ascii="Times New Roman" w:hAnsi="Times New Roman" w:cs="Times New Roman"/>
                <w:sz w:val="24"/>
                <w:szCs w:val="24"/>
              </w:rPr>
              <w:t xml:space="preserve"> apmērā, kas </w:t>
            </w:r>
            <w:r w:rsidR="006E2750">
              <w:rPr>
                <w:rFonts w:ascii="Times New Roman" w:hAnsi="Times New Roman" w:cs="Times New Roman"/>
                <w:sz w:val="24"/>
                <w:szCs w:val="24"/>
              </w:rPr>
              <w:t>nepārsniedz</w:t>
            </w:r>
            <w:r w:rsidR="00056F94">
              <w:rPr>
                <w:rFonts w:ascii="Times New Roman" w:hAnsi="Times New Roman" w:cs="Times New Roman"/>
                <w:sz w:val="24"/>
                <w:szCs w:val="24"/>
              </w:rPr>
              <w:t xml:space="preserve"> ar attiecīgā pakalpojuma sniegšanu saistītās </w:t>
            </w:r>
            <w:r>
              <w:rPr>
                <w:rFonts w:ascii="Times New Roman" w:hAnsi="Times New Roman" w:cs="Times New Roman"/>
                <w:sz w:val="24"/>
                <w:szCs w:val="24"/>
              </w:rPr>
              <w:t>administratīvā</w:t>
            </w:r>
            <w:r w:rsidR="00056F94">
              <w:rPr>
                <w:rFonts w:ascii="Times New Roman" w:hAnsi="Times New Roman" w:cs="Times New Roman"/>
                <w:sz w:val="24"/>
                <w:szCs w:val="24"/>
              </w:rPr>
              <w:t>s</w:t>
            </w:r>
            <w:r>
              <w:rPr>
                <w:rFonts w:ascii="Times New Roman" w:hAnsi="Times New Roman" w:cs="Times New Roman"/>
                <w:sz w:val="24"/>
                <w:szCs w:val="24"/>
              </w:rPr>
              <w:t xml:space="preserve"> izmaks</w:t>
            </w:r>
            <w:r w:rsidR="00056F94">
              <w:rPr>
                <w:rFonts w:ascii="Times New Roman" w:hAnsi="Times New Roman" w:cs="Times New Roman"/>
                <w:sz w:val="24"/>
                <w:szCs w:val="24"/>
              </w:rPr>
              <w:t>as.</w:t>
            </w:r>
          </w:p>
          <w:p w:rsidRPr="00876BF5" w:rsidR="0070655E" w:rsidP="00000613" w:rsidRDefault="0015438C" w14:paraId="03EBF087" w14:textId="6A7470F4">
            <w:pPr>
              <w:spacing w:after="0" w:line="240" w:lineRule="auto"/>
              <w:ind w:firstLine="284"/>
              <w:jc w:val="both"/>
              <w:rPr>
                <w:rFonts w:ascii="Times New Roman" w:hAnsi="Times New Roman" w:cs="Times New Roman"/>
                <w:sz w:val="24"/>
                <w:szCs w:val="24"/>
              </w:rPr>
            </w:pPr>
            <w:r w:rsidRPr="00876BF5">
              <w:rPr>
                <w:rFonts w:ascii="Times New Roman" w:hAnsi="Times New Roman" w:cs="Times New Roman"/>
                <w:sz w:val="24"/>
                <w:szCs w:val="24"/>
              </w:rPr>
              <w:t xml:space="preserve">Veicot nodevu apmēra pārskatīšanu, secināts, </w:t>
            </w:r>
            <w:r w:rsidR="0060114D">
              <w:rPr>
                <w:rFonts w:ascii="Times New Roman" w:hAnsi="Times New Roman" w:cs="Times New Roman"/>
                <w:sz w:val="24"/>
                <w:szCs w:val="24"/>
              </w:rPr>
              <w:t xml:space="preserve">ka ne visos gadījumos </w:t>
            </w:r>
            <w:r w:rsidRPr="00876BF5">
              <w:rPr>
                <w:rFonts w:ascii="Times New Roman" w:hAnsi="Times New Roman" w:cs="Times New Roman"/>
                <w:sz w:val="24"/>
                <w:szCs w:val="24"/>
              </w:rPr>
              <w:t>spēkā esošais valsts nodevas apmērs pār</w:t>
            </w:r>
            <w:r w:rsidRPr="00876BF5" w:rsidR="00586868">
              <w:rPr>
                <w:rFonts w:ascii="Times New Roman" w:hAnsi="Times New Roman" w:cs="Times New Roman"/>
                <w:sz w:val="24"/>
                <w:szCs w:val="24"/>
              </w:rPr>
              <w:t>sniedz administratīvos izdevumus</w:t>
            </w:r>
            <w:r w:rsidR="00EC2D9A">
              <w:rPr>
                <w:rFonts w:ascii="Times New Roman" w:hAnsi="Times New Roman" w:cs="Times New Roman"/>
                <w:sz w:val="24"/>
                <w:szCs w:val="24"/>
              </w:rPr>
              <w:t xml:space="preserve">, bet </w:t>
            </w:r>
            <w:r w:rsidR="0060114D">
              <w:rPr>
                <w:rFonts w:ascii="Times New Roman" w:hAnsi="Times New Roman" w:cs="Times New Roman"/>
                <w:sz w:val="24"/>
                <w:szCs w:val="24"/>
              </w:rPr>
              <w:t xml:space="preserve">pat </w:t>
            </w:r>
            <w:r w:rsidR="00EC2D9A">
              <w:rPr>
                <w:rFonts w:ascii="Times New Roman" w:hAnsi="Times New Roman" w:cs="Times New Roman"/>
                <w:sz w:val="24"/>
                <w:szCs w:val="24"/>
              </w:rPr>
              <w:t>ir būtiski mazāk</w:t>
            </w:r>
            <w:r w:rsidR="00F53811">
              <w:rPr>
                <w:rFonts w:ascii="Times New Roman" w:hAnsi="Times New Roman" w:cs="Times New Roman"/>
                <w:sz w:val="24"/>
                <w:szCs w:val="24"/>
              </w:rPr>
              <w:t>s</w:t>
            </w:r>
            <w:r w:rsidR="00EC2D9A">
              <w:rPr>
                <w:rFonts w:ascii="Times New Roman" w:hAnsi="Times New Roman" w:cs="Times New Roman"/>
                <w:sz w:val="24"/>
                <w:szCs w:val="24"/>
              </w:rPr>
              <w:t xml:space="preserve"> par t</w:t>
            </w:r>
            <w:r w:rsidR="0060114D">
              <w:rPr>
                <w:rFonts w:ascii="Times New Roman" w:hAnsi="Times New Roman" w:cs="Times New Roman"/>
                <w:sz w:val="24"/>
                <w:szCs w:val="24"/>
              </w:rPr>
              <w:t>ie</w:t>
            </w:r>
            <w:r w:rsidR="00EC2D9A">
              <w:rPr>
                <w:rFonts w:ascii="Times New Roman" w:hAnsi="Times New Roman" w:cs="Times New Roman"/>
                <w:sz w:val="24"/>
                <w:szCs w:val="24"/>
              </w:rPr>
              <w:t>m</w:t>
            </w:r>
            <w:r w:rsidRPr="00876BF5" w:rsidR="00586868">
              <w:rPr>
                <w:rFonts w:ascii="Times New Roman" w:hAnsi="Times New Roman" w:cs="Times New Roman"/>
                <w:sz w:val="24"/>
                <w:szCs w:val="24"/>
              </w:rPr>
              <w:t>. Proti, pašlaik</w:t>
            </w:r>
            <w:r w:rsidRPr="00876BF5" w:rsidR="00363DD5">
              <w:rPr>
                <w:rFonts w:ascii="Times New Roman" w:hAnsi="Times New Roman" w:cs="Times New Roman"/>
                <w:sz w:val="24"/>
                <w:szCs w:val="24"/>
              </w:rPr>
              <w:t xml:space="preserve"> valsts budžeta</w:t>
            </w:r>
            <w:r w:rsidRPr="00876BF5" w:rsidR="00586868">
              <w:rPr>
                <w:rFonts w:ascii="Times New Roman" w:hAnsi="Times New Roman" w:cs="Times New Roman"/>
                <w:sz w:val="24"/>
                <w:szCs w:val="24"/>
              </w:rPr>
              <w:t xml:space="preserve"> izdevumi</w:t>
            </w:r>
            <w:r w:rsidRPr="00876BF5" w:rsidR="00363DD5">
              <w:rPr>
                <w:rFonts w:ascii="Times New Roman" w:hAnsi="Times New Roman" w:cs="Times New Roman"/>
                <w:sz w:val="24"/>
                <w:szCs w:val="24"/>
              </w:rPr>
              <w:t xml:space="preserve"> par attiecīgo pakalpojumu sniegšanu</w:t>
            </w:r>
            <w:r w:rsidR="0060114D">
              <w:rPr>
                <w:rFonts w:ascii="Times New Roman" w:hAnsi="Times New Roman" w:cs="Times New Roman"/>
                <w:sz w:val="24"/>
                <w:szCs w:val="24"/>
              </w:rPr>
              <w:t xml:space="preserve"> </w:t>
            </w:r>
            <w:r w:rsidRPr="00876BF5" w:rsidR="00586868">
              <w:rPr>
                <w:rFonts w:ascii="Times New Roman" w:hAnsi="Times New Roman" w:cs="Times New Roman"/>
                <w:sz w:val="24"/>
                <w:szCs w:val="24"/>
              </w:rPr>
              <w:t>ir lielāki, nekā noteiktais valsts nodevas apmērs.</w:t>
            </w:r>
            <w:r w:rsidRPr="00876BF5" w:rsidR="007F6860">
              <w:rPr>
                <w:rFonts w:ascii="Times New Roman" w:hAnsi="Times New Roman" w:cs="Times New Roman"/>
                <w:sz w:val="24"/>
                <w:szCs w:val="24"/>
              </w:rPr>
              <w:t xml:space="preserve"> </w:t>
            </w:r>
          </w:p>
          <w:p w:rsidR="00ED1A76" w:rsidP="00ED1A76" w:rsidRDefault="007F6860" w14:paraId="14538D01" w14:textId="7137261F">
            <w:pPr>
              <w:spacing w:after="0" w:line="240" w:lineRule="auto"/>
              <w:ind w:firstLine="284"/>
              <w:jc w:val="both"/>
              <w:rPr>
                <w:rFonts w:ascii="Times New Roman" w:hAnsi="Times New Roman" w:cs="Times New Roman"/>
                <w:sz w:val="24"/>
                <w:szCs w:val="24"/>
              </w:rPr>
            </w:pPr>
            <w:r w:rsidRPr="00876BF5">
              <w:rPr>
                <w:rFonts w:ascii="Times New Roman" w:hAnsi="Times New Roman" w:cs="Times New Roman"/>
                <w:sz w:val="24"/>
                <w:szCs w:val="24"/>
              </w:rPr>
              <w:t>Lai iz</w:t>
            </w:r>
            <w:r w:rsidRPr="00876BF5" w:rsidR="00BD3112">
              <w:rPr>
                <w:rFonts w:ascii="Times New Roman" w:hAnsi="Times New Roman" w:cs="Times New Roman"/>
                <w:sz w:val="24"/>
                <w:szCs w:val="24"/>
              </w:rPr>
              <w:t>p</w:t>
            </w:r>
            <w:r w:rsidRPr="00876BF5">
              <w:rPr>
                <w:rFonts w:ascii="Times New Roman" w:hAnsi="Times New Roman" w:cs="Times New Roman"/>
                <w:sz w:val="24"/>
                <w:szCs w:val="24"/>
              </w:rPr>
              <w:t>ildītu Direktīvā</w:t>
            </w:r>
            <w:r w:rsidRPr="00876BF5" w:rsidR="00BD3112">
              <w:rPr>
                <w:rFonts w:ascii="Times New Roman" w:hAnsi="Times New Roman" w:cs="Times New Roman"/>
                <w:sz w:val="24"/>
                <w:szCs w:val="24"/>
              </w:rPr>
              <w:t xml:space="preserve"> 2019/1151 un Komerclikuma 15.</w:t>
            </w:r>
            <w:r w:rsidR="00EC2D9A">
              <w:rPr>
                <w:rFonts w:ascii="Times New Roman" w:hAnsi="Times New Roman" w:cs="Times New Roman"/>
                <w:sz w:val="24"/>
                <w:szCs w:val="24"/>
              </w:rPr>
              <w:t> </w:t>
            </w:r>
            <w:r w:rsidRPr="00876BF5" w:rsidR="00BD3112">
              <w:rPr>
                <w:rFonts w:ascii="Times New Roman" w:hAnsi="Times New Roman" w:cs="Times New Roman"/>
                <w:sz w:val="24"/>
                <w:szCs w:val="24"/>
              </w:rPr>
              <w:t>pant</w:t>
            </w:r>
            <w:r w:rsidRPr="00876BF5" w:rsidR="004B6580">
              <w:rPr>
                <w:rFonts w:ascii="Times New Roman" w:hAnsi="Times New Roman" w:cs="Times New Roman"/>
                <w:sz w:val="24"/>
                <w:szCs w:val="24"/>
              </w:rPr>
              <w:t>a pirmajā daļā</w:t>
            </w:r>
            <w:r w:rsidRPr="00876BF5" w:rsidR="00BD3112">
              <w:rPr>
                <w:rFonts w:ascii="Times New Roman" w:hAnsi="Times New Roman" w:cs="Times New Roman"/>
                <w:sz w:val="24"/>
                <w:szCs w:val="24"/>
              </w:rPr>
              <w:t xml:space="preserve"> ietverto,</w:t>
            </w:r>
            <w:r w:rsidR="00EC2D9A">
              <w:rPr>
                <w:rFonts w:ascii="Times New Roman" w:hAnsi="Times New Roman" w:cs="Times New Roman"/>
                <w:sz w:val="24"/>
                <w:szCs w:val="24"/>
              </w:rPr>
              <w:t xml:space="preserve"> </w:t>
            </w:r>
            <w:r w:rsidRPr="00876BF5" w:rsidR="009D6C1C">
              <w:rPr>
                <w:rFonts w:ascii="Times New Roman" w:hAnsi="Times New Roman" w:cs="Times New Roman"/>
                <w:sz w:val="24"/>
                <w:szCs w:val="24"/>
              </w:rPr>
              <w:t xml:space="preserve">nepieciešams mainīt valsts nodevu par jaunas SIA, AS, personālsabiedrības un Eiropas komercsabiedrības reģistrāciju. </w:t>
            </w:r>
            <w:r w:rsidR="00ED1A76">
              <w:rPr>
                <w:rFonts w:ascii="Times New Roman" w:hAnsi="Times New Roman" w:cs="Times New Roman"/>
                <w:sz w:val="24"/>
                <w:szCs w:val="24"/>
              </w:rPr>
              <w:t>Līdz ar to P</w:t>
            </w:r>
            <w:r w:rsidR="008128B1">
              <w:rPr>
                <w:rFonts w:ascii="Times New Roman" w:hAnsi="Times New Roman" w:cs="Times New Roman"/>
                <w:sz w:val="24"/>
                <w:szCs w:val="24"/>
              </w:rPr>
              <w:t xml:space="preserve">rojektā </w:t>
            </w:r>
            <w:r w:rsidR="00ED1A76">
              <w:rPr>
                <w:rFonts w:ascii="Times New Roman" w:hAnsi="Times New Roman" w:cs="Times New Roman"/>
                <w:sz w:val="24"/>
                <w:szCs w:val="24"/>
              </w:rPr>
              <w:t xml:space="preserve">tostarp </w:t>
            </w:r>
            <w:r w:rsidR="008128B1">
              <w:rPr>
                <w:rFonts w:ascii="Times New Roman" w:hAnsi="Times New Roman" w:cs="Times New Roman"/>
                <w:sz w:val="24"/>
                <w:szCs w:val="24"/>
              </w:rPr>
              <w:t xml:space="preserve">paredzēts </w:t>
            </w:r>
            <w:r w:rsidR="00ED1A76">
              <w:rPr>
                <w:rFonts w:ascii="Times New Roman" w:hAnsi="Times New Roman" w:cs="Times New Roman"/>
                <w:sz w:val="24"/>
                <w:szCs w:val="24"/>
              </w:rPr>
              <w:t xml:space="preserve">būtisks </w:t>
            </w:r>
            <w:r w:rsidR="008128B1">
              <w:rPr>
                <w:rFonts w:ascii="Times New Roman" w:hAnsi="Times New Roman" w:cs="Times New Roman"/>
                <w:sz w:val="24"/>
                <w:szCs w:val="24"/>
              </w:rPr>
              <w:t>valsts nodev</w:t>
            </w:r>
            <w:r w:rsidR="00ED1A76">
              <w:rPr>
                <w:rFonts w:ascii="Times New Roman" w:hAnsi="Times New Roman" w:cs="Times New Roman"/>
                <w:sz w:val="24"/>
                <w:szCs w:val="24"/>
              </w:rPr>
              <w:t xml:space="preserve">as </w:t>
            </w:r>
            <w:r w:rsidR="008128B1">
              <w:rPr>
                <w:rFonts w:ascii="Times New Roman" w:hAnsi="Times New Roman" w:cs="Times New Roman"/>
                <w:sz w:val="24"/>
                <w:szCs w:val="24"/>
              </w:rPr>
              <w:t>par jaunas SIA un AS reģistrāciju</w:t>
            </w:r>
            <w:r w:rsidR="00ED1A76">
              <w:rPr>
                <w:rFonts w:ascii="Times New Roman" w:hAnsi="Times New Roman" w:cs="Times New Roman"/>
                <w:sz w:val="24"/>
                <w:szCs w:val="24"/>
              </w:rPr>
              <w:t xml:space="preserve"> samazinājums. </w:t>
            </w:r>
            <w:r w:rsidRPr="00876BF5" w:rsidR="00615DB9">
              <w:rPr>
                <w:rFonts w:ascii="Times New Roman" w:hAnsi="Times New Roman" w:cs="Times New Roman"/>
                <w:sz w:val="24"/>
                <w:szCs w:val="24"/>
              </w:rPr>
              <w:t xml:space="preserve">Vienlaikus, lai neradītu būtisku ietekmi uz valsts budžeta ieņēmumiem, </w:t>
            </w:r>
            <w:r w:rsidRPr="00876BF5" w:rsidR="004E0568">
              <w:rPr>
                <w:rFonts w:ascii="Times New Roman" w:hAnsi="Times New Roman" w:cs="Times New Roman"/>
                <w:sz w:val="24"/>
                <w:szCs w:val="24"/>
              </w:rPr>
              <w:t>atsevišķas valsts nodevas noapaļotas uz augšu</w:t>
            </w:r>
            <w:r w:rsidRPr="00876BF5" w:rsidR="004B6580">
              <w:rPr>
                <w:rFonts w:ascii="Times New Roman" w:hAnsi="Times New Roman" w:cs="Times New Roman"/>
                <w:sz w:val="24"/>
                <w:szCs w:val="24"/>
              </w:rPr>
              <w:t xml:space="preserve"> līdz </w:t>
            </w:r>
            <w:r w:rsidRPr="00876BF5" w:rsidR="00476841">
              <w:rPr>
                <w:rFonts w:ascii="Times New Roman" w:hAnsi="Times New Roman" w:cs="Times New Roman"/>
                <w:sz w:val="24"/>
                <w:szCs w:val="24"/>
              </w:rPr>
              <w:t>veseliem desmitiem.</w:t>
            </w:r>
            <w:r w:rsidR="00B8350A">
              <w:rPr>
                <w:rFonts w:ascii="Times New Roman" w:hAnsi="Times New Roman" w:cs="Times New Roman"/>
                <w:sz w:val="24"/>
                <w:szCs w:val="24"/>
              </w:rPr>
              <w:t xml:space="preserve"> Kā arī palielināts valsts nodevas apmērs</w:t>
            </w:r>
            <w:r w:rsidR="00C642D1">
              <w:rPr>
                <w:rFonts w:ascii="Times New Roman" w:hAnsi="Times New Roman" w:cs="Times New Roman"/>
                <w:sz w:val="24"/>
                <w:szCs w:val="24"/>
              </w:rPr>
              <w:t>, kas saistīts ar reorganizācijas darbību reģistrāciju.</w:t>
            </w:r>
            <w:r w:rsidR="00C01E8A">
              <w:rPr>
                <w:rFonts w:ascii="Times New Roman" w:hAnsi="Times New Roman" w:cs="Times New Roman"/>
                <w:sz w:val="24"/>
                <w:szCs w:val="24"/>
              </w:rPr>
              <w:t xml:space="preserve"> </w:t>
            </w:r>
            <w:r w:rsidR="00ED1A76">
              <w:rPr>
                <w:rFonts w:ascii="Times New Roman" w:hAnsi="Times New Roman" w:cs="Times New Roman"/>
                <w:sz w:val="24"/>
                <w:szCs w:val="24"/>
              </w:rPr>
              <w:t>R</w:t>
            </w:r>
            <w:r w:rsidRPr="00D1412B" w:rsidR="00ED1A76">
              <w:rPr>
                <w:rFonts w:ascii="Times New Roman" w:hAnsi="Times New Roman" w:cs="Times New Roman"/>
                <w:sz w:val="24"/>
                <w:szCs w:val="24"/>
              </w:rPr>
              <w:t xml:space="preserve">eorganizācijai iesniegto dokumentu izskatīšana ir sarežģītāka par jaunu subjektu reģistrāciju, kā arī praksē nereti reorganizācijas procesā papildus tiek veiktas arī citas izmaiņas, līdz ar to izvērtējamo dokumentu apjoms ir </w:t>
            </w:r>
            <w:r w:rsidRPr="00D1412B" w:rsidR="00ED1A76">
              <w:rPr>
                <w:rFonts w:ascii="Times New Roman" w:hAnsi="Times New Roman" w:cs="Times New Roman"/>
                <w:sz w:val="24"/>
                <w:szCs w:val="24"/>
              </w:rPr>
              <w:lastRenderedPageBreak/>
              <w:t>lielāks, nekā jaunu subjektu reģistrācijas lietās vai citās izmaiņu lietās.</w:t>
            </w:r>
          </w:p>
          <w:p w:rsidR="0060114D" w:rsidP="0060114D" w:rsidRDefault="00476841" w14:paraId="71296CFA" w14:textId="5D46B0D9">
            <w:pPr>
              <w:spacing w:after="0" w:line="240" w:lineRule="auto"/>
              <w:ind w:firstLine="284"/>
              <w:jc w:val="both"/>
              <w:rPr>
                <w:rFonts w:ascii="Times New Roman" w:hAnsi="Times New Roman" w:cs="Times New Roman"/>
                <w:sz w:val="24"/>
                <w:szCs w:val="24"/>
              </w:rPr>
            </w:pPr>
            <w:r w:rsidRPr="00876BF5">
              <w:rPr>
                <w:rFonts w:ascii="Times New Roman" w:hAnsi="Times New Roman" w:cs="Times New Roman"/>
                <w:sz w:val="24"/>
                <w:szCs w:val="24"/>
              </w:rPr>
              <w:t>Jāuzsver, ka</w:t>
            </w:r>
            <w:r w:rsidR="00EC2D9A">
              <w:rPr>
                <w:rFonts w:ascii="Times New Roman" w:hAnsi="Times New Roman" w:cs="Times New Roman"/>
                <w:sz w:val="24"/>
                <w:szCs w:val="24"/>
              </w:rPr>
              <w:t xml:space="preserve">, ņemot vērā Direktīvā </w:t>
            </w:r>
            <w:r w:rsidRPr="00057DE7" w:rsidR="00EC2D9A">
              <w:rPr>
                <w:rFonts w:ascii="Times New Roman" w:hAnsi="Times New Roman" w:eastAsia="Times New Roman"/>
                <w:sz w:val="24"/>
                <w:szCs w:val="24"/>
                <w:lang w:eastAsia="lv-LV"/>
              </w:rPr>
              <w:t>2019/1151</w:t>
            </w:r>
            <w:r w:rsidR="00EC2D9A">
              <w:rPr>
                <w:rFonts w:ascii="Times New Roman" w:hAnsi="Times New Roman" w:eastAsia="Times New Roman"/>
                <w:sz w:val="24"/>
                <w:szCs w:val="24"/>
                <w:lang w:eastAsia="lv-LV"/>
              </w:rPr>
              <w:t xml:space="preserve"> un </w:t>
            </w:r>
            <w:r w:rsidRPr="00F15468" w:rsidR="00EC2D9A">
              <w:rPr>
                <w:rFonts w:ascii="Times New Roman" w:hAnsi="Times New Roman" w:cs="Times New Roman"/>
                <w:bCs/>
                <w:sz w:val="24"/>
                <w:szCs w:val="24"/>
              </w:rPr>
              <w:t>likuma "Par nodokļiem un nodevām" 1. panta 2. punkt</w:t>
            </w:r>
            <w:r w:rsidR="00EC2D9A">
              <w:rPr>
                <w:rFonts w:ascii="Times New Roman" w:hAnsi="Times New Roman" w:cs="Times New Roman"/>
                <w:bCs/>
                <w:sz w:val="24"/>
                <w:szCs w:val="24"/>
              </w:rPr>
              <w:t>ā noteikto, valsts nodevu apmēri tiek noteikti apmērā, kas ne vien nepārsniedz ar reģistrāciju saistītās izmaksas, bet ir mazāki par reģistrācijas administratīvajām izmaksām, tostarp nepārsniedz ar reorganizācij</w:t>
            </w:r>
            <w:r w:rsidR="005C66B7">
              <w:rPr>
                <w:rFonts w:ascii="Times New Roman" w:hAnsi="Times New Roman" w:cs="Times New Roman"/>
                <w:bCs/>
                <w:sz w:val="24"/>
                <w:szCs w:val="24"/>
              </w:rPr>
              <w:t>as ierakstīšanu</w:t>
            </w:r>
            <w:r w:rsidR="00EC2D9A">
              <w:rPr>
                <w:rFonts w:ascii="Times New Roman" w:hAnsi="Times New Roman" w:cs="Times New Roman"/>
                <w:bCs/>
                <w:sz w:val="24"/>
                <w:szCs w:val="24"/>
              </w:rPr>
              <w:t xml:space="preserve"> saistīto reģistrācijas darbību administratīvos izdevumus. Līdz ar to gan reģistrācijas valsts nodevas apmērs</w:t>
            </w:r>
            <w:r w:rsidR="005C66B7">
              <w:rPr>
                <w:rFonts w:ascii="Times New Roman" w:hAnsi="Times New Roman" w:cs="Times New Roman"/>
                <w:bCs/>
                <w:sz w:val="24"/>
                <w:szCs w:val="24"/>
              </w:rPr>
              <w:t xml:space="preserve">, gan valsts nodevas apmērs par reorganizācijas ierakstīšanu komercreģistrā </w:t>
            </w:r>
            <w:r w:rsidR="00EC2D9A">
              <w:rPr>
                <w:rFonts w:ascii="Times New Roman" w:hAnsi="Times New Roman" w:cs="Times New Roman"/>
                <w:bCs/>
                <w:sz w:val="24"/>
                <w:szCs w:val="24"/>
              </w:rPr>
              <w:t xml:space="preserve">Projektā </w:t>
            </w:r>
            <w:r w:rsidRPr="00D1412B" w:rsidR="00EC2D9A">
              <w:rPr>
                <w:rFonts w:ascii="Times New Roman" w:hAnsi="Times New Roman" w:cs="Times New Roman"/>
                <w:bCs/>
                <w:sz w:val="24"/>
                <w:szCs w:val="24"/>
              </w:rPr>
              <w:t>paredzētajā apmērā</w:t>
            </w:r>
            <w:r w:rsidRPr="00D1412B" w:rsidR="005C66B7">
              <w:rPr>
                <w:rFonts w:ascii="Times New Roman" w:hAnsi="Times New Roman" w:cs="Times New Roman"/>
                <w:bCs/>
                <w:sz w:val="24"/>
                <w:szCs w:val="24"/>
              </w:rPr>
              <w:t xml:space="preserve"> ne</w:t>
            </w:r>
            <w:r w:rsidRPr="00D1412B" w:rsidR="00D1412B">
              <w:rPr>
                <w:rFonts w:ascii="Times New Roman" w:hAnsi="Times New Roman" w:cs="Times New Roman"/>
                <w:bCs/>
                <w:sz w:val="24"/>
                <w:szCs w:val="24"/>
              </w:rPr>
              <w:t>sasniedz</w:t>
            </w:r>
            <w:r w:rsidRPr="00D1412B" w:rsidR="005C66B7">
              <w:rPr>
                <w:rFonts w:ascii="Times New Roman" w:hAnsi="Times New Roman" w:cs="Times New Roman"/>
                <w:bCs/>
                <w:sz w:val="24"/>
                <w:szCs w:val="24"/>
              </w:rPr>
              <w:t xml:space="preserve"> attiecīgās administratīvās izmaksas. Valsts nodevu noteikšana atšķirīgā apmērā ir politiska izšķiršanās nolūkā regulēt  </w:t>
            </w:r>
            <w:r w:rsidRPr="00D1412B" w:rsidR="005C66B7">
              <w:rPr>
                <w:rFonts w:ascii="Times New Roman" w:hAnsi="Times New Roman" w:cs="Times New Roman"/>
                <w:sz w:val="24"/>
                <w:szCs w:val="24"/>
              </w:rPr>
              <w:t>personu darbību, kā tas noteikts likuma “Par nodokļiem un nodevām” 1. panta 2. punktā</w:t>
            </w:r>
            <w:r w:rsidR="00771138">
              <w:rPr>
                <w:rFonts w:ascii="Times New Roman" w:hAnsi="Times New Roman" w:cs="Times New Roman"/>
                <w:sz w:val="24"/>
                <w:szCs w:val="24"/>
              </w:rPr>
              <w:t>, tādējādi to nevar pamatot vienīgi ar aprēķiniem.</w:t>
            </w:r>
          </w:p>
          <w:p w:rsidR="00D1412B" w:rsidP="00D1412B" w:rsidRDefault="00D1412B" w14:paraId="2EEBC798" w14:textId="1C7F07B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Nosakot valsts nodevu apmērus, tie noteikti, ņemot vērā Noteikumos šobrīd noteiktos pieteikumu veidus, tos ne vien nepaplašinot, bet samazinot, svītrojot neaktuālos pieteikumu veidus. Ja nolūkā samazināt pieteikumu veidus, tiktu samazināts to skaits, tos apvienojot, valsts nodevas apmēra noteikšana saistībā ar administratīvajām izmaksām būtu apgrūtināta, jo patērētie resursi dažādu reģistrācijas darbību veikšanai ir būtiski atšķirīgi.</w:t>
            </w:r>
          </w:p>
          <w:p w:rsidR="00154B7B" w:rsidP="00154B7B" w:rsidRDefault="00CF6AFC" w14:paraId="51ED463A" w14:textId="7D54BEC5">
            <w:pPr>
              <w:spacing w:after="0" w:line="240" w:lineRule="auto"/>
              <w:ind w:firstLine="284"/>
              <w:jc w:val="both"/>
              <w:rPr>
                <w:rFonts w:ascii="Times New Roman" w:hAnsi="Times New Roman" w:cs="Times New Roman"/>
                <w:sz w:val="24"/>
                <w:szCs w:val="24"/>
              </w:rPr>
            </w:pPr>
            <w:r w:rsidRPr="00D1412B">
              <w:rPr>
                <w:rFonts w:ascii="Times New Roman" w:hAnsi="Times New Roman" w:cs="Times New Roman"/>
                <w:sz w:val="24"/>
                <w:szCs w:val="24"/>
              </w:rPr>
              <w:t xml:space="preserve">Noteikumu 4. punkts noteic samazinātu </w:t>
            </w:r>
            <w:r>
              <w:rPr>
                <w:rFonts w:ascii="Times New Roman" w:hAnsi="Times New Roman" w:cs="Times New Roman"/>
                <w:sz w:val="24"/>
                <w:szCs w:val="24"/>
              </w:rPr>
              <w:t xml:space="preserve">valsts nodevas apmēru, ja pieteicējs pieteikumu iesniedz elektroniski, izmantojot </w:t>
            </w:r>
            <w:r w:rsidR="00C01E8A">
              <w:rPr>
                <w:rFonts w:ascii="Times New Roman" w:hAnsi="Times New Roman" w:cs="Times New Roman"/>
                <w:sz w:val="24"/>
                <w:szCs w:val="24"/>
              </w:rPr>
              <w:t>Latvijas Republikas Uzņēmumu r</w:t>
            </w:r>
            <w:r>
              <w:rPr>
                <w:rFonts w:ascii="Times New Roman" w:hAnsi="Times New Roman" w:cs="Times New Roman"/>
                <w:sz w:val="24"/>
                <w:szCs w:val="24"/>
              </w:rPr>
              <w:t>eģistra</w:t>
            </w:r>
            <w:r w:rsidR="00531845">
              <w:rPr>
                <w:rFonts w:ascii="Times New Roman" w:hAnsi="Times New Roman" w:cs="Times New Roman"/>
                <w:sz w:val="24"/>
                <w:szCs w:val="24"/>
              </w:rPr>
              <w:t xml:space="preserve"> </w:t>
            </w:r>
            <w:r w:rsidR="00C01E8A">
              <w:rPr>
                <w:rFonts w:ascii="Times New Roman" w:hAnsi="Times New Roman" w:cs="Times New Roman"/>
                <w:sz w:val="24"/>
                <w:szCs w:val="24"/>
              </w:rPr>
              <w:t xml:space="preserve">(turpmāk – Reģistrs) </w:t>
            </w:r>
            <w:r>
              <w:rPr>
                <w:rFonts w:ascii="Times New Roman" w:hAnsi="Times New Roman" w:cs="Times New Roman"/>
                <w:sz w:val="24"/>
                <w:szCs w:val="24"/>
              </w:rPr>
              <w:t xml:space="preserve">pārziņā esošo speciālo tiešsaistes formu un izsaka vēlēšanos valsts notāra lēmumu saņemt elektroniski, nosakot, ka šādā gadījumā valsts nodevu maksā 90 procentu apmērā no Noteikumu pielikumā noteiktā valsts nodevas apmēra. </w:t>
            </w:r>
            <w:r w:rsidR="00154B7B">
              <w:rPr>
                <w:rFonts w:ascii="Times New Roman" w:hAnsi="Times New Roman" w:cs="Times New Roman"/>
                <w:sz w:val="24"/>
                <w:szCs w:val="24"/>
              </w:rPr>
              <w:t xml:space="preserve">Ņemot vērā, ka Projekts paredz noteikt valsts nodevas apmēru </w:t>
            </w:r>
            <w:r w:rsidR="00D1412B">
              <w:rPr>
                <w:rFonts w:ascii="Times New Roman" w:hAnsi="Times New Roman" w:cs="Times New Roman"/>
                <w:sz w:val="24"/>
                <w:szCs w:val="24"/>
              </w:rPr>
              <w:t>pārskatīšanu, nosakot tās apmērā, kas nepārsniedz a</w:t>
            </w:r>
            <w:r w:rsidR="00154B7B">
              <w:rPr>
                <w:rFonts w:ascii="Times New Roman" w:hAnsi="Times New Roman" w:cs="Times New Roman"/>
                <w:sz w:val="24"/>
                <w:szCs w:val="24"/>
              </w:rPr>
              <w:t>ttiecīg</w:t>
            </w:r>
            <w:r w:rsidR="00D1412B">
              <w:rPr>
                <w:rFonts w:ascii="Times New Roman" w:hAnsi="Times New Roman" w:cs="Times New Roman"/>
                <w:sz w:val="24"/>
                <w:szCs w:val="24"/>
              </w:rPr>
              <w:t>ās</w:t>
            </w:r>
            <w:r w:rsidR="00154B7B">
              <w:rPr>
                <w:rFonts w:ascii="Times New Roman" w:hAnsi="Times New Roman" w:cs="Times New Roman"/>
                <w:sz w:val="24"/>
                <w:szCs w:val="24"/>
              </w:rPr>
              <w:t xml:space="preserve"> administratīv</w:t>
            </w:r>
            <w:r w:rsidR="00D1412B">
              <w:rPr>
                <w:rFonts w:ascii="Times New Roman" w:hAnsi="Times New Roman" w:cs="Times New Roman"/>
                <w:sz w:val="24"/>
                <w:szCs w:val="24"/>
              </w:rPr>
              <w:t>ās</w:t>
            </w:r>
            <w:r w:rsidR="00154B7B">
              <w:rPr>
                <w:rFonts w:ascii="Times New Roman" w:hAnsi="Times New Roman" w:cs="Times New Roman"/>
                <w:sz w:val="24"/>
                <w:szCs w:val="24"/>
              </w:rPr>
              <w:t xml:space="preserve"> izmaks</w:t>
            </w:r>
            <w:r w:rsidR="00D1412B">
              <w:rPr>
                <w:rFonts w:ascii="Times New Roman" w:hAnsi="Times New Roman" w:cs="Times New Roman"/>
                <w:sz w:val="24"/>
                <w:szCs w:val="24"/>
              </w:rPr>
              <w:t>as</w:t>
            </w:r>
            <w:r w:rsidR="00154B7B">
              <w:rPr>
                <w:rFonts w:ascii="Times New Roman" w:hAnsi="Times New Roman" w:cs="Times New Roman"/>
                <w:sz w:val="24"/>
                <w:szCs w:val="24"/>
              </w:rPr>
              <w:t>, aprēķinot un nosakot valsts nodevas apmēru, ti</w:t>
            </w:r>
            <w:r w:rsidR="00D1412B">
              <w:rPr>
                <w:rFonts w:ascii="Times New Roman" w:hAnsi="Times New Roman" w:cs="Times New Roman"/>
                <w:sz w:val="24"/>
                <w:szCs w:val="24"/>
              </w:rPr>
              <w:t>e</w:t>
            </w:r>
            <w:r w:rsidR="00154B7B">
              <w:rPr>
                <w:rFonts w:ascii="Times New Roman" w:hAnsi="Times New Roman" w:cs="Times New Roman"/>
                <w:sz w:val="24"/>
                <w:szCs w:val="24"/>
              </w:rPr>
              <w:t xml:space="preserve">k ņemtas vērā </w:t>
            </w:r>
            <w:r w:rsidR="00FD75D9">
              <w:rPr>
                <w:rFonts w:ascii="Times New Roman" w:hAnsi="Times New Roman" w:cs="Times New Roman"/>
                <w:sz w:val="24"/>
                <w:szCs w:val="24"/>
              </w:rPr>
              <w:t xml:space="preserve">arī </w:t>
            </w:r>
            <w:r w:rsidR="00154B7B">
              <w:rPr>
                <w:rFonts w:ascii="Times New Roman" w:hAnsi="Times New Roman" w:cs="Times New Roman"/>
                <w:sz w:val="24"/>
                <w:szCs w:val="24"/>
              </w:rPr>
              <w:t>izmaksas,</w:t>
            </w:r>
            <w:r w:rsidR="00D1412B">
              <w:rPr>
                <w:rFonts w:ascii="Times New Roman" w:hAnsi="Times New Roman" w:cs="Times New Roman"/>
                <w:sz w:val="24"/>
                <w:szCs w:val="24"/>
              </w:rPr>
              <w:t xml:space="preserve"> ja</w:t>
            </w:r>
            <w:r w:rsidR="00154B7B">
              <w:rPr>
                <w:rFonts w:ascii="Times New Roman" w:hAnsi="Times New Roman" w:cs="Times New Roman"/>
                <w:sz w:val="24"/>
                <w:szCs w:val="24"/>
              </w:rPr>
              <w:t xml:space="preserve"> dokumentu aprite notiek elektroniski. Līdz ar to nav nepieciešams noteikt papildu regulējumu gadījumiem, kad dokumentus Reģistrā iesniedz un valsts notāra lēmumu saņem elektroniski. Līdz ar to Projekts paredz svītrot Noteikumu 4. punktu.</w:t>
            </w:r>
          </w:p>
          <w:p w:rsidRPr="007F5CCD" w:rsidR="00CF66CA" w:rsidP="00D1412B" w:rsidRDefault="00154B7B" w14:paraId="30C06537" w14:textId="22FCFDD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Noteikumu 5. punkts noteic valsts nodevas samaksai izmantojamos maksājumu pakalpojumu veidus, citastarp nosakot, ka valsts nodevu var samaksāt ar maksājumu karti maksājumu karšu pieņemšanas terminālī Reģistrā. </w:t>
            </w:r>
            <w:r w:rsidR="005B0D90">
              <w:rPr>
                <w:rFonts w:ascii="Times New Roman" w:hAnsi="Times New Roman" w:cs="Times New Roman"/>
                <w:sz w:val="24"/>
                <w:szCs w:val="24"/>
              </w:rPr>
              <w:t>Reģistrs kopš 2020. gada 12. marta ir pārtraucis klientu klātienes apkalpošanu, kā ar</w:t>
            </w:r>
            <w:r w:rsidR="00FD75D9">
              <w:rPr>
                <w:rFonts w:ascii="Times New Roman" w:hAnsi="Times New Roman" w:cs="Times New Roman"/>
                <w:sz w:val="24"/>
                <w:szCs w:val="24"/>
              </w:rPr>
              <w:t>ī</w:t>
            </w:r>
            <w:r w:rsidR="005B0D90">
              <w:rPr>
                <w:rFonts w:ascii="Times New Roman" w:hAnsi="Times New Roman" w:cs="Times New Roman"/>
                <w:sz w:val="24"/>
                <w:szCs w:val="24"/>
              </w:rPr>
              <w:t xml:space="preserve"> ar grozījumiem likumā “Par Latvijas Republikas Uzņēmumu reģistru”,</w:t>
            </w:r>
            <w:r w:rsidR="00E57C0D">
              <w:rPr>
                <w:rFonts w:ascii="Times New Roman" w:hAnsi="Times New Roman" w:cs="Times New Roman"/>
                <w:sz w:val="24"/>
                <w:szCs w:val="24"/>
              </w:rPr>
              <w:t xml:space="preserve"> </w:t>
            </w:r>
            <w:r w:rsidR="005B0D90">
              <w:rPr>
                <w:rFonts w:ascii="Times New Roman" w:hAnsi="Times New Roman" w:cs="Times New Roman"/>
                <w:sz w:val="24"/>
                <w:szCs w:val="24"/>
              </w:rPr>
              <w:t xml:space="preserve">kas Saeimā pieņemti 2021. gada 7. janvārī, ir svītrotas norādes uz Reģistra sniegtajiem pakalpojumiem, kuru saņemšana ir iespējama vienīgi klātienē, tādējādi pilnībā atsakoties no klientu apkalpošanas klātienē </w:t>
            </w:r>
            <w:r w:rsidR="007F5CCD">
              <w:rPr>
                <w:rFonts w:ascii="Times New Roman" w:hAnsi="Times New Roman" w:cs="Times New Roman"/>
                <w:sz w:val="24"/>
                <w:szCs w:val="24"/>
              </w:rPr>
              <w:t>R</w:t>
            </w:r>
            <w:r w:rsidR="005B0D90">
              <w:rPr>
                <w:rFonts w:ascii="Times New Roman" w:hAnsi="Times New Roman" w:cs="Times New Roman"/>
                <w:sz w:val="24"/>
                <w:szCs w:val="24"/>
              </w:rPr>
              <w:t>eģistr</w:t>
            </w:r>
            <w:r w:rsidR="007F5CCD">
              <w:rPr>
                <w:rFonts w:ascii="Times New Roman" w:hAnsi="Times New Roman" w:cs="Times New Roman"/>
                <w:sz w:val="24"/>
                <w:szCs w:val="24"/>
              </w:rPr>
              <w:t>a</w:t>
            </w:r>
            <w:r w:rsidR="005B0D90">
              <w:rPr>
                <w:rFonts w:ascii="Times New Roman" w:hAnsi="Times New Roman" w:cs="Times New Roman"/>
                <w:sz w:val="24"/>
                <w:szCs w:val="24"/>
              </w:rPr>
              <w:t xml:space="preserve"> telpās</w:t>
            </w:r>
            <w:r w:rsidR="007F5CCD">
              <w:rPr>
                <w:rFonts w:ascii="Times New Roman" w:hAnsi="Times New Roman" w:cs="Times New Roman"/>
                <w:sz w:val="24"/>
                <w:szCs w:val="24"/>
              </w:rPr>
              <w:t>. Līdz ar to</w:t>
            </w:r>
            <w:r w:rsidRPr="00F36FC4">
              <w:rPr>
                <w:rFonts w:ascii="Times New Roman" w:hAnsi="Times New Roman" w:cs="Times New Roman"/>
                <w:sz w:val="24"/>
                <w:szCs w:val="24"/>
              </w:rPr>
              <w:t xml:space="preserve"> nav arī </w:t>
            </w:r>
            <w:r w:rsidRPr="00F36FC4">
              <w:rPr>
                <w:rFonts w:ascii="Times New Roman" w:hAnsi="Times New Roman" w:cs="Times New Roman"/>
                <w:sz w:val="24"/>
                <w:szCs w:val="24"/>
              </w:rPr>
              <w:lastRenderedPageBreak/>
              <w:t xml:space="preserve">nosakāms, ka valsts nodevu var samaksāt uz vietas Reģistrā, izmantojot maksājumu karšu termināli Reģistrā. </w:t>
            </w:r>
          </w:p>
        </w:tc>
      </w:tr>
      <w:tr w:rsidRPr="004607C0" w:rsidR="004607C0" w:rsidTr="00E13D80" w14:paraId="1AA028D9" w14:textId="77777777">
        <w:trPr>
          <w:trHeight w:val="465"/>
        </w:trPr>
        <w:tc>
          <w:tcPr>
            <w:tcW w:w="241"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lastRenderedPageBreak/>
              <w:t>3.</w:t>
            </w:r>
          </w:p>
        </w:tc>
        <w:tc>
          <w:tcPr>
            <w:tcW w:w="1374"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4EC22A37" w14:textId="0D94F61B">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Projekta izstrādē iesaistītās institūcijas</w:t>
            </w:r>
            <w:r w:rsidRPr="004607C0" w:rsidR="00CA72D5">
              <w:rPr>
                <w:rFonts w:ascii="Times New Roman" w:hAnsi="Times New Roman" w:eastAsia="Times New Roman" w:cs="Times New Roman"/>
                <w:sz w:val="24"/>
                <w:szCs w:val="24"/>
                <w:lang w:eastAsia="lv-LV"/>
              </w:rPr>
              <w:t xml:space="preserve"> un publiskas personas kapitālsabiedrības</w:t>
            </w:r>
          </w:p>
        </w:tc>
        <w:tc>
          <w:tcPr>
            <w:tcW w:w="3385" w:type="pct"/>
            <w:tcBorders>
              <w:top w:val="outset" w:color="414142" w:sz="6" w:space="0"/>
              <w:left w:val="outset" w:color="414142" w:sz="6" w:space="0"/>
              <w:bottom w:val="outset" w:color="414142" w:sz="6" w:space="0"/>
              <w:right w:val="outset" w:color="414142" w:sz="6" w:space="0"/>
            </w:tcBorders>
            <w:hideMark/>
          </w:tcPr>
          <w:p w:rsidRPr="004607C0" w:rsidR="004D15A9" w:rsidP="00910092" w:rsidRDefault="004607C0" w14:paraId="09DA66A3" w14:textId="2A911006">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R</w:t>
            </w:r>
            <w:r w:rsidRPr="004607C0" w:rsidR="00081B93">
              <w:rPr>
                <w:rFonts w:ascii="Times New Roman" w:hAnsi="Times New Roman" w:eastAsia="Times New Roman" w:cs="Times New Roman"/>
                <w:sz w:val="24"/>
                <w:szCs w:val="24"/>
                <w:lang w:eastAsia="lv-LV"/>
              </w:rPr>
              <w:t>eģistrs</w:t>
            </w:r>
            <w:r w:rsidRPr="004607C0" w:rsidR="00910092">
              <w:rPr>
                <w:rFonts w:ascii="Times New Roman" w:hAnsi="Times New Roman" w:eastAsia="Times New Roman" w:cs="Times New Roman"/>
                <w:sz w:val="24"/>
                <w:szCs w:val="24"/>
                <w:lang w:eastAsia="lv-LV"/>
              </w:rPr>
              <w:t xml:space="preserve"> un</w:t>
            </w:r>
            <w:r w:rsidRPr="004607C0" w:rsidR="00C57E5B">
              <w:rPr>
                <w:rFonts w:ascii="Times New Roman" w:hAnsi="Times New Roman" w:eastAsia="Times New Roman" w:cs="Times New Roman"/>
                <w:sz w:val="24"/>
                <w:szCs w:val="24"/>
                <w:lang w:eastAsia="lv-LV"/>
              </w:rPr>
              <w:t xml:space="preserve"> Tieslietu ministrija.</w:t>
            </w:r>
          </w:p>
        </w:tc>
      </w:tr>
      <w:tr w:rsidRPr="004607C0" w:rsidR="004607C0" w:rsidTr="00E13D80" w14:paraId="4416C82A" w14:textId="77777777">
        <w:tc>
          <w:tcPr>
            <w:tcW w:w="241"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4.</w:t>
            </w:r>
          </w:p>
        </w:tc>
        <w:tc>
          <w:tcPr>
            <w:tcW w:w="1374"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Cita informācija</w:t>
            </w:r>
          </w:p>
        </w:tc>
        <w:tc>
          <w:tcPr>
            <w:tcW w:w="3385" w:type="pct"/>
            <w:tcBorders>
              <w:top w:val="outset" w:color="414142" w:sz="6" w:space="0"/>
              <w:left w:val="outset" w:color="414142" w:sz="6" w:space="0"/>
              <w:bottom w:val="outset" w:color="414142" w:sz="6" w:space="0"/>
              <w:right w:val="outset" w:color="414142" w:sz="6" w:space="0"/>
            </w:tcBorders>
            <w:hideMark/>
          </w:tcPr>
          <w:p w:rsidRPr="004607C0" w:rsidR="004D15A9" w:rsidP="00910092" w:rsidRDefault="007B20CB" w14:paraId="1182056C" w14:textId="1D8492B5">
            <w:pPr>
              <w:spacing w:after="0" w:line="240" w:lineRule="auto"/>
              <w:ind w:firstLine="284"/>
              <w:jc w:val="both"/>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Nav.</w:t>
            </w:r>
          </w:p>
        </w:tc>
      </w:tr>
      <w:tr w:rsidRPr="004607C0" w:rsidR="004607C0" w:rsidTr="00D313D5" w14:paraId="4A35F0EC" w14:textId="77777777">
        <w:trPr>
          <w:trHeight w:val="128"/>
        </w:trPr>
        <w:tc>
          <w:tcPr>
            <w:tcW w:w="5000" w:type="pct"/>
            <w:gridSpan w:val="3"/>
            <w:tcBorders>
              <w:top w:val="outset" w:color="414142" w:sz="6" w:space="0"/>
              <w:left w:val="nil"/>
              <w:bottom w:val="outset" w:color="414142" w:sz="6" w:space="0"/>
              <w:right w:val="nil"/>
            </w:tcBorders>
          </w:tcPr>
          <w:p w:rsidRPr="004607C0"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ab/>
            </w:r>
          </w:p>
        </w:tc>
      </w:tr>
      <w:tr w:rsidRPr="004607C0" w:rsidR="004607C0" w:rsidTr="00101CD5" w14:paraId="231B55F5" w14:textId="77777777">
        <w:trPr>
          <w:trHeight w:val="555"/>
        </w:trPr>
        <w:tc>
          <w:tcPr>
            <w:tcW w:w="0" w:type="auto"/>
            <w:gridSpan w:val="3"/>
            <w:tcBorders>
              <w:top w:val="nil"/>
              <w:left w:val="outset" w:color="414142" w:sz="6" w:space="0"/>
              <w:bottom w:val="outset" w:color="414142" w:sz="6" w:space="0"/>
              <w:right w:val="outset" w:color="414142" w:sz="6" w:space="0"/>
            </w:tcBorders>
            <w:vAlign w:val="center"/>
            <w:hideMark/>
          </w:tcPr>
          <w:p w:rsidRPr="004607C0" w:rsidR="004D15A9" w:rsidP="00DA596D" w:rsidRDefault="004D15A9" w14:paraId="4C70EC05" w14:textId="4C1837CE">
            <w:pPr>
              <w:spacing w:after="0" w:line="240" w:lineRule="auto"/>
              <w:ind w:firstLine="300"/>
              <w:jc w:val="center"/>
              <w:rPr>
                <w:rFonts w:ascii="Times New Roman" w:hAnsi="Times New Roman" w:eastAsia="Times New Roman" w:cs="Times New Roman"/>
                <w:b/>
                <w:bCs/>
                <w:sz w:val="24"/>
                <w:szCs w:val="24"/>
                <w:lang w:eastAsia="lv-LV"/>
              </w:rPr>
            </w:pPr>
            <w:r w:rsidRPr="004607C0">
              <w:rPr>
                <w:rFonts w:ascii="Times New Roman" w:hAnsi="Times New Roman" w:eastAsia="Times New Roman" w:cs="Times New Roman"/>
                <w:b/>
                <w:bCs/>
                <w:sz w:val="24"/>
                <w:szCs w:val="24"/>
                <w:lang w:eastAsia="lv-LV"/>
              </w:rPr>
              <w:t>II.</w:t>
            </w:r>
            <w:r w:rsidRPr="004607C0" w:rsidR="00910092">
              <w:rPr>
                <w:rFonts w:ascii="Times New Roman" w:hAnsi="Times New Roman" w:eastAsia="Times New Roman" w:cs="Times New Roman"/>
                <w:b/>
                <w:bCs/>
                <w:sz w:val="24"/>
                <w:szCs w:val="24"/>
                <w:lang w:eastAsia="lv-LV"/>
              </w:rPr>
              <w:t> </w:t>
            </w:r>
            <w:r w:rsidRPr="004607C0">
              <w:rPr>
                <w:rFonts w:ascii="Times New Roman" w:hAnsi="Times New Roman" w:eastAsia="Times New Roman" w:cs="Times New Roman"/>
                <w:b/>
                <w:bCs/>
                <w:sz w:val="24"/>
                <w:szCs w:val="24"/>
                <w:lang w:eastAsia="lv-LV"/>
              </w:rPr>
              <w:t>Tiesību akta projekta ietekme uz sabiedrību, tautsaimniecības attīstību un administratīvo slogu</w:t>
            </w:r>
          </w:p>
        </w:tc>
      </w:tr>
      <w:tr w:rsidRPr="004607C0" w:rsidR="004607C0" w:rsidTr="00E13D80" w14:paraId="2C9F3255" w14:textId="77777777">
        <w:trPr>
          <w:trHeight w:val="465"/>
        </w:trPr>
        <w:tc>
          <w:tcPr>
            <w:tcW w:w="241"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1.</w:t>
            </w:r>
          </w:p>
        </w:tc>
        <w:tc>
          <w:tcPr>
            <w:tcW w:w="1374"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Sabiedrības mērķgrupas, kuras tiesiskais regulējums ietekmē vai varētu ietekmēt</w:t>
            </w:r>
          </w:p>
        </w:tc>
        <w:tc>
          <w:tcPr>
            <w:tcW w:w="3385" w:type="pct"/>
            <w:tcBorders>
              <w:top w:val="outset" w:color="414142" w:sz="6" w:space="0"/>
              <w:left w:val="outset" w:color="414142" w:sz="6" w:space="0"/>
              <w:bottom w:val="outset" w:color="414142" w:sz="6" w:space="0"/>
              <w:right w:val="outset" w:color="414142" w:sz="6" w:space="0"/>
            </w:tcBorders>
            <w:hideMark/>
          </w:tcPr>
          <w:p w:rsidR="007F5CCD" w:rsidP="004607C0" w:rsidRDefault="002B508B" w14:paraId="6DC41B0F" w14:textId="0F279E61">
            <w:pPr>
              <w:spacing w:after="0" w:line="240" w:lineRule="auto"/>
              <w:ind w:firstLine="380"/>
              <w:jc w:val="both"/>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P</w:t>
            </w:r>
            <w:r w:rsidRPr="004607C0" w:rsidR="007B20CB">
              <w:rPr>
                <w:rFonts w:ascii="Times New Roman" w:hAnsi="Times New Roman" w:eastAsia="Times New Roman" w:cs="Times New Roman"/>
                <w:sz w:val="24"/>
                <w:szCs w:val="24"/>
                <w:lang w:eastAsia="lv-LV"/>
              </w:rPr>
              <w:t>rojekt</w:t>
            </w:r>
            <w:r w:rsidR="00C03596">
              <w:rPr>
                <w:rFonts w:ascii="Times New Roman" w:hAnsi="Times New Roman" w:eastAsia="Times New Roman" w:cs="Times New Roman"/>
                <w:sz w:val="24"/>
                <w:szCs w:val="24"/>
                <w:lang w:eastAsia="lv-LV"/>
              </w:rPr>
              <w:t>ā noteiktais regulējums ietekmēs</w:t>
            </w:r>
            <w:r w:rsidR="007F5CCD">
              <w:rPr>
                <w:rFonts w:ascii="Times New Roman" w:hAnsi="Times New Roman" w:eastAsia="Times New Roman" w:cs="Times New Roman"/>
                <w:sz w:val="24"/>
                <w:szCs w:val="24"/>
                <w:lang w:eastAsia="lv-LV"/>
              </w:rPr>
              <w:t xml:space="preserve"> ikvienu, kas vēlēsies veikt tiesību subjektu reģistrāciju komercreģistrā, pievienot reģistrācijas lietai dokumentus vai izdarīt grozījumus komercreģistrā</w:t>
            </w:r>
            <w:r w:rsidR="00910094">
              <w:rPr>
                <w:rFonts w:ascii="Times New Roman" w:hAnsi="Times New Roman" w:eastAsia="Times New Roman" w:cs="Times New Roman"/>
                <w:sz w:val="24"/>
                <w:szCs w:val="24"/>
                <w:lang w:eastAsia="lv-LV"/>
              </w:rPr>
              <w:t xml:space="preserve"> un kuram ir pienākums maksāt valsts nodevu</w:t>
            </w:r>
            <w:r w:rsidR="007F5CCD">
              <w:rPr>
                <w:rFonts w:ascii="Times New Roman" w:hAnsi="Times New Roman" w:eastAsia="Times New Roman" w:cs="Times New Roman"/>
                <w:sz w:val="24"/>
                <w:szCs w:val="24"/>
                <w:lang w:eastAsia="lv-LV"/>
              </w:rPr>
              <w:t xml:space="preserve">. </w:t>
            </w:r>
          </w:p>
          <w:p w:rsidRPr="00910094" w:rsidR="004607C0" w:rsidP="00910094" w:rsidRDefault="007F5CCD" w14:paraId="674A68B1" w14:textId="7F25CC89">
            <w:pPr>
              <w:spacing w:after="0" w:line="240" w:lineRule="auto"/>
              <w:ind w:firstLine="38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Vienlaikus jāņem vērā, ka Projektā </w:t>
            </w:r>
            <w:r w:rsidR="00C03596">
              <w:rPr>
                <w:rFonts w:ascii="Times New Roman" w:hAnsi="Times New Roman" w:eastAsia="Times New Roman" w:cs="Times New Roman"/>
                <w:sz w:val="24"/>
                <w:szCs w:val="24"/>
                <w:lang w:eastAsia="lv-LV"/>
              </w:rPr>
              <w:t>noteiktā regulējuma nepieciešamība</w:t>
            </w:r>
            <w:r w:rsidR="00FD75D9">
              <w:rPr>
                <w:rFonts w:ascii="Times New Roman" w:hAnsi="Times New Roman" w:eastAsia="Times New Roman" w:cs="Times New Roman"/>
                <w:sz w:val="24"/>
                <w:szCs w:val="24"/>
                <w:lang w:eastAsia="lv-LV"/>
              </w:rPr>
              <w:t xml:space="preserve"> būs</w:t>
            </w:r>
            <w:r>
              <w:rPr>
                <w:rFonts w:ascii="Times New Roman" w:hAnsi="Times New Roman" w:eastAsia="Times New Roman" w:cs="Times New Roman"/>
                <w:sz w:val="24"/>
                <w:szCs w:val="24"/>
                <w:lang w:eastAsia="lv-LV"/>
              </w:rPr>
              <w:t xml:space="preserve"> </w:t>
            </w:r>
            <w:r w:rsidR="00C03596">
              <w:rPr>
                <w:rFonts w:ascii="Times New Roman" w:hAnsi="Times New Roman" w:eastAsia="Times New Roman" w:cs="Times New Roman"/>
                <w:sz w:val="24"/>
                <w:szCs w:val="24"/>
                <w:lang w:eastAsia="lv-LV"/>
              </w:rPr>
              <w:t>noteikta ar likumiem</w:t>
            </w:r>
            <w:r w:rsidR="00F01985">
              <w:rPr>
                <w:rFonts w:ascii="Times New Roman" w:hAnsi="Times New Roman" w:eastAsia="Times New Roman" w:cs="Times New Roman"/>
                <w:sz w:val="24"/>
                <w:szCs w:val="24"/>
                <w:lang w:eastAsia="lv-LV"/>
              </w:rPr>
              <w:t>, proti, likumu “Par Latvijas Republikas Uzņēmumu reģistru</w:t>
            </w:r>
            <w:r w:rsidR="001C1BEA">
              <w:rPr>
                <w:rFonts w:ascii="Times New Roman" w:hAnsi="Times New Roman" w:eastAsia="Times New Roman" w:cs="Times New Roman"/>
                <w:sz w:val="24"/>
                <w:szCs w:val="24"/>
                <w:lang w:eastAsia="lv-LV"/>
              </w:rPr>
              <w:t>”</w:t>
            </w:r>
            <w:r w:rsidR="00F01985">
              <w:rPr>
                <w:rFonts w:ascii="Times New Roman" w:hAnsi="Times New Roman" w:eastAsia="Times New Roman" w:cs="Times New Roman"/>
                <w:sz w:val="24"/>
                <w:szCs w:val="24"/>
                <w:lang w:eastAsia="lv-LV"/>
              </w:rPr>
              <w:t xml:space="preserve"> un </w:t>
            </w:r>
            <w:r w:rsidR="00C03596">
              <w:rPr>
                <w:rFonts w:ascii="Times New Roman" w:hAnsi="Times New Roman" w:eastAsia="Times New Roman" w:cs="Times New Roman"/>
                <w:sz w:val="24"/>
                <w:szCs w:val="24"/>
                <w:lang w:eastAsia="lv-LV"/>
              </w:rPr>
              <w:t>Komerclikum</w:t>
            </w:r>
            <w:r w:rsidR="00F01985">
              <w:rPr>
                <w:rFonts w:ascii="Times New Roman" w:hAnsi="Times New Roman" w:eastAsia="Times New Roman" w:cs="Times New Roman"/>
                <w:sz w:val="24"/>
                <w:szCs w:val="24"/>
                <w:lang w:eastAsia="lv-LV"/>
              </w:rPr>
              <w:t>u</w:t>
            </w:r>
            <w:r w:rsidR="008A3482">
              <w:rPr>
                <w:rFonts w:ascii="Times New Roman" w:hAnsi="Times New Roman" w:eastAsia="Times New Roman" w:cs="Times New Roman"/>
                <w:sz w:val="24"/>
                <w:szCs w:val="24"/>
                <w:lang w:eastAsia="lv-LV"/>
              </w:rPr>
              <w:t>.</w:t>
            </w:r>
          </w:p>
        </w:tc>
      </w:tr>
      <w:tr w:rsidRPr="004607C0" w:rsidR="004607C0" w:rsidTr="00E13D80" w14:paraId="135FDA25" w14:textId="77777777">
        <w:trPr>
          <w:trHeight w:val="510"/>
        </w:trPr>
        <w:tc>
          <w:tcPr>
            <w:tcW w:w="241"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2.</w:t>
            </w:r>
          </w:p>
        </w:tc>
        <w:tc>
          <w:tcPr>
            <w:tcW w:w="1374"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1BB1E646" w14:textId="49FF601A">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Tiesiskā regulējuma ietekme uz tautsaimniecību un administratīvo slogu</w:t>
            </w:r>
          </w:p>
        </w:tc>
        <w:tc>
          <w:tcPr>
            <w:tcW w:w="3385" w:type="pct"/>
            <w:tcBorders>
              <w:top w:val="outset" w:color="414142" w:sz="6" w:space="0"/>
              <w:left w:val="outset" w:color="414142" w:sz="6" w:space="0"/>
              <w:bottom w:val="outset" w:color="414142" w:sz="6" w:space="0"/>
              <w:right w:val="outset" w:color="414142" w:sz="6" w:space="0"/>
            </w:tcBorders>
            <w:hideMark/>
          </w:tcPr>
          <w:p w:rsidR="001B2FFC" w:rsidP="00926E30" w:rsidRDefault="00926E30" w14:paraId="17FB79D8" w14:textId="77777777">
            <w:pPr>
              <w:spacing w:after="0" w:line="240" w:lineRule="auto"/>
              <w:ind w:firstLine="380"/>
              <w:jc w:val="both"/>
              <w:rPr>
                <w:rFonts w:ascii="Times New Roman" w:hAnsi="Times New Roman" w:cs="Times New Roman"/>
                <w:color w:val="000000"/>
                <w:sz w:val="24"/>
                <w:szCs w:val="24"/>
                <w:shd w:val="clear" w:color="auto" w:fill="FFFFFF"/>
              </w:rPr>
            </w:pPr>
            <w:r w:rsidRPr="00B33A86">
              <w:rPr>
                <w:rFonts w:ascii="Times New Roman" w:hAnsi="Times New Roman" w:cs="Times New Roman"/>
                <w:color w:val="000000"/>
                <w:sz w:val="24"/>
                <w:szCs w:val="24"/>
                <w:shd w:val="clear" w:color="auto" w:fill="FFFFFF"/>
              </w:rPr>
              <w:t xml:space="preserve">Projektam </w:t>
            </w:r>
            <w:r>
              <w:rPr>
                <w:rFonts w:ascii="Times New Roman" w:hAnsi="Times New Roman" w:cs="Times New Roman"/>
                <w:color w:val="000000"/>
                <w:sz w:val="24"/>
                <w:szCs w:val="24"/>
                <w:shd w:val="clear" w:color="auto" w:fill="FFFFFF"/>
              </w:rPr>
              <w:t>ir ietekme uz tautsaimniecību un administratīvo slogu</w:t>
            </w:r>
            <w:r w:rsidR="0039171F">
              <w:rPr>
                <w:rFonts w:ascii="Times New Roman" w:hAnsi="Times New Roman" w:cs="Times New Roman"/>
                <w:color w:val="000000"/>
                <w:sz w:val="24"/>
                <w:szCs w:val="24"/>
                <w:shd w:val="clear" w:color="auto" w:fill="FFFFFF"/>
              </w:rPr>
              <w:t xml:space="preserve">. </w:t>
            </w:r>
          </w:p>
          <w:p w:rsidR="00926E30" w:rsidP="0060114D" w:rsidRDefault="00926E30" w14:paraId="0CE3BB11" w14:textId="6994DEBE">
            <w:pPr>
              <w:spacing w:after="0" w:line="240" w:lineRule="auto"/>
              <w:ind w:firstLine="38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Pozitīvi vērtējams, ka nosakot valsts nodevas apmēru</w:t>
            </w:r>
            <w:r w:rsidR="0060114D">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balstoties uz administratīvajiem izdevumiem, samazinās izmaksas jaunas SIA</w:t>
            </w:r>
            <w:r w:rsidR="001B2FFC">
              <w:rPr>
                <w:rFonts w:ascii="Times New Roman" w:hAnsi="Times New Roman" w:eastAsia="Times New Roman" w:cs="Times New Roman"/>
                <w:sz w:val="24"/>
                <w:szCs w:val="24"/>
                <w:lang w:eastAsia="lv-LV"/>
              </w:rPr>
              <w:t xml:space="preserve">, AS, personālsabiedrības un Eiropas </w:t>
            </w:r>
            <w:r w:rsidR="003D4DD0">
              <w:rPr>
                <w:rFonts w:ascii="Times New Roman" w:hAnsi="Times New Roman" w:eastAsia="Times New Roman" w:cs="Times New Roman"/>
                <w:sz w:val="24"/>
                <w:szCs w:val="24"/>
                <w:lang w:eastAsia="lv-LV"/>
              </w:rPr>
              <w:t>komercsabiedrības</w:t>
            </w:r>
            <w:r>
              <w:rPr>
                <w:rFonts w:ascii="Times New Roman" w:hAnsi="Times New Roman" w:eastAsia="Times New Roman" w:cs="Times New Roman"/>
                <w:sz w:val="24"/>
                <w:szCs w:val="24"/>
                <w:lang w:eastAsia="lv-LV"/>
              </w:rPr>
              <w:t xml:space="preserve"> reģistrācijai, kas var atstāt pozitīvu ietekmi uz </w:t>
            </w:r>
            <w:r w:rsidRPr="00CE5331">
              <w:rPr>
                <w:rFonts w:ascii="Times New Roman" w:hAnsi="Times New Roman" w:eastAsia="Times New Roman" w:cs="Times New Roman"/>
                <w:i/>
                <w:iCs/>
                <w:sz w:val="24"/>
                <w:szCs w:val="24"/>
                <w:lang w:eastAsia="lv-LV"/>
              </w:rPr>
              <w:t>Doing business</w:t>
            </w:r>
            <w:r>
              <w:rPr>
                <w:rFonts w:ascii="Times New Roman" w:hAnsi="Times New Roman" w:eastAsia="Times New Roman" w:cs="Times New Roman"/>
                <w:sz w:val="24"/>
                <w:szCs w:val="24"/>
                <w:lang w:eastAsia="lv-LV"/>
              </w:rPr>
              <w:t xml:space="preserve"> reitingu</w:t>
            </w:r>
            <w:r w:rsidR="00ED1A76">
              <w:rPr>
                <w:rFonts w:ascii="Times New Roman" w:hAnsi="Times New Roman" w:eastAsia="Times New Roman" w:cs="Times New Roman"/>
                <w:sz w:val="24"/>
                <w:szCs w:val="24"/>
                <w:lang w:eastAsia="lv-LV"/>
              </w:rPr>
              <w:t>, tostarp ņemot vērā, ka</w:t>
            </w:r>
            <w:r w:rsidR="0060114D">
              <w:rPr>
                <w:rFonts w:ascii="Times New Roman" w:hAnsi="Times New Roman" w:eastAsia="Times New Roman" w:cs="Times New Roman"/>
                <w:sz w:val="24"/>
                <w:szCs w:val="24"/>
                <w:lang w:eastAsia="lv-LV"/>
              </w:rPr>
              <w:t xml:space="preserve"> jaunas SIA reģistrācijas valsts nodeva samazināta no 150 </w:t>
            </w:r>
            <w:r w:rsidRPr="0060114D" w:rsidR="0060114D">
              <w:rPr>
                <w:rFonts w:ascii="Times New Roman" w:hAnsi="Times New Roman" w:eastAsia="Times New Roman" w:cs="Times New Roman"/>
                <w:i/>
                <w:iCs/>
                <w:sz w:val="24"/>
                <w:szCs w:val="24"/>
                <w:lang w:eastAsia="lv-LV"/>
              </w:rPr>
              <w:t>euro</w:t>
            </w:r>
            <w:r w:rsidR="0060114D">
              <w:rPr>
                <w:rFonts w:ascii="Times New Roman" w:hAnsi="Times New Roman" w:eastAsia="Times New Roman" w:cs="Times New Roman"/>
                <w:sz w:val="24"/>
                <w:szCs w:val="24"/>
                <w:lang w:eastAsia="lv-LV"/>
              </w:rPr>
              <w:t xml:space="preserve"> uz 75 </w:t>
            </w:r>
            <w:r w:rsidRPr="0060114D" w:rsidR="0060114D">
              <w:rPr>
                <w:rFonts w:ascii="Times New Roman" w:hAnsi="Times New Roman" w:eastAsia="Times New Roman" w:cs="Times New Roman"/>
                <w:i/>
                <w:iCs/>
                <w:sz w:val="24"/>
                <w:szCs w:val="24"/>
                <w:lang w:eastAsia="lv-LV"/>
              </w:rPr>
              <w:t>euro</w:t>
            </w:r>
            <w:r w:rsidR="0060114D">
              <w:rPr>
                <w:rFonts w:ascii="Times New Roman" w:hAnsi="Times New Roman" w:eastAsia="Times New Roman" w:cs="Times New Roman"/>
                <w:sz w:val="24"/>
                <w:szCs w:val="24"/>
                <w:lang w:eastAsia="lv-LV"/>
              </w:rPr>
              <w:t xml:space="preserve"> un ka</w:t>
            </w:r>
            <w:r w:rsidR="00ED1A76">
              <w:rPr>
                <w:rFonts w:ascii="Times New Roman" w:hAnsi="Times New Roman" w:eastAsia="Times New Roman" w:cs="Times New Roman"/>
                <w:sz w:val="24"/>
                <w:szCs w:val="24"/>
                <w:lang w:eastAsia="lv-LV"/>
              </w:rPr>
              <w:t>, sākot ar 2021. gada 1. janvāri, nav jāmaksā maksa par komercreģistra ierakstu izsludināšanu.</w:t>
            </w:r>
          </w:p>
          <w:p w:rsidR="00926E30" w:rsidP="00926E30" w:rsidRDefault="00926E30" w14:paraId="178C25AA" w14:textId="2E9E3BF5">
            <w:pPr>
              <w:spacing w:after="0" w:line="240" w:lineRule="auto"/>
              <w:ind w:firstLine="38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Taču</w:t>
            </w:r>
            <w:r w:rsidR="001B2FFC">
              <w:rPr>
                <w:rFonts w:ascii="Times New Roman" w:hAnsi="Times New Roman" w:eastAsia="Times New Roman" w:cs="Times New Roman"/>
                <w:sz w:val="24"/>
                <w:szCs w:val="24"/>
                <w:lang w:eastAsia="lv-LV"/>
              </w:rPr>
              <w:t xml:space="preserve"> vienlaikus tiek palielinātas</w:t>
            </w:r>
            <w:r w:rsidR="00B27B84">
              <w:rPr>
                <w:rFonts w:ascii="Times New Roman" w:hAnsi="Times New Roman" w:eastAsia="Times New Roman" w:cs="Times New Roman"/>
                <w:sz w:val="24"/>
                <w:szCs w:val="24"/>
                <w:lang w:eastAsia="lv-LV"/>
              </w:rPr>
              <w:t xml:space="preserve"> valsts nodevas par </w:t>
            </w:r>
            <w:r>
              <w:rPr>
                <w:rFonts w:ascii="Times New Roman" w:hAnsi="Times New Roman" w:eastAsia="Times New Roman" w:cs="Times New Roman"/>
                <w:sz w:val="24"/>
                <w:szCs w:val="24"/>
                <w:lang w:eastAsia="lv-LV"/>
              </w:rPr>
              <w:t xml:space="preserve"> </w:t>
            </w:r>
            <w:r w:rsidRPr="00B27B84" w:rsidR="00B27B84">
              <w:rPr>
                <w:rFonts w:ascii="Times New Roman" w:hAnsi="Times New Roman" w:eastAsia="Times New Roman" w:cs="Times New Roman"/>
                <w:sz w:val="24"/>
                <w:szCs w:val="24"/>
                <w:lang w:eastAsia="lv-LV"/>
              </w:rPr>
              <w:t>reorganizācijas līguma (lēmuma) projekta vai tā grozījumu reģistrēšan</w:t>
            </w:r>
            <w:r w:rsidR="000E1ABC">
              <w:rPr>
                <w:rFonts w:ascii="Times New Roman" w:hAnsi="Times New Roman" w:eastAsia="Times New Roman" w:cs="Times New Roman"/>
                <w:sz w:val="24"/>
                <w:szCs w:val="24"/>
                <w:lang w:eastAsia="lv-LV"/>
              </w:rPr>
              <w:t>u</w:t>
            </w:r>
            <w:r w:rsidRPr="00B27B84" w:rsidR="00B27B84">
              <w:rPr>
                <w:rFonts w:ascii="Times New Roman" w:hAnsi="Times New Roman" w:eastAsia="Times New Roman" w:cs="Times New Roman"/>
                <w:sz w:val="24"/>
                <w:szCs w:val="24"/>
                <w:lang w:eastAsia="lv-LV"/>
              </w:rPr>
              <w:t xml:space="preserve"> (pievienošan</w:t>
            </w:r>
            <w:r w:rsidR="000E1ABC">
              <w:rPr>
                <w:rFonts w:ascii="Times New Roman" w:hAnsi="Times New Roman" w:eastAsia="Times New Roman" w:cs="Times New Roman"/>
                <w:sz w:val="24"/>
                <w:szCs w:val="24"/>
                <w:lang w:eastAsia="lv-LV"/>
              </w:rPr>
              <w:t>u</w:t>
            </w:r>
            <w:r w:rsidRPr="00B27B84" w:rsidR="00B27B84">
              <w:rPr>
                <w:rFonts w:ascii="Times New Roman" w:hAnsi="Times New Roman" w:eastAsia="Times New Roman" w:cs="Times New Roman"/>
                <w:sz w:val="24"/>
                <w:szCs w:val="24"/>
                <w:lang w:eastAsia="lv-LV"/>
              </w:rPr>
              <w:t xml:space="preserve"> lietai)</w:t>
            </w:r>
            <w:r w:rsidR="000E1ABC">
              <w:rPr>
                <w:rFonts w:ascii="Times New Roman" w:hAnsi="Times New Roman" w:eastAsia="Times New Roman" w:cs="Times New Roman"/>
                <w:sz w:val="24"/>
                <w:szCs w:val="24"/>
                <w:lang w:eastAsia="lv-LV"/>
              </w:rPr>
              <w:t xml:space="preserve">, pārveidošanu, </w:t>
            </w:r>
            <w:r w:rsidRPr="00D5627A" w:rsidR="000E1ABC">
              <w:rPr>
                <w:rFonts w:ascii="Times New Roman" w:hAnsi="Times New Roman" w:eastAsia="Times New Roman" w:cs="Times New Roman"/>
                <w:sz w:val="24"/>
                <w:szCs w:val="24"/>
                <w:lang w:eastAsia="lv-LV"/>
              </w:rPr>
              <w:t>par ieraksta izdarīšanu komercreģistrā par katru reorganizācijā iesaistīto komercsabiedrību un par apliecinājuma izsniegšanu par tādu darbību un formalitāšu pabeigšanu, kuras jāveic pirms apvienošanās, dibinot Eiropas komercsabiedrību, vai pirms Eiropas komercsabiedrības juridiskās adreses pārcelšanas uz citu dalībvalsti</w:t>
            </w:r>
            <w:r w:rsidR="000E1ABC">
              <w:rPr>
                <w:rFonts w:ascii="Times New Roman" w:hAnsi="Times New Roman" w:eastAsia="Times New Roman" w:cs="Times New Roman"/>
                <w:sz w:val="24"/>
                <w:szCs w:val="24"/>
                <w:lang w:eastAsia="lv-LV"/>
              </w:rPr>
              <w:t xml:space="preserve">, kā arī par </w:t>
            </w:r>
            <w:r w:rsidR="00B27B84">
              <w:rPr>
                <w:rFonts w:ascii="Times New Roman" w:hAnsi="Times New Roman" w:eastAsia="Times New Roman" w:cs="Times New Roman"/>
                <w:sz w:val="24"/>
                <w:szCs w:val="24"/>
                <w:lang w:eastAsia="lv-LV"/>
              </w:rPr>
              <w:t xml:space="preserve">izmaiņu reģistrāciju </w:t>
            </w:r>
            <w:r w:rsidR="00873AA0">
              <w:rPr>
                <w:rFonts w:ascii="Times New Roman" w:hAnsi="Times New Roman" w:eastAsia="Times New Roman" w:cs="Times New Roman"/>
                <w:sz w:val="24"/>
                <w:szCs w:val="24"/>
                <w:lang w:eastAsia="lv-LV"/>
              </w:rPr>
              <w:t>komercreģistrā</w:t>
            </w:r>
            <w:r w:rsidR="00B27B84">
              <w:rPr>
                <w:rFonts w:ascii="Times New Roman" w:hAnsi="Times New Roman" w:eastAsia="Times New Roman" w:cs="Times New Roman"/>
                <w:sz w:val="24"/>
                <w:szCs w:val="24"/>
                <w:lang w:eastAsia="lv-LV"/>
              </w:rPr>
              <w:t xml:space="preserve"> un </w:t>
            </w:r>
            <w:r w:rsidR="00776D8F">
              <w:rPr>
                <w:rFonts w:ascii="Times New Roman" w:hAnsi="Times New Roman" w:eastAsia="Times New Roman" w:cs="Times New Roman"/>
                <w:sz w:val="24"/>
                <w:szCs w:val="24"/>
                <w:lang w:eastAsia="lv-LV"/>
              </w:rPr>
              <w:t xml:space="preserve">individuālā komersanta un komersanta filiāles izslēgšanu no reģistra. </w:t>
            </w:r>
            <w:r w:rsidR="00E01F18">
              <w:rPr>
                <w:rFonts w:ascii="Times New Roman" w:hAnsi="Times New Roman" w:eastAsia="Times New Roman" w:cs="Times New Roman"/>
                <w:sz w:val="24"/>
                <w:szCs w:val="24"/>
                <w:lang w:eastAsia="lv-LV"/>
              </w:rPr>
              <w:t xml:space="preserve">Līdz ar to </w:t>
            </w:r>
            <w:r>
              <w:rPr>
                <w:rFonts w:ascii="Times New Roman" w:hAnsi="Times New Roman" w:eastAsia="Times New Roman" w:cs="Times New Roman"/>
                <w:sz w:val="24"/>
                <w:szCs w:val="24"/>
                <w:lang w:eastAsia="lv-LV"/>
              </w:rPr>
              <w:t>komersantiem būs izmaksu pieaugums, vēršoties Uzņēmumu reģistrā.</w:t>
            </w:r>
          </w:p>
          <w:p w:rsidR="00926E30" w:rsidP="00926E30" w:rsidRDefault="00926E30" w14:paraId="768D9DDB" w14:textId="61A95409">
            <w:pPr>
              <w:spacing w:after="0" w:line="240" w:lineRule="auto"/>
              <w:ind w:firstLine="38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Jāuzsver, ka valsts nodevu apmēri par ierakstu izdarīšanu komercreģistrā būtiski nav pārskatīti kopš 2001.</w:t>
            </w:r>
            <w:r w:rsidR="00126614">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gada, kad tās tika noteiktas pirmo reizi līdz ar komercreģistra izveidošanu. 2014.</w:t>
            </w:r>
            <w:r w:rsidR="00126614">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gadā valsts nodevas tika pārvērstas no latiem uz eiro, savukārt 2016.</w:t>
            </w:r>
            <w:r w:rsidR="00126614">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gadā veiktie grozījumi bija vērsti uz valsts nodevu piemērošanas vienkāršošanu. Proti, valsts nodevu pozīcijas tika apvienotas un noapaļotas, lai tās vieglāk piemērot.  </w:t>
            </w:r>
          </w:p>
          <w:p w:rsidRPr="004607C0" w:rsidR="00B33A86" w:rsidP="00926E30" w:rsidRDefault="00B33A86" w14:paraId="12DBBFF5" w14:textId="34B9EAFE">
            <w:pPr>
              <w:spacing w:after="0" w:line="240" w:lineRule="auto"/>
              <w:ind w:firstLine="284"/>
              <w:jc w:val="both"/>
              <w:rPr>
                <w:rFonts w:ascii="Times New Roman" w:hAnsi="Times New Roman" w:eastAsia="Times New Roman" w:cs="Times New Roman"/>
                <w:sz w:val="24"/>
                <w:szCs w:val="24"/>
                <w:lang w:eastAsia="lv-LV"/>
              </w:rPr>
            </w:pPr>
          </w:p>
        </w:tc>
      </w:tr>
      <w:tr w:rsidRPr="004607C0" w:rsidR="004607C0" w:rsidTr="00E13D80" w14:paraId="5245BA7A" w14:textId="77777777">
        <w:trPr>
          <w:trHeight w:val="510"/>
        </w:trPr>
        <w:tc>
          <w:tcPr>
            <w:tcW w:w="241"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7B20CB" w14:paraId="5F40837F" w14:textId="77631D98">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3.</w:t>
            </w:r>
          </w:p>
        </w:tc>
        <w:tc>
          <w:tcPr>
            <w:tcW w:w="1374"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Administratīvo izmaksu monetārs novērtējums</w:t>
            </w:r>
          </w:p>
        </w:tc>
        <w:tc>
          <w:tcPr>
            <w:tcW w:w="3385" w:type="pct"/>
            <w:tcBorders>
              <w:top w:val="outset" w:color="414142" w:sz="6" w:space="0"/>
              <w:left w:val="outset" w:color="414142" w:sz="6" w:space="0"/>
              <w:bottom w:val="outset" w:color="414142" w:sz="6" w:space="0"/>
              <w:right w:val="outset" w:color="414142" w:sz="6" w:space="0"/>
            </w:tcBorders>
            <w:hideMark/>
          </w:tcPr>
          <w:p w:rsidRPr="004607C0" w:rsidR="00723DDD" w:rsidP="00E13D80" w:rsidRDefault="00104A6A" w14:paraId="5D564945" w14:textId="338E3E86">
            <w:pPr>
              <w:spacing w:after="0" w:line="240" w:lineRule="auto"/>
              <w:ind w:firstLine="284"/>
              <w:jc w:val="both"/>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 xml:space="preserve">Ņemot vērā, ka </w:t>
            </w:r>
            <w:r w:rsidRPr="004607C0" w:rsidR="00943592">
              <w:rPr>
                <w:rFonts w:ascii="Times New Roman" w:hAnsi="Times New Roman" w:eastAsia="Times New Roman" w:cs="Times New Roman"/>
                <w:sz w:val="24"/>
                <w:szCs w:val="24"/>
                <w:lang w:eastAsia="lv-LV"/>
              </w:rPr>
              <w:t>P</w:t>
            </w:r>
            <w:r w:rsidRPr="004607C0">
              <w:rPr>
                <w:rFonts w:ascii="Times New Roman" w:hAnsi="Times New Roman" w:eastAsia="Times New Roman" w:cs="Times New Roman"/>
                <w:sz w:val="24"/>
                <w:szCs w:val="24"/>
                <w:lang w:eastAsia="lv-LV"/>
              </w:rPr>
              <w:t xml:space="preserve">rojekts neparedz papildu informācijas sniegšanas pienākumu, </w:t>
            </w:r>
            <w:r w:rsidRPr="004607C0" w:rsidR="00943592">
              <w:rPr>
                <w:rFonts w:ascii="Times New Roman" w:hAnsi="Times New Roman" w:eastAsia="Times New Roman" w:cs="Times New Roman"/>
                <w:sz w:val="24"/>
                <w:szCs w:val="24"/>
                <w:lang w:eastAsia="lv-LV"/>
              </w:rPr>
              <w:t>P</w:t>
            </w:r>
            <w:r w:rsidRPr="004607C0">
              <w:rPr>
                <w:rFonts w:ascii="Times New Roman" w:hAnsi="Times New Roman" w:eastAsia="Times New Roman" w:cs="Times New Roman"/>
                <w:sz w:val="24"/>
                <w:szCs w:val="24"/>
                <w:lang w:eastAsia="lv-LV"/>
              </w:rPr>
              <w:t xml:space="preserve">rojekts </w:t>
            </w:r>
            <w:r w:rsidRPr="004607C0" w:rsidR="00E13D80">
              <w:rPr>
                <w:rFonts w:ascii="Times New Roman" w:hAnsi="Times New Roman" w:eastAsia="Times New Roman" w:cs="Times New Roman"/>
                <w:sz w:val="24"/>
                <w:szCs w:val="24"/>
                <w:lang w:eastAsia="lv-LV"/>
              </w:rPr>
              <w:t>nerada papildu administratīvā</w:t>
            </w:r>
            <w:r w:rsidRPr="004607C0" w:rsidR="00686C79">
              <w:rPr>
                <w:rFonts w:ascii="Times New Roman" w:hAnsi="Times New Roman" w:eastAsia="Times New Roman" w:cs="Times New Roman"/>
                <w:sz w:val="24"/>
                <w:szCs w:val="24"/>
                <w:lang w:eastAsia="lv-LV"/>
              </w:rPr>
              <w:t>s</w:t>
            </w:r>
            <w:r w:rsidRPr="004607C0" w:rsidR="00E13D80">
              <w:rPr>
                <w:rFonts w:ascii="Times New Roman" w:hAnsi="Times New Roman" w:eastAsia="Times New Roman" w:cs="Times New Roman"/>
                <w:sz w:val="24"/>
                <w:szCs w:val="24"/>
                <w:lang w:eastAsia="lv-LV"/>
              </w:rPr>
              <w:t xml:space="preserve"> izmaksas.</w:t>
            </w:r>
          </w:p>
        </w:tc>
      </w:tr>
      <w:tr w:rsidRPr="004607C0" w:rsidR="004607C0" w:rsidTr="00E13D80" w14:paraId="042D6F61" w14:textId="77777777">
        <w:trPr>
          <w:trHeight w:val="510"/>
        </w:trPr>
        <w:tc>
          <w:tcPr>
            <w:tcW w:w="241" w:type="pct"/>
            <w:tcBorders>
              <w:top w:val="outset" w:color="414142" w:sz="6" w:space="0"/>
              <w:left w:val="outset" w:color="414142" w:sz="6" w:space="0"/>
              <w:bottom w:val="outset" w:color="414142" w:sz="6" w:space="0"/>
              <w:right w:val="outset" w:color="414142" w:sz="6" w:space="0"/>
            </w:tcBorders>
          </w:tcPr>
          <w:p w:rsidRPr="004607C0" w:rsidR="00047CA2" w:rsidP="00DA596D" w:rsidRDefault="00047CA2" w14:paraId="323C982B" w14:textId="209A47EA">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lastRenderedPageBreak/>
              <w:t>4.</w:t>
            </w:r>
          </w:p>
        </w:tc>
        <w:tc>
          <w:tcPr>
            <w:tcW w:w="1374" w:type="pct"/>
            <w:tcBorders>
              <w:top w:val="outset" w:color="414142" w:sz="6" w:space="0"/>
              <w:left w:val="outset" w:color="414142" w:sz="6" w:space="0"/>
              <w:bottom w:val="outset" w:color="414142" w:sz="6" w:space="0"/>
              <w:right w:val="outset" w:color="414142" w:sz="6" w:space="0"/>
            </w:tcBorders>
          </w:tcPr>
          <w:p w:rsidRPr="004607C0" w:rsidR="00047CA2" w:rsidP="00DA596D" w:rsidRDefault="00047CA2" w14:paraId="59A673CD" w14:textId="6EB3305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Atbilstības izmaks</w:t>
            </w:r>
            <w:r w:rsidRPr="004607C0" w:rsidR="00CB4419">
              <w:rPr>
                <w:rFonts w:ascii="Times New Roman" w:hAnsi="Times New Roman" w:eastAsia="Times New Roman" w:cs="Times New Roman"/>
                <w:sz w:val="24"/>
                <w:szCs w:val="24"/>
                <w:lang w:eastAsia="lv-LV"/>
              </w:rPr>
              <w:t>u monetārs novērtējums</w:t>
            </w:r>
          </w:p>
        </w:tc>
        <w:tc>
          <w:tcPr>
            <w:tcW w:w="3385" w:type="pct"/>
            <w:tcBorders>
              <w:top w:val="outset" w:color="414142" w:sz="6" w:space="0"/>
              <w:left w:val="outset" w:color="414142" w:sz="6" w:space="0"/>
              <w:bottom w:val="outset" w:color="414142" w:sz="6" w:space="0"/>
              <w:right w:val="outset" w:color="414142" w:sz="6" w:space="0"/>
            </w:tcBorders>
          </w:tcPr>
          <w:p w:rsidRPr="004607C0" w:rsidR="00047CA2" w:rsidP="00910092" w:rsidRDefault="00CC3A09" w14:paraId="61B55291" w14:textId="4CAC5593">
            <w:pPr>
              <w:spacing w:after="0" w:line="240" w:lineRule="auto"/>
              <w:ind w:firstLine="284"/>
              <w:jc w:val="both"/>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P</w:t>
            </w:r>
            <w:r w:rsidRPr="004607C0" w:rsidR="00F020A8">
              <w:rPr>
                <w:rFonts w:ascii="Times New Roman" w:hAnsi="Times New Roman" w:eastAsia="Times New Roman" w:cs="Times New Roman"/>
                <w:sz w:val="24"/>
                <w:szCs w:val="24"/>
                <w:lang w:eastAsia="lv-LV"/>
              </w:rPr>
              <w:t>rojekts šo jomu neskar.</w:t>
            </w:r>
          </w:p>
        </w:tc>
      </w:tr>
      <w:tr w:rsidRPr="004607C0" w:rsidR="004607C0" w:rsidTr="00E13D80" w14:paraId="058C8E07" w14:textId="77777777">
        <w:trPr>
          <w:trHeight w:val="345"/>
        </w:trPr>
        <w:tc>
          <w:tcPr>
            <w:tcW w:w="241"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047CA2" w14:paraId="580FAF10" w14:textId="4F7E5374">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5</w:t>
            </w:r>
            <w:r w:rsidRPr="004607C0" w:rsidR="004D15A9">
              <w:rPr>
                <w:rFonts w:ascii="Times New Roman" w:hAnsi="Times New Roman" w:eastAsia="Times New Roman" w:cs="Times New Roman"/>
                <w:sz w:val="24"/>
                <w:szCs w:val="24"/>
                <w:lang w:eastAsia="lv-LV"/>
              </w:rPr>
              <w:t>.</w:t>
            </w:r>
          </w:p>
        </w:tc>
        <w:tc>
          <w:tcPr>
            <w:tcW w:w="1374"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Cita informācija</w:t>
            </w:r>
          </w:p>
        </w:tc>
        <w:tc>
          <w:tcPr>
            <w:tcW w:w="3385" w:type="pct"/>
            <w:tcBorders>
              <w:top w:val="outset" w:color="414142" w:sz="6" w:space="0"/>
              <w:left w:val="outset" w:color="414142" w:sz="6" w:space="0"/>
              <w:bottom w:val="outset" w:color="414142" w:sz="6" w:space="0"/>
              <w:right w:val="outset" w:color="414142" w:sz="6" w:space="0"/>
            </w:tcBorders>
            <w:hideMark/>
          </w:tcPr>
          <w:p w:rsidRPr="004607C0" w:rsidR="004D15A9" w:rsidP="00910092" w:rsidRDefault="007B20CB" w14:paraId="5CC17AB0" w14:textId="4629B1CF">
            <w:pPr>
              <w:spacing w:after="0" w:line="240" w:lineRule="auto"/>
              <w:ind w:firstLine="284"/>
              <w:jc w:val="both"/>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Nav.</w:t>
            </w:r>
          </w:p>
        </w:tc>
      </w:tr>
    </w:tbl>
    <w:p w:rsidR="00790ABB" w:rsidP="00F674C8" w:rsidRDefault="00790ABB" w14:paraId="48988276" w14:textId="44F85DD5">
      <w:pPr>
        <w:spacing w:after="0" w:line="240" w:lineRule="auto"/>
        <w:rPr>
          <w:rFonts w:ascii="Times New Roman" w:hAnsi="Times New Roman" w:eastAsia="Times New Roman" w:cs="Times New Roman"/>
          <w:sz w:val="24"/>
          <w:szCs w:val="24"/>
          <w:lang w:eastAsia="lv-LV"/>
        </w:rPr>
      </w:pPr>
    </w:p>
    <w:p w:rsidR="00790ABB" w:rsidP="00F674C8" w:rsidRDefault="00790ABB" w14:paraId="073499B0" w14:textId="57912C15">
      <w:pPr>
        <w:spacing w:after="0" w:line="240" w:lineRule="auto"/>
        <w:rPr>
          <w:rFonts w:ascii="Times New Roman" w:hAnsi="Times New Roman" w:eastAsia="Times New Roman" w:cs="Times New Roman"/>
          <w:sz w:val="24"/>
          <w:szCs w:val="24"/>
          <w:lang w:eastAsia="lv-LV"/>
        </w:rPr>
      </w:pPr>
    </w:p>
    <w:tbl>
      <w:tblPr>
        <w:tblW w:w="5024" w:type="pct"/>
        <w:tblInd w:w="30"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1793"/>
        <w:gridCol w:w="1010"/>
        <w:gridCol w:w="995"/>
        <w:gridCol w:w="1086"/>
        <w:gridCol w:w="995"/>
        <w:gridCol w:w="1103"/>
        <w:gridCol w:w="995"/>
        <w:gridCol w:w="1121"/>
      </w:tblGrid>
      <w:tr w:rsidRPr="00DE33E1" w:rsidR="00790ABB" w:rsidTr="00790ABB" w14:paraId="0F0AFE8D" w14:textId="77777777">
        <w:trPr>
          <w:trHeight w:val="450"/>
        </w:trPr>
        <w:tc>
          <w:tcPr>
            <w:tcW w:w="5000" w:type="pct"/>
            <w:gridSpan w:val="8"/>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76329F02" w14:textId="77777777">
            <w:pPr>
              <w:spacing w:after="0" w:line="240" w:lineRule="auto"/>
              <w:ind w:firstLine="300"/>
              <w:jc w:val="center"/>
              <w:rPr>
                <w:rFonts w:ascii="Times New Roman" w:hAnsi="Times New Roman" w:eastAsia="Times New Roman"/>
                <w:b/>
                <w:bCs/>
                <w:sz w:val="24"/>
                <w:szCs w:val="24"/>
                <w:lang w:eastAsia="lv-LV"/>
              </w:rPr>
            </w:pPr>
            <w:r w:rsidRPr="00DE33E1">
              <w:rPr>
                <w:rFonts w:ascii="Times New Roman" w:hAnsi="Times New Roman" w:eastAsia="Times New Roman"/>
                <w:b/>
                <w:bCs/>
                <w:sz w:val="24"/>
                <w:szCs w:val="24"/>
                <w:lang w:eastAsia="lv-LV"/>
              </w:rPr>
              <w:t>III. Tiesību akta projekta ietekme uz valsts budžetu un pašvaldību budžetiem</w:t>
            </w:r>
          </w:p>
        </w:tc>
      </w:tr>
      <w:tr w:rsidRPr="00DE33E1" w:rsidR="00790ABB" w:rsidTr="00285C1D" w14:paraId="1DF673E7" w14:textId="77777777">
        <w:tc>
          <w:tcPr>
            <w:tcW w:w="985" w:type="pct"/>
            <w:vMerge w:val="restart"/>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33D418C0" w14:textId="77777777">
            <w:pPr>
              <w:spacing w:after="0" w:line="240" w:lineRule="auto"/>
              <w:ind w:firstLine="300"/>
              <w:jc w:val="center"/>
              <w:rPr>
                <w:rFonts w:ascii="Times New Roman" w:hAnsi="Times New Roman" w:eastAsia="Times New Roman"/>
                <w:b/>
                <w:bCs/>
                <w:sz w:val="24"/>
                <w:szCs w:val="24"/>
              </w:rPr>
            </w:pPr>
            <w:r w:rsidRPr="00DE33E1">
              <w:rPr>
                <w:rFonts w:ascii="Times New Roman" w:hAnsi="Times New Roman" w:eastAsia="Times New Roman"/>
                <w:b/>
                <w:bCs/>
                <w:sz w:val="24"/>
                <w:szCs w:val="24"/>
              </w:rPr>
              <w:t>Rādītāji</w:t>
            </w:r>
          </w:p>
        </w:tc>
        <w:tc>
          <w:tcPr>
            <w:tcW w:w="1102" w:type="pct"/>
            <w:gridSpan w:val="2"/>
            <w:vMerge w:val="restart"/>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6AC65A0F" w14:textId="26C95230">
            <w:pPr>
              <w:spacing w:after="0" w:line="240" w:lineRule="auto"/>
              <w:ind w:firstLine="300"/>
              <w:jc w:val="center"/>
              <w:rPr>
                <w:rFonts w:ascii="Times New Roman" w:hAnsi="Times New Roman" w:eastAsia="Times New Roman"/>
                <w:b/>
                <w:bCs/>
                <w:sz w:val="24"/>
                <w:szCs w:val="24"/>
              </w:rPr>
            </w:pPr>
            <w:r w:rsidRPr="00DE33E1">
              <w:rPr>
                <w:rFonts w:ascii="Times New Roman" w:hAnsi="Times New Roman" w:eastAsia="Times New Roman"/>
                <w:b/>
                <w:bCs/>
                <w:sz w:val="24"/>
                <w:szCs w:val="24"/>
              </w:rPr>
              <w:t>20</w:t>
            </w:r>
            <w:r>
              <w:rPr>
                <w:rFonts w:ascii="Times New Roman" w:hAnsi="Times New Roman" w:eastAsia="Times New Roman"/>
                <w:b/>
                <w:bCs/>
                <w:sz w:val="24"/>
                <w:szCs w:val="24"/>
              </w:rPr>
              <w:t>2</w:t>
            </w:r>
            <w:r w:rsidR="00285C1D">
              <w:rPr>
                <w:rFonts w:ascii="Times New Roman" w:hAnsi="Times New Roman" w:eastAsia="Times New Roman"/>
                <w:b/>
                <w:bCs/>
                <w:sz w:val="24"/>
                <w:szCs w:val="24"/>
              </w:rPr>
              <w:t>1</w:t>
            </w:r>
            <w:r w:rsidRPr="00DE33E1">
              <w:rPr>
                <w:rFonts w:ascii="Times New Roman" w:hAnsi="Times New Roman" w:eastAsia="Times New Roman"/>
                <w:b/>
                <w:bCs/>
                <w:sz w:val="24"/>
                <w:szCs w:val="24"/>
              </w:rPr>
              <w:t>. gads</w:t>
            </w:r>
          </w:p>
        </w:tc>
        <w:tc>
          <w:tcPr>
            <w:tcW w:w="2913" w:type="pct"/>
            <w:gridSpan w:val="5"/>
            <w:tcBorders>
              <w:top w:val="outset" w:color="414142" w:sz="6" w:space="0"/>
              <w:left w:val="outset" w:color="414142" w:sz="6" w:space="0"/>
              <w:bottom w:val="outset" w:color="414142" w:sz="6" w:space="0"/>
              <w:right w:val="outset" w:color="414142" w:sz="6" w:space="0"/>
            </w:tcBorders>
          </w:tcPr>
          <w:p w:rsidRPr="00DE33E1" w:rsidR="00790ABB" w:rsidP="00363F47" w:rsidRDefault="00790ABB" w14:paraId="5679E942" w14:textId="77777777">
            <w:pPr>
              <w:spacing w:after="0" w:line="240" w:lineRule="auto"/>
              <w:ind w:firstLine="300"/>
              <w:jc w:val="center"/>
              <w:rPr>
                <w:rFonts w:ascii="Times New Roman" w:hAnsi="Times New Roman" w:eastAsia="Times New Roman"/>
                <w:sz w:val="24"/>
                <w:szCs w:val="24"/>
              </w:rPr>
            </w:pPr>
            <w:r w:rsidRPr="00DE33E1">
              <w:rPr>
                <w:rFonts w:ascii="Times New Roman" w:hAnsi="Times New Roman" w:eastAsia="Times New Roman"/>
                <w:sz w:val="24"/>
                <w:szCs w:val="24"/>
              </w:rPr>
              <w:t>Turpmākie trīs gadi (</w:t>
            </w:r>
            <w:r w:rsidRPr="00DE33E1">
              <w:rPr>
                <w:rFonts w:ascii="Times New Roman" w:hAnsi="Times New Roman" w:eastAsia="Times New Roman"/>
                <w:i/>
                <w:sz w:val="24"/>
                <w:szCs w:val="24"/>
              </w:rPr>
              <w:t>euro</w:t>
            </w:r>
            <w:r w:rsidRPr="00DE33E1">
              <w:rPr>
                <w:rFonts w:ascii="Times New Roman" w:hAnsi="Times New Roman" w:eastAsia="Times New Roman"/>
                <w:sz w:val="24"/>
                <w:szCs w:val="24"/>
              </w:rPr>
              <w:t>)</w:t>
            </w:r>
          </w:p>
        </w:tc>
      </w:tr>
      <w:tr w:rsidRPr="00DE33E1" w:rsidR="00790ABB" w:rsidTr="00285C1D" w14:paraId="4A3CA206" w14:textId="77777777">
        <w:tc>
          <w:tcPr>
            <w:tcW w:w="985" w:type="pct"/>
            <w:vMerge/>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12C9201D" w14:textId="77777777">
            <w:pPr>
              <w:spacing w:after="0" w:line="240" w:lineRule="auto"/>
              <w:rPr>
                <w:rFonts w:ascii="Times New Roman" w:hAnsi="Times New Roman" w:eastAsia="Times New Roman"/>
                <w:b/>
                <w:bCs/>
                <w:sz w:val="24"/>
                <w:szCs w:val="24"/>
              </w:rPr>
            </w:pPr>
          </w:p>
        </w:tc>
        <w:tc>
          <w:tcPr>
            <w:tcW w:w="1102" w:type="pct"/>
            <w:gridSpan w:val="2"/>
            <w:vMerge/>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48E1BF0B" w14:textId="77777777">
            <w:pPr>
              <w:spacing w:after="0" w:line="240" w:lineRule="auto"/>
              <w:rPr>
                <w:rFonts w:ascii="Times New Roman" w:hAnsi="Times New Roman" w:eastAsia="Times New Roman"/>
                <w:b/>
                <w:bCs/>
                <w:sz w:val="24"/>
                <w:szCs w:val="24"/>
              </w:rPr>
            </w:pPr>
          </w:p>
        </w:tc>
        <w:tc>
          <w:tcPr>
            <w:tcW w:w="1144" w:type="pct"/>
            <w:gridSpan w:val="2"/>
            <w:tcBorders>
              <w:top w:val="outset" w:color="414142" w:sz="6" w:space="0"/>
              <w:left w:val="outset" w:color="414142" w:sz="6" w:space="0"/>
              <w:bottom w:val="outset" w:color="414142" w:sz="6" w:space="0"/>
              <w:right w:val="outset" w:color="414142" w:sz="6" w:space="0"/>
            </w:tcBorders>
          </w:tcPr>
          <w:p w:rsidRPr="00DE33E1" w:rsidR="00790ABB" w:rsidP="00363F47" w:rsidRDefault="00790ABB" w14:paraId="176ADFEA" w14:textId="1462B549">
            <w:pPr>
              <w:spacing w:after="0" w:line="240" w:lineRule="auto"/>
              <w:ind w:firstLine="300"/>
              <w:jc w:val="center"/>
              <w:rPr>
                <w:rFonts w:ascii="Times New Roman" w:hAnsi="Times New Roman" w:eastAsia="Times New Roman"/>
                <w:b/>
                <w:bCs/>
                <w:sz w:val="24"/>
                <w:szCs w:val="24"/>
              </w:rPr>
            </w:pPr>
            <w:r w:rsidRPr="00DE33E1">
              <w:rPr>
                <w:rFonts w:ascii="Times New Roman" w:hAnsi="Times New Roman" w:eastAsia="Times New Roman"/>
                <w:b/>
                <w:bCs/>
                <w:sz w:val="24"/>
                <w:szCs w:val="24"/>
              </w:rPr>
              <w:t>20</w:t>
            </w:r>
            <w:r>
              <w:rPr>
                <w:rFonts w:ascii="Times New Roman" w:hAnsi="Times New Roman" w:eastAsia="Times New Roman"/>
                <w:b/>
                <w:bCs/>
                <w:sz w:val="24"/>
                <w:szCs w:val="24"/>
              </w:rPr>
              <w:t>2</w:t>
            </w:r>
            <w:r w:rsidR="00285C1D">
              <w:rPr>
                <w:rFonts w:ascii="Times New Roman" w:hAnsi="Times New Roman" w:eastAsia="Times New Roman"/>
                <w:b/>
                <w:bCs/>
                <w:sz w:val="24"/>
                <w:szCs w:val="24"/>
              </w:rPr>
              <w:t>2</w:t>
            </w:r>
            <w:r w:rsidRPr="00DE33E1">
              <w:rPr>
                <w:rFonts w:ascii="Times New Roman" w:hAnsi="Times New Roman" w:eastAsia="Times New Roman"/>
                <w:b/>
                <w:bCs/>
                <w:sz w:val="24"/>
                <w:szCs w:val="24"/>
              </w:rPr>
              <w:t>.</w:t>
            </w:r>
            <w:r>
              <w:rPr>
                <w:rFonts w:ascii="Times New Roman" w:hAnsi="Times New Roman" w:eastAsia="Times New Roman"/>
                <w:b/>
                <w:bCs/>
                <w:sz w:val="24"/>
                <w:szCs w:val="24"/>
              </w:rPr>
              <w:t> gads</w:t>
            </w:r>
          </w:p>
        </w:tc>
        <w:tc>
          <w:tcPr>
            <w:tcW w:w="1153" w:type="pct"/>
            <w:gridSpan w:val="2"/>
            <w:tcBorders>
              <w:top w:val="outset" w:color="414142" w:sz="6" w:space="0"/>
              <w:left w:val="outset" w:color="414142" w:sz="6" w:space="0"/>
              <w:bottom w:val="outset" w:color="414142" w:sz="6" w:space="0"/>
              <w:right w:val="outset" w:color="414142" w:sz="6" w:space="0"/>
            </w:tcBorders>
          </w:tcPr>
          <w:p w:rsidRPr="00DE33E1" w:rsidR="00790ABB" w:rsidP="00363F47" w:rsidRDefault="00790ABB" w14:paraId="7A1CE274" w14:textId="29D16DB0">
            <w:pPr>
              <w:spacing w:after="0" w:line="240" w:lineRule="auto"/>
              <w:ind w:firstLine="300"/>
              <w:jc w:val="center"/>
              <w:rPr>
                <w:rFonts w:ascii="Times New Roman" w:hAnsi="Times New Roman" w:eastAsia="Times New Roman"/>
                <w:b/>
                <w:bCs/>
                <w:sz w:val="24"/>
                <w:szCs w:val="24"/>
              </w:rPr>
            </w:pPr>
            <w:r w:rsidRPr="00DE33E1">
              <w:rPr>
                <w:rFonts w:ascii="Times New Roman" w:hAnsi="Times New Roman" w:eastAsia="Times New Roman"/>
                <w:b/>
                <w:bCs/>
                <w:sz w:val="24"/>
                <w:szCs w:val="24"/>
              </w:rPr>
              <w:t>20</w:t>
            </w:r>
            <w:r>
              <w:rPr>
                <w:rFonts w:ascii="Times New Roman" w:hAnsi="Times New Roman" w:eastAsia="Times New Roman"/>
                <w:b/>
                <w:bCs/>
                <w:sz w:val="24"/>
                <w:szCs w:val="24"/>
              </w:rPr>
              <w:t>2</w:t>
            </w:r>
            <w:r w:rsidR="00285C1D">
              <w:rPr>
                <w:rFonts w:ascii="Times New Roman" w:hAnsi="Times New Roman" w:eastAsia="Times New Roman"/>
                <w:b/>
                <w:bCs/>
                <w:sz w:val="24"/>
                <w:szCs w:val="24"/>
              </w:rPr>
              <w:t>3</w:t>
            </w:r>
            <w:r w:rsidRPr="00DE33E1">
              <w:rPr>
                <w:rFonts w:ascii="Times New Roman" w:hAnsi="Times New Roman" w:eastAsia="Times New Roman"/>
                <w:b/>
                <w:bCs/>
                <w:sz w:val="24"/>
                <w:szCs w:val="24"/>
              </w:rPr>
              <w:t>.</w:t>
            </w:r>
            <w:r>
              <w:rPr>
                <w:rFonts w:ascii="Times New Roman" w:hAnsi="Times New Roman" w:eastAsia="Times New Roman"/>
                <w:b/>
                <w:bCs/>
                <w:sz w:val="24"/>
                <w:szCs w:val="24"/>
              </w:rPr>
              <w:t> gads</w:t>
            </w:r>
          </w:p>
        </w:tc>
        <w:tc>
          <w:tcPr>
            <w:tcW w:w="616" w:type="pct"/>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41288329" w14:textId="6269CD4E">
            <w:pPr>
              <w:spacing w:after="0" w:line="240" w:lineRule="auto"/>
              <w:ind w:hanging="11"/>
              <w:rPr>
                <w:rFonts w:ascii="Times New Roman" w:hAnsi="Times New Roman" w:eastAsia="Times New Roman"/>
                <w:b/>
                <w:bCs/>
                <w:sz w:val="24"/>
                <w:szCs w:val="24"/>
              </w:rPr>
            </w:pPr>
            <w:r w:rsidRPr="00DE33E1">
              <w:rPr>
                <w:rFonts w:ascii="Times New Roman" w:hAnsi="Times New Roman" w:eastAsia="Times New Roman"/>
                <w:b/>
                <w:bCs/>
                <w:sz w:val="24"/>
                <w:szCs w:val="24"/>
              </w:rPr>
              <w:t>20</w:t>
            </w:r>
            <w:r>
              <w:rPr>
                <w:rFonts w:ascii="Times New Roman" w:hAnsi="Times New Roman" w:eastAsia="Times New Roman"/>
                <w:b/>
                <w:bCs/>
                <w:sz w:val="24"/>
                <w:szCs w:val="24"/>
              </w:rPr>
              <w:t>2</w:t>
            </w:r>
            <w:r w:rsidR="00285C1D">
              <w:rPr>
                <w:rFonts w:ascii="Times New Roman" w:hAnsi="Times New Roman" w:eastAsia="Times New Roman"/>
                <w:b/>
                <w:bCs/>
                <w:sz w:val="24"/>
                <w:szCs w:val="24"/>
              </w:rPr>
              <w:t>4</w:t>
            </w:r>
            <w:r w:rsidRPr="00DE33E1">
              <w:rPr>
                <w:rFonts w:ascii="Times New Roman" w:hAnsi="Times New Roman" w:eastAsia="Times New Roman"/>
                <w:b/>
                <w:bCs/>
                <w:sz w:val="24"/>
                <w:szCs w:val="24"/>
              </w:rPr>
              <w:t>.</w:t>
            </w:r>
            <w:r>
              <w:rPr>
                <w:rFonts w:ascii="Times New Roman" w:hAnsi="Times New Roman" w:eastAsia="Times New Roman"/>
                <w:b/>
                <w:bCs/>
                <w:sz w:val="24"/>
                <w:szCs w:val="24"/>
              </w:rPr>
              <w:t> gads</w:t>
            </w:r>
          </w:p>
        </w:tc>
      </w:tr>
      <w:tr w:rsidRPr="00DE33E1" w:rsidR="00790ABB" w:rsidTr="00285C1D" w14:paraId="5AABBA97" w14:textId="77777777">
        <w:tc>
          <w:tcPr>
            <w:tcW w:w="985" w:type="pct"/>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132089C3" w14:textId="77777777">
            <w:pPr>
              <w:spacing w:after="0" w:line="240" w:lineRule="auto"/>
              <w:rPr>
                <w:rFonts w:ascii="Times New Roman" w:hAnsi="Times New Roman" w:eastAsia="Times New Roman"/>
                <w:b/>
                <w:bCs/>
                <w:sz w:val="24"/>
                <w:szCs w:val="24"/>
              </w:rPr>
            </w:pPr>
          </w:p>
        </w:tc>
        <w:tc>
          <w:tcPr>
            <w:tcW w:w="555" w:type="pct"/>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6251BF8D"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saskaņā ar valsts budžetu kārtējam gadam</w:t>
            </w:r>
          </w:p>
        </w:tc>
        <w:tc>
          <w:tcPr>
            <w:tcW w:w="547" w:type="pct"/>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752E6986"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izmaiņas kārtējā gadā, salīdzinot ar valsts budžetu kārtējam gadam</w:t>
            </w:r>
          </w:p>
        </w:tc>
        <w:tc>
          <w:tcPr>
            <w:tcW w:w="597" w:type="pct"/>
            <w:tcBorders>
              <w:top w:val="outset" w:color="414142" w:sz="6" w:space="0"/>
              <w:left w:val="outset" w:color="414142" w:sz="6" w:space="0"/>
              <w:bottom w:val="outset" w:color="414142" w:sz="6" w:space="0"/>
              <w:right w:val="outset" w:color="414142" w:sz="6" w:space="0"/>
            </w:tcBorders>
            <w:vAlign w:val="center"/>
          </w:tcPr>
          <w:p w:rsidRPr="00DE33E1" w:rsidR="00790ABB" w:rsidP="00363F47" w:rsidRDefault="00790ABB" w14:paraId="109329B3"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 xml:space="preserve">saskaņā ar </w:t>
            </w:r>
            <w:r>
              <w:rPr>
                <w:rFonts w:ascii="Times New Roman" w:hAnsi="Times New Roman" w:eastAsia="Times New Roman"/>
                <w:sz w:val="24"/>
                <w:szCs w:val="24"/>
              </w:rPr>
              <w:t xml:space="preserve">vidēja termiņa </w:t>
            </w:r>
            <w:r w:rsidRPr="00DE33E1">
              <w:rPr>
                <w:rFonts w:ascii="Times New Roman" w:hAnsi="Times New Roman" w:eastAsia="Times New Roman"/>
                <w:sz w:val="24"/>
                <w:szCs w:val="24"/>
              </w:rPr>
              <w:t>budžet</w:t>
            </w:r>
            <w:r>
              <w:rPr>
                <w:rFonts w:ascii="Times New Roman" w:hAnsi="Times New Roman" w:eastAsia="Times New Roman"/>
                <w:sz w:val="24"/>
                <w:szCs w:val="24"/>
              </w:rPr>
              <w:t>a</w:t>
            </w:r>
            <w:r w:rsidRPr="00DE33E1">
              <w:rPr>
                <w:rFonts w:ascii="Times New Roman" w:hAnsi="Times New Roman" w:eastAsia="Times New Roman"/>
                <w:sz w:val="24"/>
                <w:szCs w:val="24"/>
              </w:rPr>
              <w:t xml:space="preserve"> </w:t>
            </w:r>
            <w:r>
              <w:rPr>
                <w:rFonts w:ascii="Times New Roman" w:hAnsi="Times New Roman" w:eastAsia="Times New Roman"/>
                <w:sz w:val="24"/>
                <w:szCs w:val="24"/>
              </w:rPr>
              <w:t>ietvaru</w:t>
            </w:r>
          </w:p>
        </w:tc>
        <w:tc>
          <w:tcPr>
            <w:tcW w:w="547" w:type="pct"/>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78B380C8" w14:textId="0FF61769">
            <w:pPr>
              <w:spacing w:after="0" w:line="240" w:lineRule="auto"/>
              <w:jc w:val="center"/>
              <w:rPr>
                <w:rFonts w:ascii="Times New Roman" w:hAnsi="Times New Roman" w:eastAsia="Times New Roman"/>
                <w:sz w:val="24"/>
                <w:szCs w:val="24"/>
              </w:rPr>
            </w:pPr>
            <w:r w:rsidRPr="004061F5">
              <w:rPr>
                <w:rFonts w:ascii="Times New Roman" w:hAnsi="Times New Roman" w:eastAsia="Times New Roman"/>
                <w:sz w:val="24"/>
                <w:szCs w:val="24"/>
              </w:rPr>
              <w:t>izmaiņas, salīdzinot ar vidēja termiņa budžeta ietvaru 20</w:t>
            </w:r>
            <w:r>
              <w:rPr>
                <w:rFonts w:ascii="Times New Roman" w:hAnsi="Times New Roman" w:eastAsia="Times New Roman"/>
                <w:sz w:val="24"/>
                <w:szCs w:val="24"/>
              </w:rPr>
              <w:t>2</w:t>
            </w:r>
            <w:r w:rsidR="00285C1D">
              <w:rPr>
                <w:rFonts w:ascii="Times New Roman" w:hAnsi="Times New Roman" w:eastAsia="Times New Roman"/>
                <w:sz w:val="24"/>
                <w:szCs w:val="24"/>
              </w:rPr>
              <w:t>2</w:t>
            </w:r>
            <w:r w:rsidRPr="004061F5">
              <w:rPr>
                <w:rFonts w:ascii="Times New Roman" w:hAnsi="Times New Roman" w:eastAsia="Times New Roman"/>
                <w:sz w:val="24"/>
                <w:szCs w:val="24"/>
              </w:rPr>
              <w:t>. gadam</w:t>
            </w:r>
          </w:p>
        </w:tc>
        <w:tc>
          <w:tcPr>
            <w:tcW w:w="606" w:type="pct"/>
            <w:tcBorders>
              <w:top w:val="outset" w:color="414142" w:sz="6" w:space="0"/>
              <w:left w:val="outset" w:color="414142" w:sz="6" w:space="0"/>
              <w:bottom w:val="outset" w:color="414142" w:sz="6" w:space="0"/>
              <w:right w:val="outset" w:color="414142" w:sz="6" w:space="0"/>
            </w:tcBorders>
          </w:tcPr>
          <w:p w:rsidRPr="00DE33E1" w:rsidR="00790ABB" w:rsidP="00363F47" w:rsidRDefault="00790ABB" w14:paraId="196060CF"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 xml:space="preserve">saskaņā ar </w:t>
            </w:r>
            <w:r>
              <w:rPr>
                <w:rFonts w:ascii="Times New Roman" w:hAnsi="Times New Roman" w:eastAsia="Times New Roman"/>
                <w:sz w:val="24"/>
                <w:szCs w:val="24"/>
              </w:rPr>
              <w:t xml:space="preserve">vidēja termiņa </w:t>
            </w:r>
            <w:r w:rsidRPr="00DE33E1">
              <w:rPr>
                <w:rFonts w:ascii="Times New Roman" w:hAnsi="Times New Roman" w:eastAsia="Times New Roman"/>
                <w:sz w:val="24"/>
                <w:szCs w:val="24"/>
              </w:rPr>
              <w:t>budžet</w:t>
            </w:r>
            <w:r>
              <w:rPr>
                <w:rFonts w:ascii="Times New Roman" w:hAnsi="Times New Roman" w:eastAsia="Times New Roman"/>
                <w:sz w:val="24"/>
                <w:szCs w:val="24"/>
              </w:rPr>
              <w:t>a</w:t>
            </w:r>
            <w:r w:rsidRPr="00DE33E1">
              <w:rPr>
                <w:rFonts w:ascii="Times New Roman" w:hAnsi="Times New Roman" w:eastAsia="Times New Roman"/>
                <w:sz w:val="24"/>
                <w:szCs w:val="24"/>
              </w:rPr>
              <w:t xml:space="preserve"> </w:t>
            </w:r>
            <w:r>
              <w:rPr>
                <w:rFonts w:ascii="Times New Roman" w:hAnsi="Times New Roman" w:eastAsia="Times New Roman"/>
                <w:sz w:val="24"/>
                <w:szCs w:val="24"/>
              </w:rPr>
              <w:t>ietvaru</w:t>
            </w:r>
          </w:p>
        </w:tc>
        <w:tc>
          <w:tcPr>
            <w:tcW w:w="547" w:type="pct"/>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216EAB42" w14:textId="6EECC419">
            <w:pPr>
              <w:spacing w:after="0" w:line="240" w:lineRule="auto"/>
              <w:jc w:val="center"/>
              <w:rPr>
                <w:rFonts w:ascii="Times New Roman" w:hAnsi="Times New Roman" w:eastAsia="Times New Roman"/>
                <w:sz w:val="24"/>
                <w:szCs w:val="24"/>
              </w:rPr>
            </w:pPr>
            <w:r w:rsidRPr="004061F5">
              <w:rPr>
                <w:rFonts w:ascii="Times New Roman" w:hAnsi="Times New Roman" w:eastAsia="Times New Roman"/>
                <w:sz w:val="24"/>
                <w:szCs w:val="24"/>
              </w:rPr>
              <w:t>izmaiņas, salīdzinot ar vidēja termiņa budžeta ietvaru 202</w:t>
            </w:r>
            <w:r w:rsidR="00285C1D">
              <w:rPr>
                <w:rFonts w:ascii="Times New Roman" w:hAnsi="Times New Roman" w:eastAsia="Times New Roman"/>
                <w:sz w:val="24"/>
                <w:szCs w:val="24"/>
              </w:rPr>
              <w:t>3</w:t>
            </w:r>
            <w:r w:rsidRPr="004061F5">
              <w:rPr>
                <w:rFonts w:ascii="Times New Roman" w:hAnsi="Times New Roman" w:eastAsia="Times New Roman"/>
                <w:sz w:val="24"/>
                <w:szCs w:val="24"/>
              </w:rPr>
              <w:t>. gadam</w:t>
            </w:r>
          </w:p>
        </w:tc>
        <w:tc>
          <w:tcPr>
            <w:tcW w:w="616" w:type="pct"/>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2DACD673" w14:textId="0C2BF2B0">
            <w:pPr>
              <w:spacing w:after="0" w:line="240" w:lineRule="auto"/>
              <w:jc w:val="center"/>
              <w:rPr>
                <w:rFonts w:ascii="Times New Roman" w:hAnsi="Times New Roman" w:eastAsia="Times New Roman"/>
                <w:sz w:val="24"/>
                <w:szCs w:val="24"/>
              </w:rPr>
            </w:pPr>
            <w:r w:rsidRPr="004061F5">
              <w:rPr>
                <w:rFonts w:ascii="Times New Roman" w:hAnsi="Times New Roman" w:eastAsia="Times New Roman"/>
                <w:sz w:val="24"/>
                <w:szCs w:val="24"/>
              </w:rPr>
              <w:t>izmaiņas, salīdzinot ar vidēja termiņa budžeta ietvaru 202</w:t>
            </w:r>
            <w:r w:rsidR="00285C1D">
              <w:rPr>
                <w:rFonts w:ascii="Times New Roman" w:hAnsi="Times New Roman" w:eastAsia="Times New Roman"/>
                <w:sz w:val="24"/>
                <w:szCs w:val="24"/>
              </w:rPr>
              <w:t>3</w:t>
            </w:r>
            <w:r w:rsidRPr="004061F5">
              <w:rPr>
                <w:rFonts w:ascii="Times New Roman" w:hAnsi="Times New Roman" w:eastAsia="Times New Roman"/>
                <w:sz w:val="24"/>
                <w:szCs w:val="24"/>
              </w:rPr>
              <w:t>. gadam</w:t>
            </w:r>
          </w:p>
        </w:tc>
      </w:tr>
      <w:tr w:rsidRPr="00DE33E1" w:rsidR="00790ABB" w:rsidTr="00285C1D" w14:paraId="2C42A1BE" w14:textId="77777777">
        <w:tc>
          <w:tcPr>
            <w:tcW w:w="985" w:type="pct"/>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09221145" w14:textId="77777777">
            <w:pPr>
              <w:spacing w:after="0" w:line="240" w:lineRule="auto"/>
              <w:ind w:firstLine="300"/>
              <w:jc w:val="center"/>
              <w:rPr>
                <w:rFonts w:ascii="Times New Roman" w:hAnsi="Times New Roman" w:eastAsia="Times New Roman"/>
                <w:sz w:val="24"/>
                <w:szCs w:val="24"/>
              </w:rPr>
            </w:pPr>
            <w:r w:rsidRPr="00DE33E1">
              <w:rPr>
                <w:rFonts w:ascii="Times New Roman" w:hAnsi="Times New Roman" w:eastAsia="Times New Roman"/>
                <w:sz w:val="24"/>
                <w:szCs w:val="24"/>
              </w:rPr>
              <w:t>1</w:t>
            </w:r>
          </w:p>
        </w:tc>
        <w:tc>
          <w:tcPr>
            <w:tcW w:w="555" w:type="pct"/>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7AFD3272"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2</w:t>
            </w:r>
          </w:p>
        </w:tc>
        <w:tc>
          <w:tcPr>
            <w:tcW w:w="547" w:type="pct"/>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5E8529F6"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3</w:t>
            </w:r>
          </w:p>
        </w:tc>
        <w:tc>
          <w:tcPr>
            <w:tcW w:w="597" w:type="pct"/>
            <w:tcBorders>
              <w:top w:val="outset" w:color="414142" w:sz="6" w:space="0"/>
              <w:left w:val="outset" w:color="414142" w:sz="6" w:space="0"/>
              <w:bottom w:val="outset" w:color="414142" w:sz="6" w:space="0"/>
              <w:right w:val="outset" w:color="414142" w:sz="6" w:space="0"/>
            </w:tcBorders>
          </w:tcPr>
          <w:p w:rsidRPr="00DE33E1" w:rsidR="00790ABB" w:rsidP="00363F47" w:rsidRDefault="00790ABB" w14:paraId="35A7A799"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4</w:t>
            </w:r>
          </w:p>
        </w:tc>
        <w:tc>
          <w:tcPr>
            <w:tcW w:w="547" w:type="pct"/>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7BD55B4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06" w:type="pct"/>
            <w:tcBorders>
              <w:top w:val="outset" w:color="414142" w:sz="6" w:space="0"/>
              <w:left w:val="outset" w:color="414142" w:sz="6" w:space="0"/>
              <w:bottom w:val="outset" w:color="414142" w:sz="6" w:space="0"/>
              <w:right w:val="outset" w:color="414142" w:sz="6" w:space="0"/>
            </w:tcBorders>
          </w:tcPr>
          <w:p w:rsidRPr="00DE33E1" w:rsidR="00790ABB" w:rsidP="00363F47" w:rsidRDefault="00790ABB" w14:paraId="431B32DE"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6</w:t>
            </w:r>
          </w:p>
        </w:tc>
        <w:tc>
          <w:tcPr>
            <w:tcW w:w="547" w:type="pct"/>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057B4F89"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7</w:t>
            </w:r>
          </w:p>
        </w:tc>
        <w:tc>
          <w:tcPr>
            <w:tcW w:w="616" w:type="pct"/>
            <w:tcBorders>
              <w:top w:val="outset" w:color="414142" w:sz="6" w:space="0"/>
              <w:left w:val="outset" w:color="414142" w:sz="6" w:space="0"/>
              <w:bottom w:val="outset" w:color="414142" w:sz="6" w:space="0"/>
              <w:right w:val="outset" w:color="414142" w:sz="6" w:space="0"/>
            </w:tcBorders>
            <w:vAlign w:val="center"/>
            <w:hideMark/>
          </w:tcPr>
          <w:p w:rsidRPr="00DE33E1" w:rsidR="00790ABB" w:rsidP="00363F47" w:rsidRDefault="00790ABB" w14:paraId="66A6E8EC"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8</w:t>
            </w:r>
          </w:p>
        </w:tc>
      </w:tr>
      <w:tr w:rsidRPr="00DE33E1" w:rsidR="008C51FA" w:rsidTr="00285C1D" w14:paraId="0A6B203E"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8C51FA" w:rsidP="008C51FA" w:rsidRDefault="008C51FA" w14:paraId="1343C11B"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1. Budžeta ieņēmumi:</w:t>
            </w:r>
          </w:p>
        </w:tc>
        <w:tc>
          <w:tcPr>
            <w:tcW w:w="555"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2953DC70" w14:textId="55DA3D9E">
            <w:pPr>
              <w:spacing w:after="0" w:line="240" w:lineRule="auto"/>
              <w:jc w:val="center"/>
              <w:rPr>
                <w:rFonts w:ascii="Times New Roman" w:hAnsi="Times New Roman" w:eastAsia="Times New Roman"/>
                <w:sz w:val="24"/>
                <w:szCs w:val="24"/>
              </w:rPr>
            </w:pPr>
            <w:r w:rsidRPr="00285C1D">
              <w:rPr>
                <w:rFonts w:ascii="Times New Roman" w:hAnsi="Times New Roman" w:eastAsia="Times New Roman"/>
                <w:sz w:val="24"/>
                <w:szCs w:val="24"/>
              </w:rPr>
              <w:t>2 254 467</w:t>
            </w:r>
          </w:p>
        </w:tc>
        <w:tc>
          <w:tcPr>
            <w:tcW w:w="547"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113C6DF0" w14:textId="42CDAF65">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-327 227</w:t>
            </w:r>
          </w:p>
        </w:tc>
        <w:tc>
          <w:tcPr>
            <w:tcW w:w="597"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56523AF8" w14:textId="316040EC">
            <w:pPr>
              <w:spacing w:after="0" w:line="240" w:lineRule="auto"/>
              <w:jc w:val="center"/>
              <w:rPr>
                <w:rFonts w:ascii="Times New Roman" w:hAnsi="Times New Roman" w:eastAsia="Times New Roman"/>
                <w:sz w:val="24"/>
                <w:szCs w:val="24"/>
              </w:rPr>
            </w:pPr>
            <w:r w:rsidRPr="00285C1D">
              <w:rPr>
                <w:rFonts w:ascii="Times New Roman" w:hAnsi="Times New Roman" w:eastAsia="Times New Roman"/>
                <w:sz w:val="24"/>
                <w:szCs w:val="24"/>
              </w:rPr>
              <w:t>2 254 467</w:t>
            </w:r>
          </w:p>
        </w:tc>
        <w:tc>
          <w:tcPr>
            <w:tcW w:w="547"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2BAD316F" w14:textId="7A6CDBD3">
            <w:pPr>
              <w:spacing w:after="0" w:line="240" w:lineRule="auto"/>
              <w:jc w:val="center"/>
              <w:rPr>
                <w:rFonts w:ascii="Times New Roman" w:hAnsi="Times New Roman" w:eastAsia="Times New Roman"/>
                <w:sz w:val="24"/>
                <w:szCs w:val="24"/>
              </w:rPr>
            </w:pPr>
            <w:r w:rsidRPr="00474CB1">
              <w:rPr>
                <w:rFonts w:ascii="Times New Roman" w:hAnsi="Times New Roman" w:eastAsia="Times New Roman"/>
                <w:b/>
                <w:bCs/>
                <w:sz w:val="24"/>
                <w:szCs w:val="24"/>
              </w:rPr>
              <w:t>-</w:t>
            </w:r>
            <w:r>
              <w:rPr>
                <w:rFonts w:ascii="Times New Roman" w:hAnsi="Times New Roman" w:cs="Times New Roman"/>
                <w:sz w:val="24"/>
                <w:szCs w:val="24"/>
              </w:rPr>
              <w:t>677 929</w:t>
            </w:r>
          </w:p>
        </w:tc>
        <w:tc>
          <w:tcPr>
            <w:tcW w:w="606"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2E4E3409" w14:textId="3AD72861">
            <w:pPr>
              <w:spacing w:after="0" w:line="240" w:lineRule="auto"/>
              <w:jc w:val="center"/>
              <w:rPr>
                <w:rFonts w:ascii="Times New Roman" w:hAnsi="Times New Roman" w:eastAsia="Times New Roman"/>
                <w:sz w:val="24"/>
                <w:szCs w:val="24"/>
              </w:rPr>
            </w:pPr>
            <w:r w:rsidRPr="00285C1D">
              <w:rPr>
                <w:rFonts w:ascii="Times New Roman" w:hAnsi="Times New Roman" w:eastAsia="Times New Roman"/>
                <w:sz w:val="24"/>
                <w:szCs w:val="24"/>
              </w:rPr>
              <w:t>2 254 467</w:t>
            </w:r>
          </w:p>
        </w:tc>
        <w:tc>
          <w:tcPr>
            <w:tcW w:w="547"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092F0667" w14:textId="746B43CA">
            <w:pPr>
              <w:spacing w:after="0" w:line="240" w:lineRule="auto"/>
              <w:jc w:val="center"/>
              <w:rPr>
                <w:rFonts w:ascii="Times New Roman" w:hAnsi="Times New Roman" w:eastAsia="Times New Roman"/>
                <w:sz w:val="24"/>
                <w:szCs w:val="24"/>
              </w:rPr>
            </w:pPr>
            <w:r w:rsidRPr="00E029EA">
              <w:rPr>
                <w:rFonts w:ascii="Times New Roman" w:hAnsi="Times New Roman" w:eastAsia="Times New Roman"/>
                <w:b/>
                <w:bCs/>
                <w:sz w:val="24"/>
                <w:szCs w:val="24"/>
              </w:rPr>
              <w:t>-</w:t>
            </w:r>
            <w:r>
              <w:rPr>
                <w:rFonts w:ascii="Times New Roman" w:hAnsi="Times New Roman" w:cs="Times New Roman"/>
                <w:sz w:val="24"/>
                <w:szCs w:val="24"/>
              </w:rPr>
              <w:t>677 929</w:t>
            </w:r>
          </w:p>
        </w:tc>
        <w:tc>
          <w:tcPr>
            <w:tcW w:w="616"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6C155BAE" w14:textId="5AEE332F">
            <w:pPr>
              <w:spacing w:after="0" w:line="240" w:lineRule="auto"/>
              <w:jc w:val="center"/>
              <w:rPr>
                <w:rFonts w:ascii="Times New Roman" w:hAnsi="Times New Roman" w:eastAsia="Times New Roman"/>
                <w:sz w:val="24"/>
                <w:szCs w:val="24"/>
              </w:rPr>
            </w:pPr>
            <w:r w:rsidRPr="00E029EA">
              <w:rPr>
                <w:rFonts w:ascii="Times New Roman" w:hAnsi="Times New Roman" w:eastAsia="Times New Roman"/>
                <w:b/>
                <w:bCs/>
                <w:sz w:val="24"/>
                <w:szCs w:val="24"/>
              </w:rPr>
              <w:t>-</w:t>
            </w:r>
            <w:r>
              <w:rPr>
                <w:rFonts w:ascii="Times New Roman" w:hAnsi="Times New Roman" w:cs="Times New Roman"/>
                <w:sz w:val="24"/>
                <w:szCs w:val="24"/>
              </w:rPr>
              <w:t>677 929</w:t>
            </w:r>
          </w:p>
        </w:tc>
      </w:tr>
      <w:tr w:rsidRPr="00DE33E1" w:rsidR="008C51FA" w:rsidTr="00285C1D" w14:paraId="690B0471"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8C51FA" w:rsidP="008C51FA" w:rsidRDefault="008C51FA" w14:paraId="4AC0B214"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1.1. valsts pamatbudžets, tai skaitā ieņēmumi no maksas pakalpojumiem un citi pašu ieņēmumi</w:t>
            </w:r>
          </w:p>
        </w:tc>
        <w:tc>
          <w:tcPr>
            <w:tcW w:w="555"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5D7C9503" w14:textId="6C750CAA">
            <w:pPr>
              <w:spacing w:after="0" w:line="240" w:lineRule="auto"/>
              <w:jc w:val="center"/>
              <w:rPr>
                <w:rFonts w:ascii="Times New Roman" w:hAnsi="Times New Roman" w:eastAsia="Times New Roman"/>
                <w:sz w:val="24"/>
                <w:szCs w:val="24"/>
              </w:rPr>
            </w:pPr>
            <w:r w:rsidRPr="00285C1D">
              <w:rPr>
                <w:rFonts w:ascii="Times New Roman" w:hAnsi="Times New Roman" w:eastAsia="Times New Roman"/>
                <w:sz w:val="24"/>
                <w:szCs w:val="24"/>
              </w:rPr>
              <w:t>2 254 467</w:t>
            </w:r>
          </w:p>
        </w:tc>
        <w:tc>
          <w:tcPr>
            <w:tcW w:w="547"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0F6D7593" w14:textId="78657D18">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-327 227</w:t>
            </w:r>
          </w:p>
        </w:tc>
        <w:tc>
          <w:tcPr>
            <w:tcW w:w="597"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754447F0" w14:textId="54A76763">
            <w:pPr>
              <w:spacing w:after="0" w:line="240" w:lineRule="auto"/>
              <w:jc w:val="center"/>
              <w:rPr>
                <w:rFonts w:ascii="Times New Roman" w:hAnsi="Times New Roman" w:eastAsia="Times New Roman"/>
                <w:sz w:val="24"/>
                <w:szCs w:val="24"/>
              </w:rPr>
            </w:pPr>
            <w:r w:rsidRPr="00285C1D">
              <w:rPr>
                <w:rFonts w:ascii="Times New Roman" w:hAnsi="Times New Roman" w:eastAsia="Times New Roman"/>
                <w:sz w:val="24"/>
                <w:szCs w:val="24"/>
              </w:rPr>
              <w:t>2 254 467</w:t>
            </w:r>
          </w:p>
        </w:tc>
        <w:tc>
          <w:tcPr>
            <w:tcW w:w="547"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5788C396" w14:textId="0F4F3659">
            <w:pPr>
              <w:spacing w:after="0" w:line="240" w:lineRule="auto"/>
              <w:jc w:val="center"/>
              <w:rPr>
                <w:rFonts w:ascii="Times New Roman" w:hAnsi="Times New Roman" w:eastAsia="Times New Roman"/>
                <w:sz w:val="24"/>
                <w:szCs w:val="24"/>
              </w:rPr>
            </w:pPr>
            <w:r w:rsidRPr="00E029EA">
              <w:rPr>
                <w:rFonts w:ascii="Times New Roman" w:hAnsi="Times New Roman" w:eastAsia="Times New Roman"/>
                <w:b/>
                <w:bCs/>
                <w:sz w:val="24"/>
                <w:szCs w:val="24"/>
              </w:rPr>
              <w:t>-</w:t>
            </w:r>
            <w:r>
              <w:rPr>
                <w:rFonts w:ascii="Times New Roman" w:hAnsi="Times New Roman" w:cs="Times New Roman"/>
                <w:sz w:val="24"/>
                <w:szCs w:val="24"/>
              </w:rPr>
              <w:t>677 929</w:t>
            </w:r>
          </w:p>
        </w:tc>
        <w:tc>
          <w:tcPr>
            <w:tcW w:w="606"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34C44602" w14:textId="6B34E41B">
            <w:pPr>
              <w:spacing w:after="0" w:line="240" w:lineRule="auto"/>
              <w:jc w:val="center"/>
              <w:rPr>
                <w:rFonts w:ascii="Times New Roman" w:hAnsi="Times New Roman" w:eastAsia="Times New Roman"/>
                <w:sz w:val="24"/>
                <w:szCs w:val="24"/>
              </w:rPr>
            </w:pPr>
            <w:r w:rsidRPr="00285C1D">
              <w:rPr>
                <w:rFonts w:ascii="Times New Roman" w:hAnsi="Times New Roman" w:eastAsia="Times New Roman"/>
                <w:sz w:val="24"/>
                <w:szCs w:val="24"/>
              </w:rPr>
              <w:t>2 254 467</w:t>
            </w:r>
          </w:p>
        </w:tc>
        <w:tc>
          <w:tcPr>
            <w:tcW w:w="547"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68BE7F82" w14:textId="41C956BB">
            <w:pPr>
              <w:spacing w:after="0" w:line="240" w:lineRule="auto"/>
              <w:jc w:val="center"/>
              <w:rPr>
                <w:rFonts w:ascii="Times New Roman" w:hAnsi="Times New Roman" w:eastAsia="Times New Roman"/>
                <w:sz w:val="24"/>
                <w:szCs w:val="24"/>
              </w:rPr>
            </w:pPr>
            <w:r w:rsidRPr="00E029EA">
              <w:rPr>
                <w:rFonts w:ascii="Times New Roman" w:hAnsi="Times New Roman" w:eastAsia="Times New Roman"/>
                <w:b/>
                <w:bCs/>
                <w:sz w:val="24"/>
                <w:szCs w:val="24"/>
              </w:rPr>
              <w:t>-</w:t>
            </w:r>
            <w:r>
              <w:rPr>
                <w:rFonts w:ascii="Times New Roman" w:hAnsi="Times New Roman" w:cs="Times New Roman"/>
                <w:sz w:val="24"/>
                <w:szCs w:val="24"/>
              </w:rPr>
              <w:t>677 929</w:t>
            </w:r>
          </w:p>
        </w:tc>
        <w:tc>
          <w:tcPr>
            <w:tcW w:w="616"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6F2E94B0" w14:textId="00A33CF2">
            <w:pPr>
              <w:spacing w:after="0" w:line="240" w:lineRule="auto"/>
              <w:jc w:val="center"/>
              <w:rPr>
                <w:rFonts w:ascii="Times New Roman" w:hAnsi="Times New Roman" w:eastAsia="Times New Roman"/>
                <w:sz w:val="24"/>
                <w:szCs w:val="24"/>
              </w:rPr>
            </w:pPr>
            <w:r w:rsidRPr="00E029EA">
              <w:rPr>
                <w:rFonts w:ascii="Times New Roman" w:hAnsi="Times New Roman" w:eastAsia="Times New Roman"/>
                <w:b/>
                <w:bCs/>
                <w:sz w:val="24"/>
                <w:szCs w:val="24"/>
              </w:rPr>
              <w:t>-</w:t>
            </w:r>
            <w:r>
              <w:rPr>
                <w:rFonts w:ascii="Times New Roman" w:hAnsi="Times New Roman" w:cs="Times New Roman"/>
                <w:sz w:val="24"/>
                <w:szCs w:val="24"/>
              </w:rPr>
              <w:t>677 929</w:t>
            </w:r>
          </w:p>
        </w:tc>
      </w:tr>
      <w:tr w:rsidRPr="00DE33E1" w:rsidR="00130A8D" w:rsidTr="00285C1D" w14:paraId="4AC7CB87"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66B66174"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1.2. valsts speciālais budžets</w:t>
            </w:r>
          </w:p>
        </w:tc>
        <w:tc>
          <w:tcPr>
            <w:tcW w:w="55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7DC58963"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1E348A89"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97"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60B36F1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5EB92CC7"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6"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00F7B852"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3A66D617"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6"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163001F5"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130A8D" w:rsidTr="00285C1D" w14:paraId="6D198581"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6DD7C45F"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1.3. pašvaldību budžets</w:t>
            </w:r>
          </w:p>
        </w:tc>
        <w:tc>
          <w:tcPr>
            <w:tcW w:w="55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0995518C"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40662407"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97"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2980F4EA"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53407CB7"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6"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6BFD4BCC"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6F51D0B6"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6"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30C0BCD8"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130A8D" w:rsidTr="00285C1D" w14:paraId="00707E85"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07239A4E"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2. Budžeta izdevumi:</w:t>
            </w:r>
          </w:p>
        </w:tc>
        <w:tc>
          <w:tcPr>
            <w:tcW w:w="555"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7BE3604C" w14:textId="77777777">
            <w:pPr>
              <w:spacing w:after="0" w:line="240" w:lineRule="auto"/>
              <w:jc w:val="center"/>
              <w:rPr>
                <w:rFonts w:ascii="Times New Roman" w:hAnsi="Times New Roman" w:eastAsia="Times New Roman"/>
                <w:sz w:val="24"/>
                <w:szCs w:val="24"/>
              </w:rPr>
            </w:pPr>
          </w:p>
        </w:tc>
        <w:tc>
          <w:tcPr>
            <w:tcW w:w="547"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5CF24C21" w14:textId="77777777">
            <w:pPr>
              <w:spacing w:after="0" w:line="240" w:lineRule="auto"/>
              <w:jc w:val="center"/>
              <w:rPr>
                <w:rFonts w:ascii="Times New Roman" w:hAnsi="Times New Roman" w:eastAsia="Times New Roman"/>
                <w:sz w:val="24"/>
                <w:szCs w:val="24"/>
              </w:rPr>
            </w:pPr>
          </w:p>
        </w:tc>
        <w:tc>
          <w:tcPr>
            <w:tcW w:w="597" w:type="pct"/>
            <w:tcBorders>
              <w:top w:val="outset" w:color="414142" w:sz="6" w:space="0"/>
              <w:left w:val="outset" w:color="414142" w:sz="6" w:space="0"/>
              <w:bottom w:val="outset" w:color="414142" w:sz="6" w:space="0"/>
              <w:right w:val="outset" w:color="414142" w:sz="6" w:space="0"/>
            </w:tcBorders>
          </w:tcPr>
          <w:p w:rsidR="00130A8D" w:rsidDel="004D77E4" w:rsidP="00130A8D" w:rsidRDefault="00130A8D" w14:paraId="565F6607" w14:textId="77777777">
            <w:pPr>
              <w:spacing w:after="0" w:line="240" w:lineRule="auto"/>
              <w:jc w:val="center"/>
              <w:rPr>
                <w:rFonts w:ascii="Times New Roman" w:hAnsi="Times New Roman" w:eastAsia="Times New Roman"/>
                <w:sz w:val="24"/>
                <w:szCs w:val="24"/>
              </w:rPr>
            </w:pPr>
          </w:p>
        </w:tc>
        <w:tc>
          <w:tcPr>
            <w:tcW w:w="547"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24DA04CB" w14:textId="77777777">
            <w:pPr>
              <w:spacing w:after="0" w:line="240" w:lineRule="auto"/>
              <w:jc w:val="center"/>
              <w:rPr>
                <w:rFonts w:ascii="Times New Roman" w:hAnsi="Times New Roman" w:eastAsia="Times New Roman"/>
                <w:sz w:val="24"/>
                <w:szCs w:val="24"/>
              </w:rPr>
            </w:pPr>
          </w:p>
        </w:tc>
        <w:tc>
          <w:tcPr>
            <w:tcW w:w="606" w:type="pct"/>
            <w:tcBorders>
              <w:top w:val="outset" w:color="414142" w:sz="6" w:space="0"/>
              <w:left w:val="outset" w:color="414142" w:sz="6" w:space="0"/>
              <w:bottom w:val="outset" w:color="414142" w:sz="6" w:space="0"/>
              <w:right w:val="outset" w:color="414142" w:sz="6" w:space="0"/>
            </w:tcBorders>
          </w:tcPr>
          <w:p w:rsidR="00130A8D" w:rsidDel="004D77E4" w:rsidP="00130A8D" w:rsidRDefault="00130A8D" w14:paraId="5AF6A8F3" w14:textId="77777777">
            <w:pPr>
              <w:spacing w:after="0" w:line="240" w:lineRule="auto"/>
              <w:jc w:val="center"/>
              <w:rPr>
                <w:rFonts w:ascii="Times New Roman" w:hAnsi="Times New Roman" w:eastAsia="Times New Roman"/>
                <w:sz w:val="24"/>
                <w:szCs w:val="24"/>
              </w:rPr>
            </w:pPr>
          </w:p>
        </w:tc>
        <w:tc>
          <w:tcPr>
            <w:tcW w:w="547"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43BC5DE0" w14:textId="77777777">
            <w:pPr>
              <w:spacing w:after="0" w:line="240" w:lineRule="auto"/>
              <w:jc w:val="center"/>
              <w:rPr>
                <w:rFonts w:ascii="Times New Roman" w:hAnsi="Times New Roman" w:eastAsia="Times New Roman"/>
                <w:sz w:val="24"/>
                <w:szCs w:val="24"/>
              </w:rPr>
            </w:pPr>
          </w:p>
        </w:tc>
        <w:tc>
          <w:tcPr>
            <w:tcW w:w="616"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2C6A2DEC" w14:textId="77777777">
            <w:pPr>
              <w:spacing w:after="0" w:line="240" w:lineRule="auto"/>
              <w:jc w:val="center"/>
              <w:rPr>
                <w:rFonts w:ascii="Times New Roman" w:hAnsi="Times New Roman" w:eastAsia="Times New Roman"/>
                <w:sz w:val="24"/>
                <w:szCs w:val="24"/>
              </w:rPr>
            </w:pPr>
          </w:p>
        </w:tc>
      </w:tr>
      <w:tr w:rsidRPr="00DE33E1" w:rsidR="00130A8D" w:rsidTr="00285C1D" w14:paraId="630D4DAA"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76B2683D"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2.1. valsts pamatbudžets</w:t>
            </w:r>
          </w:p>
        </w:tc>
        <w:tc>
          <w:tcPr>
            <w:tcW w:w="555"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3555E7A5" w14:textId="77777777">
            <w:pPr>
              <w:spacing w:after="0" w:line="240" w:lineRule="auto"/>
              <w:jc w:val="center"/>
              <w:rPr>
                <w:rFonts w:ascii="Times New Roman" w:hAnsi="Times New Roman" w:eastAsia="Times New Roman"/>
                <w:sz w:val="24"/>
                <w:szCs w:val="24"/>
              </w:rPr>
            </w:pPr>
          </w:p>
        </w:tc>
        <w:tc>
          <w:tcPr>
            <w:tcW w:w="547"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3BA47125" w14:textId="77777777">
            <w:pPr>
              <w:spacing w:after="0" w:line="240" w:lineRule="auto"/>
              <w:jc w:val="center"/>
              <w:rPr>
                <w:rFonts w:ascii="Times New Roman" w:hAnsi="Times New Roman" w:eastAsia="Times New Roman"/>
                <w:sz w:val="24"/>
                <w:szCs w:val="24"/>
              </w:rPr>
            </w:pPr>
          </w:p>
        </w:tc>
        <w:tc>
          <w:tcPr>
            <w:tcW w:w="597" w:type="pct"/>
            <w:tcBorders>
              <w:top w:val="outset" w:color="414142" w:sz="6" w:space="0"/>
              <w:left w:val="outset" w:color="414142" w:sz="6" w:space="0"/>
              <w:bottom w:val="outset" w:color="414142" w:sz="6" w:space="0"/>
              <w:right w:val="outset" w:color="414142" w:sz="6" w:space="0"/>
            </w:tcBorders>
          </w:tcPr>
          <w:p w:rsidR="00130A8D" w:rsidDel="004D77E4" w:rsidP="00130A8D" w:rsidRDefault="00130A8D" w14:paraId="2E9567DE" w14:textId="77777777">
            <w:pPr>
              <w:spacing w:after="0" w:line="240" w:lineRule="auto"/>
              <w:jc w:val="center"/>
              <w:rPr>
                <w:rFonts w:ascii="Times New Roman" w:hAnsi="Times New Roman" w:eastAsia="Times New Roman"/>
                <w:sz w:val="24"/>
                <w:szCs w:val="24"/>
              </w:rPr>
            </w:pPr>
          </w:p>
        </w:tc>
        <w:tc>
          <w:tcPr>
            <w:tcW w:w="547"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34BE77CE" w14:textId="77777777">
            <w:pPr>
              <w:spacing w:after="0" w:line="240" w:lineRule="auto"/>
              <w:jc w:val="center"/>
              <w:rPr>
                <w:rFonts w:ascii="Times New Roman" w:hAnsi="Times New Roman" w:eastAsia="Times New Roman"/>
                <w:sz w:val="24"/>
                <w:szCs w:val="24"/>
              </w:rPr>
            </w:pPr>
          </w:p>
        </w:tc>
        <w:tc>
          <w:tcPr>
            <w:tcW w:w="606" w:type="pct"/>
            <w:tcBorders>
              <w:top w:val="outset" w:color="414142" w:sz="6" w:space="0"/>
              <w:left w:val="outset" w:color="414142" w:sz="6" w:space="0"/>
              <w:bottom w:val="outset" w:color="414142" w:sz="6" w:space="0"/>
              <w:right w:val="outset" w:color="414142" w:sz="6" w:space="0"/>
            </w:tcBorders>
          </w:tcPr>
          <w:p w:rsidR="00130A8D" w:rsidDel="004D77E4" w:rsidP="00130A8D" w:rsidRDefault="00130A8D" w14:paraId="0A06F09B" w14:textId="77777777">
            <w:pPr>
              <w:spacing w:after="0" w:line="240" w:lineRule="auto"/>
              <w:jc w:val="center"/>
              <w:rPr>
                <w:rFonts w:ascii="Times New Roman" w:hAnsi="Times New Roman" w:eastAsia="Times New Roman"/>
                <w:sz w:val="24"/>
                <w:szCs w:val="24"/>
              </w:rPr>
            </w:pPr>
          </w:p>
        </w:tc>
        <w:tc>
          <w:tcPr>
            <w:tcW w:w="547"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47492AD2" w14:textId="77777777">
            <w:pPr>
              <w:spacing w:after="0" w:line="240" w:lineRule="auto"/>
              <w:jc w:val="center"/>
              <w:rPr>
                <w:rFonts w:ascii="Times New Roman" w:hAnsi="Times New Roman" w:eastAsia="Times New Roman"/>
                <w:sz w:val="24"/>
                <w:szCs w:val="24"/>
              </w:rPr>
            </w:pPr>
          </w:p>
        </w:tc>
        <w:tc>
          <w:tcPr>
            <w:tcW w:w="616"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5CFCA330" w14:textId="77777777">
            <w:pPr>
              <w:spacing w:after="0" w:line="240" w:lineRule="auto"/>
              <w:jc w:val="center"/>
              <w:rPr>
                <w:rFonts w:ascii="Times New Roman" w:hAnsi="Times New Roman" w:eastAsia="Times New Roman"/>
                <w:sz w:val="24"/>
                <w:szCs w:val="24"/>
              </w:rPr>
            </w:pPr>
          </w:p>
        </w:tc>
      </w:tr>
      <w:tr w:rsidRPr="00DE33E1" w:rsidR="00130A8D" w:rsidTr="00285C1D" w14:paraId="12C0419C"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10695BCF"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2.2. valsts speciālais budžets</w:t>
            </w:r>
          </w:p>
        </w:tc>
        <w:tc>
          <w:tcPr>
            <w:tcW w:w="55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34F3E100"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0B0B9DD0"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97"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57B1DBC0"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5D482E83"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6"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352D48A8"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2549328B"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6"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0424CC5A"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130A8D" w:rsidTr="00285C1D" w14:paraId="488B3DC3"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74A1B7E3"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2.3. pašvaldību budžets</w:t>
            </w:r>
          </w:p>
        </w:tc>
        <w:tc>
          <w:tcPr>
            <w:tcW w:w="55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7B1884D5"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76ACEBDE"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97"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62E193AA"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02EACFE1"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6"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0535AC87"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77287CF3"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6"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674E792A"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8C51FA" w:rsidTr="00285C1D" w14:paraId="210C1D2E"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8C51FA" w:rsidP="008C51FA" w:rsidRDefault="008C51FA" w14:paraId="20CD4532"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3. Finansiālā ietekme:</w:t>
            </w:r>
          </w:p>
        </w:tc>
        <w:tc>
          <w:tcPr>
            <w:tcW w:w="555"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7DE46374" w14:textId="17BE8C02">
            <w:pPr>
              <w:spacing w:after="0" w:line="240" w:lineRule="auto"/>
              <w:jc w:val="center"/>
              <w:rPr>
                <w:rFonts w:ascii="Times New Roman" w:hAnsi="Times New Roman" w:eastAsia="Times New Roman"/>
                <w:sz w:val="24"/>
                <w:szCs w:val="24"/>
              </w:rPr>
            </w:pPr>
            <w:r w:rsidRPr="00285C1D">
              <w:rPr>
                <w:rFonts w:ascii="Times New Roman" w:hAnsi="Times New Roman" w:eastAsia="Times New Roman"/>
                <w:sz w:val="24"/>
                <w:szCs w:val="24"/>
              </w:rPr>
              <w:t>2 254 467</w:t>
            </w:r>
          </w:p>
        </w:tc>
        <w:tc>
          <w:tcPr>
            <w:tcW w:w="547"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3DC8669B" w14:textId="687D061D">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-327 227</w:t>
            </w:r>
          </w:p>
        </w:tc>
        <w:tc>
          <w:tcPr>
            <w:tcW w:w="597" w:type="pct"/>
            <w:tcBorders>
              <w:top w:val="outset" w:color="414142" w:sz="6" w:space="0"/>
              <w:left w:val="outset" w:color="414142" w:sz="6" w:space="0"/>
              <w:bottom w:val="outset" w:color="414142" w:sz="6" w:space="0"/>
              <w:right w:val="outset" w:color="414142" w:sz="6" w:space="0"/>
            </w:tcBorders>
          </w:tcPr>
          <w:p w:rsidR="008C51FA" w:rsidDel="004D77E4" w:rsidP="008C51FA" w:rsidRDefault="008C51FA" w14:paraId="4C151FC0" w14:textId="040DD7C9">
            <w:pPr>
              <w:spacing w:after="0" w:line="240" w:lineRule="auto"/>
              <w:jc w:val="center"/>
              <w:rPr>
                <w:rFonts w:ascii="Times New Roman" w:hAnsi="Times New Roman" w:eastAsia="Times New Roman"/>
                <w:sz w:val="24"/>
                <w:szCs w:val="24"/>
              </w:rPr>
            </w:pPr>
            <w:r w:rsidRPr="00285C1D">
              <w:rPr>
                <w:rFonts w:ascii="Times New Roman" w:hAnsi="Times New Roman" w:eastAsia="Times New Roman"/>
                <w:sz w:val="24"/>
                <w:szCs w:val="24"/>
              </w:rPr>
              <w:t>2 254 467</w:t>
            </w:r>
          </w:p>
        </w:tc>
        <w:tc>
          <w:tcPr>
            <w:tcW w:w="547"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616FE19D" w14:textId="632B36AC">
            <w:pPr>
              <w:spacing w:after="0" w:line="240" w:lineRule="auto"/>
              <w:jc w:val="center"/>
              <w:rPr>
                <w:rFonts w:ascii="Times New Roman" w:hAnsi="Times New Roman" w:eastAsia="Times New Roman"/>
                <w:sz w:val="24"/>
                <w:szCs w:val="24"/>
              </w:rPr>
            </w:pPr>
            <w:r w:rsidRPr="00E029EA">
              <w:rPr>
                <w:rFonts w:ascii="Times New Roman" w:hAnsi="Times New Roman" w:eastAsia="Times New Roman"/>
                <w:b/>
                <w:bCs/>
                <w:sz w:val="24"/>
                <w:szCs w:val="24"/>
              </w:rPr>
              <w:t>-</w:t>
            </w:r>
            <w:r>
              <w:rPr>
                <w:rFonts w:ascii="Times New Roman" w:hAnsi="Times New Roman" w:cs="Times New Roman"/>
                <w:sz w:val="24"/>
                <w:szCs w:val="24"/>
              </w:rPr>
              <w:t>677 929</w:t>
            </w:r>
          </w:p>
        </w:tc>
        <w:tc>
          <w:tcPr>
            <w:tcW w:w="606" w:type="pct"/>
            <w:tcBorders>
              <w:top w:val="outset" w:color="414142" w:sz="6" w:space="0"/>
              <w:left w:val="outset" w:color="414142" w:sz="6" w:space="0"/>
              <w:bottom w:val="outset" w:color="414142" w:sz="6" w:space="0"/>
              <w:right w:val="outset" w:color="414142" w:sz="6" w:space="0"/>
            </w:tcBorders>
          </w:tcPr>
          <w:p w:rsidR="008C51FA" w:rsidDel="004D77E4" w:rsidP="008C51FA" w:rsidRDefault="008C51FA" w14:paraId="1C2F2E36" w14:textId="221BF032">
            <w:pPr>
              <w:spacing w:after="0" w:line="240" w:lineRule="auto"/>
              <w:jc w:val="center"/>
              <w:rPr>
                <w:rFonts w:ascii="Times New Roman" w:hAnsi="Times New Roman" w:eastAsia="Times New Roman"/>
                <w:sz w:val="24"/>
                <w:szCs w:val="24"/>
              </w:rPr>
            </w:pPr>
            <w:r w:rsidRPr="00285C1D">
              <w:rPr>
                <w:rFonts w:ascii="Times New Roman" w:hAnsi="Times New Roman" w:eastAsia="Times New Roman"/>
                <w:sz w:val="24"/>
                <w:szCs w:val="24"/>
              </w:rPr>
              <w:t>2 254 467</w:t>
            </w:r>
          </w:p>
        </w:tc>
        <w:tc>
          <w:tcPr>
            <w:tcW w:w="547"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590C8FDA" w14:textId="038879DC">
            <w:pPr>
              <w:spacing w:after="0" w:line="240" w:lineRule="auto"/>
              <w:jc w:val="center"/>
              <w:rPr>
                <w:rFonts w:ascii="Times New Roman" w:hAnsi="Times New Roman" w:eastAsia="Times New Roman"/>
                <w:sz w:val="24"/>
                <w:szCs w:val="24"/>
              </w:rPr>
            </w:pPr>
            <w:r w:rsidRPr="00E029EA">
              <w:rPr>
                <w:rFonts w:ascii="Times New Roman" w:hAnsi="Times New Roman" w:eastAsia="Times New Roman"/>
                <w:b/>
                <w:bCs/>
                <w:sz w:val="24"/>
                <w:szCs w:val="24"/>
              </w:rPr>
              <w:t>-</w:t>
            </w:r>
            <w:r>
              <w:rPr>
                <w:rFonts w:ascii="Times New Roman" w:hAnsi="Times New Roman" w:cs="Times New Roman"/>
                <w:sz w:val="24"/>
                <w:szCs w:val="24"/>
              </w:rPr>
              <w:t>677 929</w:t>
            </w:r>
          </w:p>
        </w:tc>
        <w:tc>
          <w:tcPr>
            <w:tcW w:w="616"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51F78DEA" w14:textId="1D42ACD3">
            <w:pPr>
              <w:spacing w:after="0" w:line="240" w:lineRule="auto"/>
              <w:jc w:val="center"/>
              <w:rPr>
                <w:rFonts w:ascii="Times New Roman" w:hAnsi="Times New Roman" w:eastAsia="Times New Roman"/>
                <w:sz w:val="24"/>
                <w:szCs w:val="24"/>
              </w:rPr>
            </w:pPr>
            <w:r w:rsidRPr="00E029EA">
              <w:rPr>
                <w:rFonts w:ascii="Times New Roman" w:hAnsi="Times New Roman" w:eastAsia="Times New Roman"/>
                <w:b/>
                <w:bCs/>
                <w:sz w:val="24"/>
                <w:szCs w:val="24"/>
              </w:rPr>
              <w:t>-</w:t>
            </w:r>
            <w:r>
              <w:rPr>
                <w:rFonts w:ascii="Times New Roman" w:hAnsi="Times New Roman" w:cs="Times New Roman"/>
                <w:sz w:val="24"/>
                <w:szCs w:val="24"/>
              </w:rPr>
              <w:t>677 929</w:t>
            </w:r>
          </w:p>
        </w:tc>
      </w:tr>
      <w:tr w:rsidRPr="00DE33E1" w:rsidR="008C51FA" w:rsidTr="00285C1D" w14:paraId="5049E786"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8C51FA" w:rsidP="008C51FA" w:rsidRDefault="008C51FA" w14:paraId="68C83903"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3.1. valsts pamatbudžets</w:t>
            </w:r>
          </w:p>
        </w:tc>
        <w:tc>
          <w:tcPr>
            <w:tcW w:w="555"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644016FB" w14:textId="24DA6E28">
            <w:pPr>
              <w:spacing w:after="0" w:line="240" w:lineRule="auto"/>
              <w:jc w:val="center"/>
              <w:rPr>
                <w:rFonts w:ascii="Times New Roman" w:hAnsi="Times New Roman" w:eastAsia="Times New Roman"/>
                <w:sz w:val="24"/>
                <w:szCs w:val="24"/>
              </w:rPr>
            </w:pPr>
            <w:r w:rsidRPr="00285C1D">
              <w:rPr>
                <w:rFonts w:ascii="Times New Roman" w:hAnsi="Times New Roman" w:eastAsia="Times New Roman"/>
                <w:sz w:val="24"/>
                <w:szCs w:val="24"/>
              </w:rPr>
              <w:t>2 254 467</w:t>
            </w:r>
          </w:p>
        </w:tc>
        <w:tc>
          <w:tcPr>
            <w:tcW w:w="547"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09BE94CC" w14:textId="1F60853E">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-327 227</w:t>
            </w:r>
          </w:p>
        </w:tc>
        <w:tc>
          <w:tcPr>
            <w:tcW w:w="597" w:type="pct"/>
            <w:tcBorders>
              <w:top w:val="outset" w:color="414142" w:sz="6" w:space="0"/>
              <w:left w:val="outset" w:color="414142" w:sz="6" w:space="0"/>
              <w:bottom w:val="outset" w:color="414142" w:sz="6" w:space="0"/>
              <w:right w:val="outset" w:color="414142" w:sz="6" w:space="0"/>
            </w:tcBorders>
          </w:tcPr>
          <w:p w:rsidR="008C51FA" w:rsidDel="004D77E4" w:rsidP="008C51FA" w:rsidRDefault="008C51FA" w14:paraId="6F5F0204" w14:textId="6AC0ACA6">
            <w:pPr>
              <w:spacing w:after="0" w:line="240" w:lineRule="auto"/>
              <w:jc w:val="center"/>
              <w:rPr>
                <w:rFonts w:ascii="Times New Roman" w:hAnsi="Times New Roman" w:eastAsia="Times New Roman"/>
                <w:sz w:val="24"/>
                <w:szCs w:val="24"/>
              </w:rPr>
            </w:pPr>
            <w:r w:rsidRPr="00285C1D">
              <w:rPr>
                <w:rFonts w:ascii="Times New Roman" w:hAnsi="Times New Roman" w:eastAsia="Times New Roman"/>
                <w:sz w:val="24"/>
                <w:szCs w:val="24"/>
              </w:rPr>
              <w:t>2 254 467</w:t>
            </w:r>
          </w:p>
        </w:tc>
        <w:tc>
          <w:tcPr>
            <w:tcW w:w="547"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2ADD3E3A" w14:textId="6C86387A">
            <w:pPr>
              <w:spacing w:after="0" w:line="240" w:lineRule="auto"/>
              <w:jc w:val="center"/>
              <w:rPr>
                <w:rFonts w:ascii="Times New Roman" w:hAnsi="Times New Roman" w:eastAsia="Times New Roman"/>
                <w:sz w:val="24"/>
                <w:szCs w:val="24"/>
              </w:rPr>
            </w:pPr>
            <w:r w:rsidRPr="00E029EA">
              <w:rPr>
                <w:rFonts w:ascii="Times New Roman" w:hAnsi="Times New Roman" w:eastAsia="Times New Roman"/>
                <w:b/>
                <w:bCs/>
                <w:sz w:val="24"/>
                <w:szCs w:val="24"/>
              </w:rPr>
              <w:t>-</w:t>
            </w:r>
            <w:r>
              <w:rPr>
                <w:rFonts w:ascii="Times New Roman" w:hAnsi="Times New Roman" w:cs="Times New Roman"/>
                <w:sz w:val="24"/>
                <w:szCs w:val="24"/>
              </w:rPr>
              <w:t>677 929</w:t>
            </w:r>
          </w:p>
        </w:tc>
        <w:tc>
          <w:tcPr>
            <w:tcW w:w="606" w:type="pct"/>
            <w:tcBorders>
              <w:top w:val="outset" w:color="414142" w:sz="6" w:space="0"/>
              <w:left w:val="outset" w:color="414142" w:sz="6" w:space="0"/>
              <w:bottom w:val="outset" w:color="414142" w:sz="6" w:space="0"/>
              <w:right w:val="outset" w:color="414142" w:sz="6" w:space="0"/>
            </w:tcBorders>
          </w:tcPr>
          <w:p w:rsidR="008C51FA" w:rsidDel="004D77E4" w:rsidP="008C51FA" w:rsidRDefault="008C51FA" w14:paraId="04A90AC5" w14:textId="7CAC5E60">
            <w:pPr>
              <w:spacing w:after="0" w:line="240" w:lineRule="auto"/>
              <w:jc w:val="center"/>
              <w:rPr>
                <w:rFonts w:ascii="Times New Roman" w:hAnsi="Times New Roman" w:eastAsia="Times New Roman"/>
                <w:sz w:val="24"/>
                <w:szCs w:val="24"/>
              </w:rPr>
            </w:pPr>
            <w:r w:rsidRPr="00285C1D">
              <w:rPr>
                <w:rFonts w:ascii="Times New Roman" w:hAnsi="Times New Roman" w:eastAsia="Times New Roman"/>
                <w:sz w:val="24"/>
                <w:szCs w:val="24"/>
              </w:rPr>
              <w:t>2 254 467</w:t>
            </w:r>
          </w:p>
        </w:tc>
        <w:tc>
          <w:tcPr>
            <w:tcW w:w="547"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640ED6EB" w14:textId="268DE363">
            <w:pPr>
              <w:spacing w:after="0" w:line="240" w:lineRule="auto"/>
              <w:jc w:val="center"/>
              <w:rPr>
                <w:rFonts w:ascii="Times New Roman" w:hAnsi="Times New Roman" w:eastAsia="Times New Roman"/>
                <w:sz w:val="24"/>
                <w:szCs w:val="24"/>
              </w:rPr>
            </w:pPr>
            <w:r w:rsidRPr="00E029EA">
              <w:rPr>
                <w:rFonts w:ascii="Times New Roman" w:hAnsi="Times New Roman" w:eastAsia="Times New Roman"/>
                <w:b/>
                <w:bCs/>
                <w:sz w:val="24"/>
                <w:szCs w:val="24"/>
              </w:rPr>
              <w:t>-</w:t>
            </w:r>
            <w:r>
              <w:rPr>
                <w:rFonts w:ascii="Times New Roman" w:hAnsi="Times New Roman" w:cs="Times New Roman"/>
                <w:sz w:val="24"/>
                <w:szCs w:val="24"/>
              </w:rPr>
              <w:t>677 929</w:t>
            </w:r>
          </w:p>
        </w:tc>
        <w:tc>
          <w:tcPr>
            <w:tcW w:w="616" w:type="pct"/>
            <w:tcBorders>
              <w:top w:val="outset" w:color="414142" w:sz="6" w:space="0"/>
              <w:left w:val="outset" w:color="414142" w:sz="6" w:space="0"/>
              <w:bottom w:val="outset" w:color="414142" w:sz="6" w:space="0"/>
              <w:right w:val="outset" w:color="414142" w:sz="6" w:space="0"/>
            </w:tcBorders>
          </w:tcPr>
          <w:p w:rsidRPr="00DE33E1" w:rsidR="008C51FA" w:rsidP="008C51FA" w:rsidRDefault="008C51FA" w14:paraId="2857EDC8" w14:textId="640EF058">
            <w:pPr>
              <w:spacing w:after="0" w:line="240" w:lineRule="auto"/>
              <w:jc w:val="center"/>
              <w:rPr>
                <w:rFonts w:ascii="Times New Roman" w:hAnsi="Times New Roman" w:eastAsia="Times New Roman"/>
                <w:sz w:val="24"/>
                <w:szCs w:val="24"/>
              </w:rPr>
            </w:pPr>
            <w:r w:rsidRPr="00E029EA">
              <w:rPr>
                <w:rFonts w:ascii="Times New Roman" w:hAnsi="Times New Roman" w:eastAsia="Times New Roman"/>
                <w:b/>
                <w:bCs/>
                <w:sz w:val="24"/>
                <w:szCs w:val="24"/>
              </w:rPr>
              <w:t>-</w:t>
            </w:r>
            <w:r>
              <w:rPr>
                <w:rFonts w:ascii="Times New Roman" w:hAnsi="Times New Roman" w:cs="Times New Roman"/>
                <w:sz w:val="24"/>
                <w:szCs w:val="24"/>
              </w:rPr>
              <w:t>677 929</w:t>
            </w:r>
          </w:p>
        </w:tc>
      </w:tr>
      <w:tr w:rsidRPr="00DE33E1" w:rsidR="00130A8D" w:rsidTr="00285C1D" w14:paraId="5E3D647D"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3E43DFAA"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3.2. speciālais budžets</w:t>
            </w:r>
          </w:p>
        </w:tc>
        <w:tc>
          <w:tcPr>
            <w:tcW w:w="55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4CE84A62"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067A7256"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97"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228113D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4CE26389"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6"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24116F77"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4BEDE2E6"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6"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0026740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130A8D" w:rsidTr="00285C1D" w14:paraId="3E35A35C"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74450199"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lastRenderedPageBreak/>
              <w:t>3.3. pašvaldību budžets</w:t>
            </w:r>
          </w:p>
        </w:tc>
        <w:tc>
          <w:tcPr>
            <w:tcW w:w="55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165B5248"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487045D5"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97"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1633E6A1"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602377B1"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6"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4BB3ACE6"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46FCC71A"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6"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6A6EF839"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130A8D" w:rsidTr="00285C1D" w14:paraId="78482DF3" w14:textId="77777777">
        <w:trPr>
          <w:trHeight w:val="1380"/>
        </w:trPr>
        <w:tc>
          <w:tcPr>
            <w:tcW w:w="98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2AC8D58B"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4. Finanšu līdzekļi papildu izdevumu finansēšanai (kompensējošu izdevumu samazinājumu norāda ar "+" zīmi)</w:t>
            </w:r>
          </w:p>
        </w:tc>
        <w:tc>
          <w:tcPr>
            <w:tcW w:w="55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75B4F628"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X</w:t>
            </w:r>
          </w:p>
        </w:tc>
        <w:tc>
          <w:tcPr>
            <w:tcW w:w="547" w:type="pct"/>
            <w:tcBorders>
              <w:top w:val="outset" w:color="414142" w:sz="6" w:space="0"/>
              <w:left w:val="outset" w:color="414142" w:sz="6" w:space="0"/>
              <w:right w:val="outset" w:color="414142" w:sz="6" w:space="0"/>
            </w:tcBorders>
            <w:hideMark/>
          </w:tcPr>
          <w:p w:rsidRPr="00DE33E1" w:rsidR="00130A8D" w:rsidP="00130A8D" w:rsidRDefault="00130A8D" w14:paraId="3A54535E"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597" w:type="pct"/>
            <w:tcBorders>
              <w:top w:val="outset" w:color="414142" w:sz="6" w:space="0"/>
              <w:left w:val="outset" w:color="414142" w:sz="6" w:space="0"/>
              <w:right w:val="outset" w:color="414142" w:sz="6" w:space="0"/>
            </w:tcBorders>
          </w:tcPr>
          <w:p w:rsidRPr="00DE33E1" w:rsidR="00130A8D" w:rsidP="00130A8D" w:rsidRDefault="00130A8D" w14:paraId="500F1A49" w14:textId="0D0A0A4E">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X</w:t>
            </w:r>
          </w:p>
        </w:tc>
        <w:tc>
          <w:tcPr>
            <w:tcW w:w="547" w:type="pct"/>
            <w:tcBorders>
              <w:top w:val="outset" w:color="414142" w:sz="6" w:space="0"/>
              <w:left w:val="outset" w:color="414142" w:sz="6" w:space="0"/>
              <w:right w:val="outset" w:color="414142" w:sz="6" w:space="0"/>
            </w:tcBorders>
            <w:hideMark/>
          </w:tcPr>
          <w:p w:rsidRPr="00DE33E1" w:rsidR="00130A8D" w:rsidP="00130A8D" w:rsidRDefault="00130A8D" w14:paraId="6E7033E4"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606" w:type="pct"/>
            <w:tcBorders>
              <w:top w:val="outset" w:color="414142" w:sz="6" w:space="0"/>
              <w:left w:val="outset" w:color="414142" w:sz="6" w:space="0"/>
              <w:right w:val="outset" w:color="414142" w:sz="6" w:space="0"/>
            </w:tcBorders>
          </w:tcPr>
          <w:p w:rsidRPr="00DE33E1" w:rsidR="00130A8D" w:rsidDel="00F249C0" w:rsidP="00130A8D" w:rsidRDefault="00130A8D" w14:paraId="618395B5" w14:textId="553A06EF">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X</w:t>
            </w:r>
          </w:p>
        </w:tc>
        <w:tc>
          <w:tcPr>
            <w:tcW w:w="547" w:type="pct"/>
            <w:tcBorders>
              <w:top w:val="outset" w:color="414142" w:sz="6" w:space="0"/>
              <w:left w:val="outset" w:color="414142" w:sz="6" w:space="0"/>
              <w:right w:val="outset" w:color="414142" w:sz="6" w:space="0"/>
            </w:tcBorders>
            <w:hideMark/>
          </w:tcPr>
          <w:p w:rsidRPr="00DE33E1" w:rsidR="00130A8D" w:rsidP="00130A8D" w:rsidRDefault="00130A8D" w14:paraId="10131F8B" w14:textId="77777777">
            <w:pPr>
              <w:spacing w:after="0" w:line="240" w:lineRule="auto"/>
              <w:jc w:val="center"/>
              <w:rPr>
                <w:rFonts w:ascii="Times New Roman" w:hAnsi="Times New Roman" w:eastAsia="Times New Roman"/>
                <w:sz w:val="24"/>
                <w:szCs w:val="24"/>
              </w:rPr>
            </w:pPr>
          </w:p>
        </w:tc>
        <w:tc>
          <w:tcPr>
            <w:tcW w:w="616" w:type="pct"/>
            <w:tcBorders>
              <w:top w:val="outset" w:color="414142" w:sz="6" w:space="0"/>
              <w:left w:val="outset" w:color="414142" w:sz="6" w:space="0"/>
              <w:right w:val="outset" w:color="414142" w:sz="6" w:space="0"/>
            </w:tcBorders>
            <w:hideMark/>
          </w:tcPr>
          <w:p w:rsidRPr="00DE33E1" w:rsidR="00130A8D" w:rsidP="00130A8D" w:rsidRDefault="00130A8D" w14:paraId="48ADC25B"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p w:rsidRPr="00DE33E1" w:rsidR="00130A8D" w:rsidP="00130A8D" w:rsidRDefault="00130A8D" w14:paraId="4D05F300" w14:textId="77777777">
            <w:pPr>
              <w:spacing w:after="0" w:line="240" w:lineRule="auto"/>
              <w:jc w:val="center"/>
              <w:rPr>
                <w:rFonts w:ascii="Times New Roman" w:hAnsi="Times New Roman" w:eastAsia="Times New Roman"/>
                <w:sz w:val="24"/>
                <w:szCs w:val="24"/>
              </w:rPr>
            </w:pPr>
          </w:p>
        </w:tc>
      </w:tr>
      <w:tr w:rsidRPr="00DE33E1" w:rsidR="00130A8D" w:rsidTr="00285C1D" w14:paraId="7E90A158"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0417B326"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5. Precizēta finansiālā ietekme:</w:t>
            </w:r>
          </w:p>
        </w:tc>
        <w:tc>
          <w:tcPr>
            <w:tcW w:w="555" w:type="pct"/>
            <w:vMerge w:val="restar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1C4073A0"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X</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6FA08B27"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597" w:type="pct"/>
            <w:vMerge w:val="restart"/>
            <w:tcBorders>
              <w:top w:val="outset" w:color="414142" w:sz="6" w:space="0"/>
              <w:left w:val="outset" w:color="414142" w:sz="6" w:space="0"/>
              <w:right w:val="outset" w:color="414142" w:sz="6" w:space="0"/>
            </w:tcBorders>
          </w:tcPr>
          <w:p w:rsidR="00130A8D" w:rsidP="00130A8D" w:rsidRDefault="00130A8D" w14:paraId="7D0742B0"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X</w:t>
            </w: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1A964CF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6" w:type="pct"/>
            <w:vMerge w:val="restart"/>
            <w:tcBorders>
              <w:top w:val="outset" w:color="414142" w:sz="6" w:space="0"/>
              <w:left w:val="outset" w:color="414142" w:sz="6" w:space="0"/>
              <w:right w:val="outset" w:color="414142" w:sz="6" w:space="0"/>
            </w:tcBorders>
          </w:tcPr>
          <w:p w:rsidR="00130A8D" w:rsidDel="00F249C0" w:rsidP="00130A8D" w:rsidRDefault="00130A8D" w14:paraId="1312FF97"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X</w:t>
            </w:r>
          </w:p>
        </w:tc>
        <w:tc>
          <w:tcPr>
            <w:tcW w:w="547"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5AE3FA41"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6"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77046481"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130A8D" w:rsidTr="00285C1D" w14:paraId="164421AD"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0D8AB02C"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5.1. valsts pamatbudžets</w:t>
            </w:r>
          </w:p>
        </w:tc>
        <w:tc>
          <w:tcPr>
            <w:tcW w:w="555" w:type="pct"/>
            <w:vMerge/>
            <w:tcBorders>
              <w:top w:val="outset" w:color="414142" w:sz="6" w:space="0"/>
              <w:left w:val="outset" w:color="414142" w:sz="6" w:space="0"/>
              <w:bottom w:val="outset" w:color="414142" w:sz="6" w:space="0"/>
              <w:right w:val="outset" w:color="414142" w:sz="6" w:space="0"/>
            </w:tcBorders>
            <w:vAlign w:val="center"/>
            <w:hideMark/>
          </w:tcPr>
          <w:p w:rsidRPr="00DE33E1" w:rsidR="00130A8D" w:rsidP="00130A8D" w:rsidRDefault="00130A8D" w14:paraId="1C953D90" w14:textId="77777777">
            <w:pPr>
              <w:spacing w:after="0" w:line="240" w:lineRule="auto"/>
              <w:rPr>
                <w:rFonts w:ascii="Times New Roman" w:hAnsi="Times New Roman" w:eastAsia="Times New Roman"/>
                <w:sz w:val="24"/>
                <w:szCs w:val="24"/>
              </w:rPr>
            </w:pP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24676BEB"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597" w:type="pct"/>
            <w:vMerge/>
            <w:tcBorders>
              <w:left w:val="outset" w:color="414142" w:sz="6" w:space="0"/>
              <w:right w:val="outset" w:color="414142" w:sz="6" w:space="0"/>
            </w:tcBorders>
          </w:tcPr>
          <w:p w:rsidR="00130A8D" w:rsidP="00130A8D" w:rsidRDefault="00130A8D" w14:paraId="2EA3EF76" w14:textId="77777777">
            <w:pPr>
              <w:spacing w:after="0" w:line="240" w:lineRule="auto"/>
              <w:jc w:val="center"/>
              <w:rPr>
                <w:rFonts w:ascii="Times New Roman" w:hAnsi="Times New Roman" w:eastAsia="Times New Roman"/>
                <w:sz w:val="24"/>
                <w:szCs w:val="24"/>
              </w:rPr>
            </w:pP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62265A95"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6" w:type="pct"/>
            <w:vMerge/>
            <w:tcBorders>
              <w:left w:val="outset" w:color="414142" w:sz="6" w:space="0"/>
              <w:right w:val="outset" w:color="414142" w:sz="6" w:space="0"/>
            </w:tcBorders>
          </w:tcPr>
          <w:p w:rsidR="00130A8D" w:rsidDel="00F249C0" w:rsidP="00130A8D" w:rsidRDefault="00130A8D" w14:paraId="746DE25D" w14:textId="77777777">
            <w:pPr>
              <w:spacing w:after="0" w:line="240" w:lineRule="auto"/>
              <w:jc w:val="center"/>
              <w:rPr>
                <w:rFonts w:ascii="Times New Roman" w:hAnsi="Times New Roman" w:eastAsia="Times New Roman"/>
                <w:sz w:val="24"/>
                <w:szCs w:val="24"/>
              </w:rPr>
            </w:pPr>
          </w:p>
        </w:tc>
        <w:tc>
          <w:tcPr>
            <w:tcW w:w="547"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3691FAA1"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6" w:type="pct"/>
            <w:tcBorders>
              <w:top w:val="outset" w:color="414142" w:sz="6" w:space="0"/>
              <w:left w:val="outset" w:color="414142" w:sz="6" w:space="0"/>
              <w:bottom w:val="outset" w:color="414142" w:sz="6" w:space="0"/>
              <w:right w:val="outset" w:color="414142" w:sz="6" w:space="0"/>
            </w:tcBorders>
          </w:tcPr>
          <w:p w:rsidRPr="00DE33E1" w:rsidR="00130A8D" w:rsidP="00130A8D" w:rsidRDefault="00130A8D" w14:paraId="1948BB3F"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130A8D" w:rsidTr="00285C1D" w14:paraId="4CE3E017"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4ECCAFC1"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5.2. speciālais budžets</w:t>
            </w:r>
          </w:p>
        </w:tc>
        <w:tc>
          <w:tcPr>
            <w:tcW w:w="555" w:type="pct"/>
            <w:vMerge/>
            <w:tcBorders>
              <w:top w:val="outset" w:color="414142" w:sz="6" w:space="0"/>
              <w:left w:val="outset" w:color="414142" w:sz="6" w:space="0"/>
              <w:bottom w:val="outset" w:color="414142" w:sz="6" w:space="0"/>
              <w:right w:val="outset" w:color="414142" w:sz="6" w:space="0"/>
            </w:tcBorders>
            <w:vAlign w:val="center"/>
            <w:hideMark/>
          </w:tcPr>
          <w:p w:rsidRPr="00DE33E1" w:rsidR="00130A8D" w:rsidP="00130A8D" w:rsidRDefault="00130A8D" w14:paraId="1D7F6B03" w14:textId="77777777">
            <w:pPr>
              <w:spacing w:after="0" w:line="240" w:lineRule="auto"/>
              <w:rPr>
                <w:rFonts w:ascii="Times New Roman" w:hAnsi="Times New Roman" w:eastAsia="Times New Roman"/>
                <w:sz w:val="24"/>
                <w:szCs w:val="24"/>
              </w:rPr>
            </w:pP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3C391B25"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597" w:type="pct"/>
            <w:vMerge/>
            <w:tcBorders>
              <w:left w:val="outset" w:color="414142" w:sz="6" w:space="0"/>
              <w:right w:val="outset" w:color="414142" w:sz="6" w:space="0"/>
            </w:tcBorders>
          </w:tcPr>
          <w:p w:rsidRPr="00DE33E1" w:rsidR="00130A8D" w:rsidP="00130A8D" w:rsidRDefault="00130A8D" w14:paraId="75D33819" w14:textId="77777777">
            <w:pPr>
              <w:spacing w:after="0" w:line="240" w:lineRule="auto"/>
              <w:jc w:val="center"/>
              <w:rPr>
                <w:rFonts w:ascii="Times New Roman" w:hAnsi="Times New Roman" w:eastAsia="Times New Roman"/>
                <w:sz w:val="24"/>
                <w:szCs w:val="24"/>
              </w:rPr>
            </w:pP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431C193C"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606" w:type="pct"/>
            <w:vMerge/>
            <w:tcBorders>
              <w:left w:val="outset" w:color="414142" w:sz="6" w:space="0"/>
              <w:right w:val="outset" w:color="414142" w:sz="6" w:space="0"/>
            </w:tcBorders>
          </w:tcPr>
          <w:p w:rsidRPr="00DE33E1" w:rsidR="00130A8D" w:rsidP="00130A8D" w:rsidRDefault="00130A8D" w14:paraId="2800D9E8" w14:textId="77777777">
            <w:pPr>
              <w:spacing w:after="0" w:line="240" w:lineRule="auto"/>
              <w:jc w:val="center"/>
              <w:rPr>
                <w:rFonts w:ascii="Times New Roman" w:hAnsi="Times New Roman" w:eastAsia="Times New Roman"/>
                <w:sz w:val="24"/>
                <w:szCs w:val="24"/>
              </w:rPr>
            </w:pP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43B45B38"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616"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791C472F"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r>
      <w:tr w:rsidRPr="00DE33E1" w:rsidR="00130A8D" w:rsidTr="00285C1D" w14:paraId="44188B38"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5D18C2AC"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5.3. pašvaldību budžets</w:t>
            </w:r>
          </w:p>
        </w:tc>
        <w:tc>
          <w:tcPr>
            <w:tcW w:w="555" w:type="pct"/>
            <w:vMerge/>
            <w:tcBorders>
              <w:top w:val="outset" w:color="414142" w:sz="6" w:space="0"/>
              <w:left w:val="outset" w:color="414142" w:sz="6" w:space="0"/>
              <w:bottom w:val="outset" w:color="414142" w:sz="6" w:space="0"/>
              <w:right w:val="outset" w:color="414142" w:sz="6" w:space="0"/>
            </w:tcBorders>
            <w:vAlign w:val="center"/>
            <w:hideMark/>
          </w:tcPr>
          <w:p w:rsidRPr="00DE33E1" w:rsidR="00130A8D" w:rsidP="00130A8D" w:rsidRDefault="00130A8D" w14:paraId="19F1250A" w14:textId="77777777">
            <w:pPr>
              <w:spacing w:after="0" w:line="240" w:lineRule="auto"/>
              <w:rPr>
                <w:rFonts w:ascii="Times New Roman" w:hAnsi="Times New Roman" w:eastAsia="Times New Roman"/>
                <w:sz w:val="24"/>
                <w:szCs w:val="24"/>
              </w:rPr>
            </w:pP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5326C154"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597" w:type="pct"/>
            <w:vMerge/>
            <w:tcBorders>
              <w:left w:val="outset" w:color="414142" w:sz="6" w:space="0"/>
              <w:bottom w:val="outset" w:color="414142" w:sz="6" w:space="0"/>
              <w:right w:val="outset" w:color="414142" w:sz="6" w:space="0"/>
            </w:tcBorders>
          </w:tcPr>
          <w:p w:rsidRPr="00DE33E1" w:rsidR="00130A8D" w:rsidP="00130A8D" w:rsidRDefault="00130A8D" w14:paraId="10D3A569" w14:textId="77777777">
            <w:pPr>
              <w:spacing w:after="0" w:line="240" w:lineRule="auto"/>
              <w:jc w:val="center"/>
              <w:rPr>
                <w:rFonts w:ascii="Times New Roman" w:hAnsi="Times New Roman" w:eastAsia="Times New Roman"/>
                <w:sz w:val="24"/>
                <w:szCs w:val="24"/>
              </w:rPr>
            </w:pP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227D6438"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606" w:type="pct"/>
            <w:vMerge/>
            <w:tcBorders>
              <w:left w:val="outset" w:color="414142" w:sz="6" w:space="0"/>
              <w:bottom w:val="outset" w:color="414142" w:sz="6" w:space="0"/>
              <w:right w:val="outset" w:color="414142" w:sz="6" w:space="0"/>
            </w:tcBorders>
          </w:tcPr>
          <w:p w:rsidRPr="00DE33E1" w:rsidR="00130A8D" w:rsidP="00130A8D" w:rsidRDefault="00130A8D" w14:paraId="3F7A7F3A" w14:textId="77777777">
            <w:pPr>
              <w:spacing w:after="0" w:line="240" w:lineRule="auto"/>
              <w:jc w:val="center"/>
              <w:rPr>
                <w:rFonts w:ascii="Times New Roman" w:hAnsi="Times New Roman" w:eastAsia="Times New Roman"/>
                <w:sz w:val="24"/>
                <w:szCs w:val="24"/>
              </w:rPr>
            </w:pPr>
          </w:p>
        </w:tc>
        <w:tc>
          <w:tcPr>
            <w:tcW w:w="547"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596FA777"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616"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2B786071"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r>
      <w:tr w:rsidRPr="00DE33E1" w:rsidR="00130A8D" w:rsidTr="00790ABB" w14:paraId="387A97D5"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7CA1B7B6"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6. Detalizēts ieņēmumu un izdevumu aprēķins (ja nepieciešams, detalizētu ieņēmumu un izdevumu aprēķinu var pievienot anotācijas pielikumā):</w:t>
            </w:r>
          </w:p>
        </w:tc>
        <w:tc>
          <w:tcPr>
            <w:tcW w:w="4015" w:type="pct"/>
            <w:gridSpan w:val="7"/>
            <w:vMerge w:val="restart"/>
            <w:tcBorders>
              <w:top w:val="outset" w:color="414142" w:sz="6" w:space="0"/>
              <w:left w:val="outset" w:color="414142" w:sz="6" w:space="0"/>
              <w:right w:val="outset" w:color="414142" w:sz="6" w:space="0"/>
            </w:tcBorders>
          </w:tcPr>
          <w:p w:rsidRPr="00474CB1" w:rsidR="00130A8D" w:rsidP="00474CB1" w:rsidRDefault="00130A8D" w14:paraId="74A3CF7C" w14:textId="48649E2F">
            <w:pPr>
              <w:spacing w:after="0" w:line="240" w:lineRule="auto"/>
              <w:ind w:firstLine="545"/>
              <w:jc w:val="both"/>
              <w:rPr>
                <w:rFonts w:ascii="Times New Roman" w:hAnsi="Times New Roman" w:eastAsia="Times New Roman" w:cs="Times New Roman"/>
                <w:sz w:val="24"/>
                <w:szCs w:val="24"/>
              </w:rPr>
            </w:pPr>
            <w:r>
              <w:rPr>
                <w:rFonts w:ascii="Times New Roman" w:hAnsi="Times New Roman" w:cs="Times New Roman"/>
                <w:sz w:val="24"/>
                <w:szCs w:val="24"/>
              </w:rPr>
              <w:t xml:space="preserve"> Saskaņā ar likumu </w:t>
            </w:r>
            <w:r w:rsidR="00CF124F">
              <w:rPr>
                <w:rFonts w:ascii="Times New Roman" w:hAnsi="Times New Roman" w:cs="Times New Roman"/>
                <w:sz w:val="24"/>
                <w:szCs w:val="24"/>
              </w:rPr>
              <w:t>"</w:t>
            </w:r>
            <w:r>
              <w:rPr>
                <w:rFonts w:ascii="Times New Roman" w:hAnsi="Times New Roman" w:cs="Times New Roman"/>
                <w:sz w:val="24"/>
                <w:szCs w:val="24"/>
              </w:rPr>
              <w:t>Par valsts budžetu 2021. gadam</w:t>
            </w:r>
            <w:r w:rsidR="00CF124F">
              <w:rPr>
                <w:rFonts w:ascii="Times New Roman" w:hAnsi="Times New Roman" w:cs="Times New Roman"/>
                <w:sz w:val="24"/>
                <w:szCs w:val="24"/>
              </w:rPr>
              <w:t>"</w:t>
            </w:r>
            <w:r>
              <w:rPr>
                <w:rFonts w:ascii="Times New Roman" w:hAnsi="Times New Roman" w:cs="Times New Roman"/>
                <w:sz w:val="24"/>
                <w:szCs w:val="24"/>
              </w:rPr>
              <w:t xml:space="preserve"> un likumu </w:t>
            </w:r>
            <w:r w:rsidR="00CF124F">
              <w:rPr>
                <w:rFonts w:ascii="Times New Roman" w:hAnsi="Times New Roman" w:cs="Times New Roman"/>
                <w:sz w:val="24"/>
                <w:szCs w:val="24"/>
              </w:rPr>
              <w:t>"</w:t>
            </w:r>
            <w:r>
              <w:rPr>
                <w:rFonts w:ascii="Times New Roman" w:hAnsi="Times New Roman" w:cs="Times New Roman"/>
                <w:sz w:val="24"/>
                <w:szCs w:val="24"/>
              </w:rPr>
              <w:t>Par vidēja termiņa budžeta ietvaru 2021., 2022. un 2023. gadam</w:t>
            </w:r>
            <w:r w:rsidR="00CF124F">
              <w:rPr>
                <w:rFonts w:ascii="Times New Roman" w:hAnsi="Times New Roman" w:cs="Times New Roman"/>
                <w:sz w:val="24"/>
                <w:szCs w:val="24"/>
              </w:rPr>
              <w:t>"</w:t>
            </w:r>
            <w:r>
              <w:rPr>
                <w:rFonts w:ascii="Times New Roman" w:hAnsi="Times New Roman" w:cs="Times New Roman"/>
                <w:sz w:val="24"/>
                <w:szCs w:val="24"/>
              </w:rPr>
              <w:t xml:space="preserve"> ieņēmumi no valsts nodev</w:t>
            </w:r>
            <w:r w:rsidR="00247DE6">
              <w:rPr>
                <w:rFonts w:ascii="Times New Roman" w:hAnsi="Times New Roman" w:cs="Times New Roman"/>
                <w:sz w:val="24"/>
                <w:szCs w:val="24"/>
              </w:rPr>
              <w:t>ām</w:t>
            </w:r>
            <w:r>
              <w:rPr>
                <w:rFonts w:ascii="Times New Roman" w:hAnsi="Times New Roman" w:cs="Times New Roman"/>
                <w:sz w:val="24"/>
                <w:szCs w:val="24"/>
              </w:rPr>
              <w:t xml:space="preserve"> </w:t>
            </w:r>
            <w:r w:rsidRPr="005565A7">
              <w:rPr>
                <w:rFonts w:ascii="Times New Roman" w:hAnsi="Times New Roman" w:cs="Times New Roman"/>
                <w:sz w:val="24"/>
                <w:szCs w:val="24"/>
              </w:rPr>
              <w:t xml:space="preserve">par </w:t>
            </w:r>
            <w:r w:rsidRPr="00474CB1">
              <w:rPr>
                <w:rFonts w:ascii="Times New Roman" w:hAnsi="Times New Roman" w:cs="Times New Roman"/>
                <w:sz w:val="24"/>
                <w:szCs w:val="24"/>
                <w:lang w:eastAsia="lv-LV"/>
              </w:rPr>
              <w:t xml:space="preserve">darbību veikšanu </w:t>
            </w:r>
            <w:r w:rsidR="00C01E8A">
              <w:rPr>
                <w:rFonts w:ascii="Times New Roman" w:hAnsi="Times New Roman" w:cs="Times New Roman"/>
                <w:sz w:val="24"/>
                <w:szCs w:val="24"/>
                <w:lang w:eastAsia="lv-LV"/>
              </w:rPr>
              <w:t>R</w:t>
            </w:r>
            <w:r w:rsidRPr="00474CB1">
              <w:rPr>
                <w:rFonts w:ascii="Times New Roman" w:hAnsi="Times New Roman" w:cs="Times New Roman"/>
                <w:sz w:val="24"/>
                <w:szCs w:val="24"/>
                <w:lang w:eastAsia="lv-LV"/>
              </w:rPr>
              <w:t>eģistrā</w:t>
            </w:r>
            <w:r w:rsidRPr="005565A7">
              <w:rPr>
                <w:rFonts w:ascii="Times New Roman" w:hAnsi="Times New Roman" w:cs="Times New Roman"/>
                <w:sz w:val="24"/>
                <w:szCs w:val="24"/>
              </w:rPr>
              <w:t xml:space="preserve"> plānoti </w:t>
            </w:r>
            <w:r>
              <w:rPr>
                <w:rFonts w:ascii="Times New Roman" w:hAnsi="Times New Roman" w:eastAsia="Times New Roman" w:cs="Times New Roman"/>
                <w:b/>
                <w:iCs/>
                <w:sz w:val="24"/>
                <w:szCs w:val="24"/>
                <w:lang w:eastAsia="lv-LV"/>
              </w:rPr>
              <w:t xml:space="preserve">2021. gadā un turpmāk 2 254 467 </w:t>
            </w:r>
            <w:r>
              <w:rPr>
                <w:rFonts w:ascii="Times New Roman" w:hAnsi="Times New Roman" w:eastAsia="Times New Roman" w:cs="Times New Roman"/>
                <w:b/>
                <w:i/>
                <w:iCs/>
                <w:sz w:val="24"/>
                <w:szCs w:val="24"/>
                <w:lang w:eastAsia="lv-LV"/>
              </w:rPr>
              <w:t>euro</w:t>
            </w:r>
            <w:r>
              <w:rPr>
                <w:rFonts w:ascii="Times New Roman" w:hAnsi="Times New Roman" w:eastAsia="Times New Roman" w:cs="Times New Roman"/>
                <w:b/>
                <w:iCs/>
                <w:sz w:val="24"/>
                <w:szCs w:val="24"/>
                <w:lang w:eastAsia="lv-LV"/>
              </w:rPr>
              <w:t xml:space="preserve"> apmērā</w:t>
            </w:r>
            <w:r w:rsidR="00247DE6">
              <w:rPr>
                <w:rFonts w:ascii="Times New Roman" w:hAnsi="Times New Roman" w:eastAsia="Times New Roman" w:cs="Times New Roman"/>
                <w:b/>
                <w:iCs/>
                <w:sz w:val="24"/>
                <w:szCs w:val="24"/>
                <w:lang w:eastAsia="lv-LV"/>
              </w:rPr>
              <w:t xml:space="preserve">, </w:t>
            </w:r>
            <w:r w:rsidRPr="00474CB1" w:rsidR="00247DE6">
              <w:rPr>
                <w:rFonts w:ascii="Times New Roman" w:hAnsi="Times New Roman" w:eastAsia="Times New Roman" w:cs="Times New Roman"/>
                <w:bCs/>
                <w:iCs/>
                <w:sz w:val="24"/>
                <w:szCs w:val="24"/>
                <w:lang w:eastAsia="lv-LV"/>
              </w:rPr>
              <w:t>t.sk.</w:t>
            </w:r>
            <w:r w:rsidRPr="00FC67BE" w:rsidR="00247DE6">
              <w:rPr>
                <w:rFonts w:ascii="Times New Roman" w:hAnsi="Times New Roman" w:eastAsia="Times New Roman" w:cs="Times New Roman"/>
                <w:sz w:val="24"/>
                <w:szCs w:val="24"/>
              </w:rPr>
              <w:t xml:space="preserve"> </w:t>
            </w:r>
            <w:r w:rsidRPr="00FC67BE" w:rsidR="00247DE6">
              <w:rPr>
                <w:rFonts w:ascii="Times New Roman" w:hAnsi="Times New Roman" w:cs="Times New Roman"/>
                <w:sz w:val="24"/>
                <w:szCs w:val="24"/>
              </w:rPr>
              <w:t xml:space="preserve">ieņēmumi no valsts nodevām par ierakstu izdarīšanu komercreģistrā 2 211 779 </w:t>
            </w:r>
            <w:r w:rsidRPr="00FC67BE" w:rsidR="00247DE6">
              <w:rPr>
                <w:rFonts w:ascii="Times New Roman" w:hAnsi="Times New Roman" w:cs="Times New Roman"/>
                <w:i/>
                <w:sz w:val="24"/>
                <w:szCs w:val="24"/>
              </w:rPr>
              <w:t>euro</w:t>
            </w:r>
            <w:r w:rsidRPr="00FC67BE" w:rsidR="00247DE6">
              <w:rPr>
                <w:rFonts w:ascii="Times New Roman" w:hAnsi="Times New Roman" w:cs="Times New Roman"/>
                <w:sz w:val="24"/>
                <w:szCs w:val="24"/>
              </w:rPr>
              <w:t xml:space="preserve"> un </w:t>
            </w:r>
            <w:r w:rsidRPr="00FC67BE" w:rsidR="00247DE6">
              <w:rPr>
                <w:rFonts w:ascii="Times New Roman" w:hAnsi="Times New Roman" w:eastAsia="Times New Roman" w:cs="Times New Roman"/>
                <w:sz w:val="24"/>
                <w:szCs w:val="24"/>
              </w:rPr>
              <w:t xml:space="preserve">uzņēmumu reģistra žurnālā </w:t>
            </w:r>
            <w:r w:rsidR="00247DE6">
              <w:rPr>
                <w:rFonts w:ascii="Times New Roman" w:hAnsi="Times New Roman" w:eastAsia="Times New Roman" w:cs="Times New Roman"/>
                <w:sz w:val="24"/>
                <w:szCs w:val="24"/>
              </w:rPr>
              <w:t>42 688</w:t>
            </w:r>
            <w:r w:rsidRPr="00FC67BE" w:rsidR="00247DE6">
              <w:rPr>
                <w:rFonts w:ascii="Times New Roman" w:hAnsi="Times New Roman" w:eastAsia="Times New Roman" w:cs="Times New Roman"/>
                <w:sz w:val="24"/>
                <w:szCs w:val="24"/>
              </w:rPr>
              <w:t xml:space="preserve"> </w:t>
            </w:r>
            <w:r w:rsidRPr="00FC67BE" w:rsidR="00247DE6">
              <w:rPr>
                <w:rFonts w:ascii="Times New Roman" w:hAnsi="Times New Roman" w:eastAsia="Times New Roman" w:cs="Times New Roman"/>
                <w:i/>
                <w:sz w:val="24"/>
                <w:szCs w:val="24"/>
              </w:rPr>
              <w:t>euro</w:t>
            </w:r>
            <w:r w:rsidR="00247DE6">
              <w:rPr>
                <w:rFonts w:ascii="Times New Roman" w:hAnsi="Times New Roman" w:eastAsia="Times New Roman" w:cs="Times New Roman"/>
                <w:sz w:val="24"/>
                <w:szCs w:val="24"/>
              </w:rPr>
              <w:t>.</w:t>
            </w:r>
          </w:p>
          <w:p w:rsidR="00130A8D" w:rsidP="00474CB1" w:rsidRDefault="00130A8D" w14:paraId="009055D0" w14:textId="61B8E208">
            <w:pPr>
              <w:spacing w:after="0" w:line="240" w:lineRule="auto"/>
              <w:ind w:firstLine="545"/>
              <w:jc w:val="both"/>
              <w:rPr>
                <w:rFonts w:ascii="Times New Roman" w:hAnsi="Times New Roman" w:cs="Times New Roman"/>
                <w:i/>
                <w:iCs/>
                <w:sz w:val="24"/>
                <w:szCs w:val="24"/>
              </w:rPr>
            </w:pPr>
            <w:r w:rsidRPr="009F056D">
              <w:rPr>
                <w:rFonts w:ascii="Times New Roman" w:hAnsi="Times New Roman" w:eastAsia="Times New Roman"/>
                <w:sz w:val="24"/>
                <w:szCs w:val="24"/>
              </w:rPr>
              <w:t xml:space="preserve">Saistībā ar to, ka </w:t>
            </w:r>
            <w:r>
              <w:rPr>
                <w:rFonts w:ascii="Times New Roman" w:hAnsi="Times New Roman" w:eastAsia="Times New Roman"/>
                <w:sz w:val="24"/>
                <w:szCs w:val="24"/>
              </w:rPr>
              <w:t xml:space="preserve">Projektā </w:t>
            </w:r>
            <w:r w:rsidRPr="009F056D">
              <w:rPr>
                <w:rFonts w:ascii="Times New Roman" w:hAnsi="Times New Roman" w:eastAsia="Times New Roman"/>
                <w:sz w:val="24"/>
                <w:szCs w:val="24"/>
              </w:rPr>
              <w:t>atsevišķ</w:t>
            </w:r>
            <w:r>
              <w:rPr>
                <w:rFonts w:ascii="Times New Roman" w:hAnsi="Times New Roman" w:eastAsia="Times New Roman"/>
                <w:sz w:val="24"/>
                <w:szCs w:val="24"/>
              </w:rPr>
              <w:t>ām nodevām valsts nodevas apmērs samazinās</w:t>
            </w:r>
            <w:r w:rsidRPr="009F056D">
              <w:rPr>
                <w:rFonts w:ascii="Times New Roman" w:hAnsi="Times New Roman" w:cs="Times New Roman"/>
                <w:sz w:val="24"/>
                <w:szCs w:val="24"/>
              </w:rPr>
              <w:t xml:space="preserve"> </w:t>
            </w:r>
            <w:r w:rsidRPr="009F056D">
              <w:rPr>
                <w:rFonts w:ascii="Times New Roman" w:hAnsi="Times New Roman" w:eastAsia="Times New Roman"/>
                <w:sz w:val="24"/>
                <w:szCs w:val="24"/>
              </w:rPr>
              <w:t>un vienlaicīgi atsevišķ</w:t>
            </w:r>
            <w:r>
              <w:rPr>
                <w:rFonts w:ascii="Times New Roman" w:hAnsi="Times New Roman" w:eastAsia="Times New Roman"/>
                <w:sz w:val="24"/>
                <w:szCs w:val="24"/>
              </w:rPr>
              <w:t>ām valsts nodevu</w:t>
            </w:r>
            <w:r w:rsidRPr="009F056D">
              <w:rPr>
                <w:rFonts w:ascii="Times New Roman" w:hAnsi="Times New Roman" w:eastAsia="Times New Roman"/>
                <w:sz w:val="24"/>
                <w:szCs w:val="24"/>
              </w:rPr>
              <w:t xml:space="preserve"> </w:t>
            </w:r>
            <w:r>
              <w:rPr>
                <w:rFonts w:ascii="Times New Roman" w:hAnsi="Times New Roman" w:eastAsia="Times New Roman"/>
                <w:sz w:val="24"/>
                <w:szCs w:val="24"/>
              </w:rPr>
              <w:t>apmērs</w:t>
            </w:r>
            <w:r w:rsidRPr="009F056D">
              <w:rPr>
                <w:rFonts w:ascii="Times New Roman" w:hAnsi="Times New Roman" w:eastAsia="Times New Roman"/>
                <w:sz w:val="24"/>
                <w:szCs w:val="24"/>
              </w:rPr>
              <w:t xml:space="preserve"> ir palielināts</w:t>
            </w:r>
            <w:r>
              <w:rPr>
                <w:rFonts w:ascii="Times New Roman" w:hAnsi="Times New Roman" w:eastAsia="Times New Roman"/>
                <w:sz w:val="24"/>
                <w:szCs w:val="24"/>
              </w:rPr>
              <w:t>, kā arī atsevišķas nodevas tiek apvienotas</w:t>
            </w:r>
            <w:r w:rsidR="00646E1E">
              <w:rPr>
                <w:rFonts w:ascii="Times New Roman" w:hAnsi="Times New Roman" w:eastAsia="Times New Roman"/>
                <w:sz w:val="24"/>
                <w:szCs w:val="24"/>
              </w:rPr>
              <w:t>,</w:t>
            </w:r>
            <w:r>
              <w:rPr>
                <w:rFonts w:ascii="Times New Roman" w:hAnsi="Times New Roman" w:eastAsia="Times New Roman"/>
                <w:sz w:val="24"/>
                <w:szCs w:val="24"/>
              </w:rPr>
              <w:t xml:space="preserve"> </w:t>
            </w:r>
            <w:r>
              <w:rPr>
                <w:rFonts w:ascii="Times New Roman" w:hAnsi="Times New Roman" w:cs="Times New Roman"/>
                <w:sz w:val="24"/>
                <w:szCs w:val="24"/>
              </w:rPr>
              <w:t xml:space="preserve">plānots ieņēmumu samazinājums </w:t>
            </w:r>
            <w:r w:rsidRPr="00474CB1" w:rsidR="002165DA">
              <w:rPr>
                <w:rFonts w:ascii="Times New Roman" w:hAnsi="Times New Roman" w:cs="Times New Roman"/>
                <w:b/>
                <w:bCs/>
                <w:sz w:val="24"/>
                <w:szCs w:val="24"/>
              </w:rPr>
              <w:t xml:space="preserve">2021. gadā </w:t>
            </w:r>
            <w:r w:rsidRPr="00474CB1">
              <w:rPr>
                <w:rFonts w:ascii="Times New Roman" w:hAnsi="Times New Roman" w:cs="Times New Roman"/>
                <w:b/>
                <w:bCs/>
                <w:sz w:val="24"/>
                <w:szCs w:val="24"/>
              </w:rPr>
              <w:t xml:space="preserve">par </w:t>
            </w:r>
            <w:r w:rsidRPr="00474CB1" w:rsidR="00247DE6">
              <w:rPr>
                <w:rFonts w:ascii="Times New Roman" w:hAnsi="Times New Roman" w:cs="Times New Roman"/>
                <w:b/>
                <w:bCs/>
                <w:sz w:val="24"/>
                <w:szCs w:val="24"/>
              </w:rPr>
              <w:t>327 227</w:t>
            </w:r>
            <w:r w:rsidRPr="00474CB1">
              <w:rPr>
                <w:rFonts w:ascii="Times New Roman" w:hAnsi="Times New Roman" w:cs="Times New Roman"/>
                <w:b/>
                <w:bCs/>
                <w:sz w:val="24"/>
                <w:szCs w:val="24"/>
              </w:rPr>
              <w:t xml:space="preserve"> </w:t>
            </w:r>
            <w:r w:rsidRPr="00474CB1">
              <w:rPr>
                <w:rFonts w:ascii="Times New Roman" w:hAnsi="Times New Roman" w:cs="Times New Roman"/>
                <w:b/>
                <w:bCs/>
                <w:i/>
                <w:iCs/>
                <w:sz w:val="24"/>
                <w:szCs w:val="24"/>
              </w:rPr>
              <w:t>euro</w:t>
            </w:r>
            <w:r>
              <w:rPr>
                <w:rFonts w:ascii="Times New Roman" w:hAnsi="Times New Roman" w:cs="Times New Roman"/>
                <w:i/>
                <w:iCs/>
                <w:sz w:val="24"/>
                <w:szCs w:val="24"/>
              </w:rPr>
              <w:t xml:space="preserve"> </w:t>
            </w:r>
            <w:r w:rsidRPr="00474CB1">
              <w:rPr>
                <w:rFonts w:ascii="Times New Roman" w:hAnsi="Times New Roman" w:cs="Times New Roman"/>
                <w:sz w:val="24"/>
                <w:szCs w:val="24"/>
              </w:rPr>
              <w:t>un</w:t>
            </w:r>
            <w:r>
              <w:rPr>
                <w:rFonts w:ascii="Times New Roman" w:hAnsi="Times New Roman" w:cs="Times New Roman"/>
                <w:i/>
                <w:iCs/>
                <w:sz w:val="24"/>
                <w:szCs w:val="24"/>
              </w:rPr>
              <w:t xml:space="preserve"> </w:t>
            </w:r>
            <w:r w:rsidRPr="00474CB1">
              <w:rPr>
                <w:rFonts w:ascii="Times New Roman" w:hAnsi="Times New Roman" w:cs="Times New Roman"/>
                <w:b/>
                <w:bCs/>
                <w:sz w:val="24"/>
                <w:szCs w:val="24"/>
              </w:rPr>
              <w:t>2022.</w:t>
            </w:r>
            <w:r w:rsidR="00C21276">
              <w:rPr>
                <w:rFonts w:ascii="Times New Roman" w:hAnsi="Times New Roman" w:cs="Times New Roman"/>
                <w:b/>
                <w:bCs/>
                <w:sz w:val="24"/>
                <w:szCs w:val="24"/>
              </w:rPr>
              <w:t xml:space="preserve"> </w:t>
            </w:r>
            <w:r w:rsidRPr="00474CB1">
              <w:rPr>
                <w:rFonts w:ascii="Times New Roman" w:hAnsi="Times New Roman" w:cs="Times New Roman"/>
                <w:b/>
                <w:bCs/>
                <w:sz w:val="24"/>
                <w:szCs w:val="24"/>
              </w:rPr>
              <w:t>gadā un turpmāk par</w:t>
            </w:r>
            <w:r>
              <w:rPr>
                <w:rFonts w:ascii="Times New Roman" w:hAnsi="Times New Roman" w:cs="Times New Roman"/>
                <w:sz w:val="24"/>
                <w:szCs w:val="24"/>
              </w:rPr>
              <w:t xml:space="preserve"> </w:t>
            </w:r>
            <w:r w:rsidR="00247DE6">
              <w:rPr>
                <w:rFonts w:ascii="Times New Roman" w:hAnsi="Times New Roman" w:cs="Times New Roman"/>
                <w:b/>
                <w:bCs/>
                <w:sz w:val="24"/>
                <w:szCs w:val="24"/>
              </w:rPr>
              <w:t>677 929</w:t>
            </w:r>
            <w:r w:rsidRPr="00474CB1">
              <w:rPr>
                <w:rFonts w:ascii="Times New Roman" w:hAnsi="Times New Roman" w:cs="Times New Roman"/>
                <w:b/>
                <w:bCs/>
                <w:sz w:val="24"/>
                <w:szCs w:val="24"/>
              </w:rPr>
              <w:t xml:space="preserve"> </w:t>
            </w:r>
            <w:r w:rsidRPr="00474CB1">
              <w:rPr>
                <w:rFonts w:ascii="Times New Roman" w:hAnsi="Times New Roman" w:cs="Times New Roman"/>
                <w:b/>
                <w:bCs/>
                <w:i/>
                <w:iCs/>
                <w:sz w:val="24"/>
                <w:szCs w:val="24"/>
              </w:rPr>
              <w:t>euro.</w:t>
            </w:r>
          </w:p>
          <w:p w:rsidRPr="00474CB1" w:rsidR="00130A8D" w:rsidP="00474CB1" w:rsidRDefault="00130A8D" w14:paraId="6311AF2F" w14:textId="112A4A82">
            <w:pPr>
              <w:spacing w:after="0" w:line="240" w:lineRule="auto"/>
              <w:ind w:firstLine="545"/>
              <w:jc w:val="both"/>
              <w:rPr>
                <w:rFonts w:ascii="Times New Roman" w:hAnsi="Times New Roman" w:eastAsia="Times New Roman"/>
                <w:b/>
                <w:bCs/>
                <w:sz w:val="24"/>
                <w:szCs w:val="24"/>
              </w:rPr>
            </w:pPr>
            <w:r>
              <w:rPr>
                <w:rFonts w:ascii="Times New Roman" w:hAnsi="Times New Roman" w:cs="Times New Roman"/>
                <w:sz w:val="24"/>
                <w:szCs w:val="24"/>
              </w:rPr>
              <w:t xml:space="preserve">Detalizēts ieņēmumu aprēķins ir pievienots </w:t>
            </w:r>
            <w:r>
              <w:rPr>
                <w:rFonts w:ascii="Times New Roman" w:hAnsi="Times New Roman" w:eastAsia="Times New Roman" w:cs="Times New Roman"/>
                <w:bCs/>
                <w:sz w:val="24"/>
                <w:szCs w:val="24"/>
                <w:lang w:eastAsia="lv-LV"/>
              </w:rPr>
              <w:t>anotācijas</w:t>
            </w:r>
            <w:r>
              <w:rPr>
                <w:rFonts w:ascii="Times New Roman" w:hAnsi="Times New Roman" w:eastAsia="Times New Roman" w:cs="Times New Roman"/>
                <w:b/>
                <w:bCs/>
                <w:sz w:val="24"/>
                <w:szCs w:val="24"/>
                <w:lang w:eastAsia="lv-LV"/>
              </w:rPr>
              <w:t xml:space="preserve"> </w:t>
            </w:r>
            <w:r>
              <w:rPr>
                <w:rFonts w:ascii="Times New Roman" w:hAnsi="Times New Roman" w:cs="Times New Roman"/>
                <w:sz w:val="24"/>
                <w:szCs w:val="24"/>
              </w:rPr>
              <w:t>pielikumā "</w:t>
            </w:r>
            <w:r w:rsidRPr="00A65C53">
              <w:rPr>
                <w:rFonts w:ascii="Times New Roman" w:hAnsi="Times New Roman" w:cs="Times New Roman"/>
                <w:sz w:val="24"/>
                <w:szCs w:val="24"/>
              </w:rPr>
              <w:t>Prognozētie ieņēmumi no valsts nodevām par darbību veikšanu Uzņēmumu reģistrā</w:t>
            </w:r>
            <w:r>
              <w:rPr>
                <w:rFonts w:ascii="Times New Roman" w:hAnsi="Times New Roman" w:cs="Times New Roman"/>
                <w:sz w:val="24"/>
                <w:szCs w:val="24"/>
              </w:rPr>
              <w:t>".</w:t>
            </w:r>
          </w:p>
        </w:tc>
      </w:tr>
      <w:tr w:rsidRPr="00DE33E1" w:rsidR="00130A8D" w:rsidTr="00790ABB" w14:paraId="691BD98C"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521FA696"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6.1. detalizēts ieņēmumu aprēķins</w:t>
            </w:r>
          </w:p>
        </w:tc>
        <w:tc>
          <w:tcPr>
            <w:tcW w:w="4015" w:type="pct"/>
            <w:gridSpan w:val="7"/>
            <w:vMerge/>
            <w:tcBorders>
              <w:left w:val="outset" w:color="414142" w:sz="6" w:space="0"/>
              <w:right w:val="outset" w:color="414142" w:sz="6" w:space="0"/>
            </w:tcBorders>
          </w:tcPr>
          <w:p w:rsidRPr="00DE33E1" w:rsidR="00130A8D" w:rsidP="00474CB1" w:rsidRDefault="00130A8D" w14:paraId="2346AB06" w14:textId="77777777">
            <w:pPr>
              <w:spacing w:after="0" w:line="240" w:lineRule="auto"/>
              <w:ind w:firstLine="545"/>
              <w:rPr>
                <w:rFonts w:ascii="Times New Roman" w:hAnsi="Times New Roman" w:eastAsia="Times New Roman"/>
                <w:sz w:val="24"/>
                <w:szCs w:val="24"/>
              </w:rPr>
            </w:pPr>
          </w:p>
        </w:tc>
      </w:tr>
      <w:tr w:rsidRPr="00DE33E1" w:rsidR="00130A8D" w:rsidTr="00790ABB" w14:paraId="46509FE5" w14:textId="77777777">
        <w:tc>
          <w:tcPr>
            <w:tcW w:w="98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6C75BDED"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6.2. detalizēts izdevumu aprēķins</w:t>
            </w:r>
          </w:p>
        </w:tc>
        <w:tc>
          <w:tcPr>
            <w:tcW w:w="4015" w:type="pct"/>
            <w:gridSpan w:val="7"/>
            <w:vMerge/>
            <w:tcBorders>
              <w:left w:val="outset" w:color="414142" w:sz="6" w:space="0"/>
              <w:bottom w:val="outset" w:color="414142" w:sz="6" w:space="0"/>
              <w:right w:val="outset" w:color="414142" w:sz="6" w:space="0"/>
            </w:tcBorders>
          </w:tcPr>
          <w:p w:rsidRPr="00DE33E1" w:rsidR="00130A8D" w:rsidP="00474CB1" w:rsidRDefault="00130A8D" w14:paraId="7C0426C7" w14:textId="77777777">
            <w:pPr>
              <w:spacing w:after="0" w:line="240" w:lineRule="auto"/>
              <w:ind w:firstLine="545"/>
              <w:rPr>
                <w:rFonts w:ascii="Times New Roman" w:hAnsi="Times New Roman" w:eastAsia="Times New Roman"/>
                <w:sz w:val="24"/>
                <w:szCs w:val="24"/>
              </w:rPr>
            </w:pPr>
          </w:p>
        </w:tc>
      </w:tr>
      <w:tr w:rsidRPr="00DE33E1" w:rsidR="00130A8D" w:rsidTr="00790ABB" w14:paraId="43B47E59" w14:textId="77777777">
        <w:trPr>
          <w:trHeight w:val="555"/>
        </w:trPr>
        <w:tc>
          <w:tcPr>
            <w:tcW w:w="985" w:type="pct"/>
            <w:tcBorders>
              <w:top w:val="outset" w:color="414142" w:sz="6" w:space="0"/>
              <w:left w:val="outset" w:color="414142" w:sz="6" w:space="0"/>
              <w:bottom w:val="outset" w:color="414142" w:sz="6" w:space="0"/>
              <w:right w:val="outset" w:color="414142" w:sz="6" w:space="0"/>
            </w:tcBorders>
          </w:tcPr>
          <w:p w:rsidRPr="00B80687" w:rsidR="00130A8D" w:rsidP="00130A8D" w:rsidRDefault="00130A8D" w14:paraId="1E12FAEC" w14:textId="77777777">
            <w:pPr>
              <w:spacing w:after="0" w:line="240" w:lineRule="auto"/>
              <w:rPr>
                <w:rFonts w:ascii="Times New Roman" w:hAnsi="Times New Roman"/>
                <w:spacing w:val="-2"/>
                <w:sz w:val="24"/>
                <w:szCs w:val="24"/>
              </w:rPr>
            </w:pPr>
            <w:r w:rsidRPr="00B80687">
              <w:rPr>
                <w:rFonts w:ascii="Times New Roman" w:hAnsi="Times New Roman"/>
                <w:spacing w:val="-2"/>
                <w:sz w:val="24"/>
                <w:szCs w:val="24"/>
              </w:rPr>
              <w:t>7. Amata vietu skaita izmaiņas</w:t>
            </w:r>
          </w:p>
        </w:tc>
        <w:tc>
          <w:tcPr>
            <w:tcW w:w="4015" w:type="pct"/>
            <w:gridSpan w:val="7"/>
            <w:tcBorders>
              <w:top w:val="outset" w:color="414142" w:sz="6" w:space="0"/>
              <w:left w:val="outset" w:color="414142" w:sz="6" w:space="0"/>
              <w:bottom w:val="outset" w:color="414142" w:sz="6" w:space="0"/>
              <w:right w:val="outset" w:color="414142" w:sz="6" w:space="0"/>
            </w:tcBorders>
          </w:tcPr>
          <w:p w:rsidRPr="00B80687" w:rsidR="00130A8D" w:rsidP="00474CB1" w:rsidRDefault="00130A8D" w14:paraId="5930E455" w14:textId="61F1B497">
            <w:pPr>
              <w:pStyle w:val="ISBodyText0"/>
              <w:spacing w:after="0"/>
              <w:ind w:firstLine="545"/>
              <w:rPr>
                <w:rFonts w:ascii="Times New Roman" w:hAnsi="Times New Roman" w:eastAsia="Calibri" w:cs="Times New Roman"/>
                <w:bCs w:val="0"/>
                <w:spacing w:val="-2"/>
                <w:sz w:val="24"/>
                <w:szCs w:val="24"/>
              </w:rPr>
            </w:pPr>
            <w:r>
              <w:rPr>
                <w:rFonts w:ascii="Times New Roman" w:hAnsi="Times New Roman" w:eastAsia="Calibri" w:cs="Times New Roman"/>
                <w:bCs w:val="0"/>
                <w:spacing w:val="-2"/>
                <w:sz w:val="24"/>
                <w:szCs w:val="24"/>
              </w:rPr>
              <w:t>Nav</w:t>
            </w:r>
          </w:p>
        </w:tc>
      </w:tr>
      <w:tr w:rsidRPr="00A204D6" w:rsidR="00130A8D" w:rsidTr="00790ABB" w14:paraId="392EC177" w14:textId="77777777">
        <w:trPr>
          <w:trHeight w:val="555"/>
        </w:trPr>
        <w:tc>
          <w:tcPr>
            <w:tcW w:w="985" w:type="pct"/>
            <w:tcBorders>
              <w:top w:val="outset" w:color="414142" w:sz="6" w:space="0"/>
              <w:left w:val="outset" w:color="414142" w:sz="6" w:space="0"/>
              <w:bottom w:val="outset" w:color="414142" w:sz="6" w:space="0"/>
              <w:right w:val="outset" w:color="414142" w:sz="6" w:space="0"/>
            </w:tcBorders>
            <w:hideMark/>
          </w:tcPr>
          <w:p w:rsidRPr="00DE33E1" w:rsidR="00130A8D" w:rsidP="00130A8D" w:rsidRDefault="00130A8D" w14:paraId="7E6004A1" w14:textId="77777777">
            <w:pPr>
              <w:spacing w:after="0" w:line="240" w:lineRule="auto"/>
              <w:rPr>
                <w:rFonts w:ascii="Times New Roman" w:hAnsi="Times New Roman" w:eastAsia="Times New Roman"/>
                <w:sz w:val="24"/>
                <w:szCs w:val="24"/>
              </w:rPr>
            </w:pPr>
            <w:r>
              <w:rPr>
                <w:rFonts w:ascii="Times New Roman" w:hAnsi="Times New Roman" w:eastAsia="Times New Roman"/>
                <w:sz w:val="24"/>
                <w:szCs w:val="24"/>
              </w:rPr>
              <w:t>8. </w:t>
            </w:r>
            <w:r w:rsidRPr="00DE33E1">
              <w:rPr>
                <w:rFonts w:ascii="Times New Roman" w:hAnsi="Times New Roman" w:eastAsia="Times New Roman"/>
                <w:sz w:val="24"/>
                <w:szCs w:val="24"/>
              </w:rPr>
              <w:t>Cita informācija</w:t>
            </w:r>
          </w:p>
        </w:tc>
        <w:tc>
          <w:tcPr>
            <w:tcW w:w="4015" w:type="pct"/>
            <w:gridSpan w:val="7"/>
            <w:tcBorders>
              <w:top w:val="outset" w:color="414142" w:sz="6" w:space="0"/>
              <w:left w:val="outset" w:color="414142" w:sz="6" w:space="0"/>
              <w:bottom w:val="outset" w:color="414142" w:sz="6" w:space="0"/>
              <w:right w:val="outset" w:color="414142" w:sz="6" w:space="0"/>
            </w:tcBorders>
          </w:tcPr>
          <w:p w:rsidRPr="00A204D6" w:rsidR="00130A8D" w:rsidP="00474CB1" w:rsidRDefault="00130A8D" w14:paraId="11D52666" w14:textId="41CB1A1B">
            <w:pPr>
              <w:ind w:firstLine="545"/>
              <w:jc w:val="both"/>
              <w:rPr>
                <w:rFonts w:ascii="Times New Roman" w:hAnsi="Times New Roman"/>
                <w:spacing w:val="-2"/>
                <w:sz w:val="24"/>
                <w:szCs w:val="24"/>
              </w:rPr>
            </w:pPr>
            <w:r>
              <w:rPr>
                <w:rFonts w:ascii="Times New Roman" w:hAnsi="Times New Roman" w:eastAsia="Times New Roman" w:cs="Times New Roman"/>
                <w:sz w:val="24"/>
                <w:szCs w:val="24"/>
                <w:lang w:eastAsia="lv-LV"/>
              </w:rPr>
              <w:t>Nav.</w:t>
            </w:r>
          </w:p>
        </w:tc>
      </w:tr>
    </w:tbl>
    <w:p w:rsidR="00790ABB" w:rsidP="00790ABB" w:rsidRDefault="00790ABB" w14:paraId="51C0C4BA" w14:textId="77777777">
      <w:pPr>
        <w:spacing w:after="0" w:line="240" w:lineRule="auto"/>
        <w:rPr>
          <w:rFonts w:ascii="Times New Roman" w:hAnsi="Times New Roman" w:eastAsia="Times New Roman" w:cs="Times New Roman"/>
          <w:sz w:val="24"/>
          <w:szCs w:val="24"/>
          <w:lang w:eastAsia="lv-LV"/>
        </w:rPr>
      </w:pPr>
    </w:p>
    <w:p w:rsidRPr="004607C0" w:rsidR="00626625" w:rsidP="00626625" w:rsidRDefault="00626625" w14:paraId="31F9C122" w14:textId="77777777">
      <w:pPr>
        <w:spacing w:after="0" w:line="240" w:lineRule="auto"/>
        <w:rPr>
          <w:rFonts w:ascii="Times New Roman" w:hAnsi="Times New Roman"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4607C0" w:rsidR="004607C0" w:rsidTr="00916BCB" w14:paraId="3623EA20"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4607C0" w:rsidR="00626625" w:rsidP="00916BCB" w:rsidRDefault="00626625" w14:paraId="5572F4BD" w14:textId="77777777">
            <w:pPr>
              <w:spacing w:after="0" w:line="240" w:lineRule="auto"/>
              <w:ind w:firstLine="300"/>
              <w:jc w:val="center"/>
              <w:rPr>
                <w:rFonts w:ascii="Times New Roman" w:hAnsi="Times New Roman" w:eastAsia="Times New Roman"/>
                <w:b/>
                <w:bCs/>
                <w:sz w:val="24"/>
                <w:szCs w:val="24"/>
                <w:lang w:eastAsia="lv-LV"/>
              </w:rPr>
            </w:pPr>
            <w:r w:rsidRPr="004607C0">
              <w:rPr>
                <w:rFonts w:ascii="Times New Roman" w:hAnsi="Times New Roman" w:eastAsia="Times New Roman"/>
                <w:b/>
                <w:bCs/>
                <w:sz w:val="24"/>
                <w:szCs w:val="24"/>
                <w:lang w:eastAsia="lv-LV"/>
              </w:rPr>
              <w:t>IV. Tiesību akta projekta ietekme uz spēkā esošo tiesību normu sistēmu</w:t>
            </w:r>
          </w:p>
        </w:tc>
      </w:tr>
      <w:tr w:rsidRPr="004607C0" w:rsidR="00B21180" w:rsidTr="00B21180" w14:paraId="1E8A4DC5" w14:textId="77777777">
        <w:tc>
          <w:tcPr>
            <w:tcW w:w="5000" w:type="pct"/>
            <w:tcBorders>
              <w:top w:val="outset" w:color="414142" w:sz="6" w:space="0"/>
              <w:left w:val="outset" w:color="414142" w:sz="6" w:space="0"/>
              <w:bottom w:val="outset" w:color="414142" w:sz="6" w:space="0"/>
              <w:right w:val="outset" w:color="414142" w:sz="6" w:space="0"/>
            </w:tcBorders>
          </w:tcPr>
          <w:p w:rsidRPr="004607C0" w:rsidR="00B21180" w:rsidP="00B21180" w:rsidRDefault="00B21180" w14:paraId="3B17E3C8" w14:textId="1D507103">
            <w:pPr>
              <w:spacing w:after="0" w:line="240" w:lineRule="auto"/>
              <w:ind w:firstLine="284"/>
              <w:jc w:val="center"/>
              <w:rPr>
                <w:rFonts w:ascii="Times New Roman" w:hAnsi="Times New Roman" w:eastAsia="Times New Roman"/>
                <w:sz w:val="24"/>
                <w:szCs w:val="24"/>
                <w:lang w:eastAsia="lv-LV"/>
              </w:rPr>
            </w:pPr>
            <w:r w:rsidRPr="004607C0">
              <w:rPr>
                <w:rFonts w:ascii="Times New Roman" w:hAnsi="Times New Roman" w:eastAsia="Times New Roman"/>
                <w:sz w:val="24"/>
                <w:szCs w:val="24"/>
                <w:lang w:eastAsia="lv-LV"/>
              </w:rPr>
              <w:t>Projekts šo jomu neskar</w:t>
            </w:r>
            <w:r w:rsidRPr="004607C0" w:rsidR="00C13C75">
              <w:rPr>
                <w:rFonts w:ascii="Times New Roman" w:hAnsi="Times New Roman" w:eastAsia="Times New Roman"/>
                <w:sz w:val="24"/>
                <w:szCs w:val="24"/>
                <w:lang w:eastAsia="lv-LV"/>
              </w:rPr>
              <w:t>.</w:t>
            </w:r>
          </w:p>
        </w:tc>
      </w:tr>
    </w:tbl>
    <w:p w:rsidRPr="004607C0" w:rsidR="00E7676B" w:rsidP="00DA596D" w:rsidRDefault="00E7676B" w14:paraId="65308576" w14:textId="117CF4C2">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18"/>
        <w:gridCol w:w="2552"/>
        <w:gridCol w:w="6085"/>
      </w:tblGrid>
      <w:tr w:rsidRPr="004607C0" w:rsidR="004607C0" w:rsidTr="001C5969" w14:paraId="5DED1206"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4607C0"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4607C0">
              <w:rPr>
                <w:rFonts w:ascii="Times New Roman" w:hAnsi="Times New Roman" w:eastAsia="Times New Roman" w:cs="Times New Roman"/>
                <w:b/>
                <w:bCs/>
                <w:sz w:val="24"/>
                <w:szCs w:val="24"/>
                <w:lang w:eastAsia="lv-LV"/>
              </w:rPr>
              <w:lastRenderedPageBreak/>
              <w:t>V.</w:t>
            </w:r>
            <w:r w:rsidRPr="004607C0" w:rsidR="00975494">
              <w:rPr>
                <w:rFonts w:ascii="Times New Roman" w:hAnsi="Times New Roman" w:eastAsia="Times New Roman" w:cs="Times New Roman"/>
                <w:b/>
                <w:bCs/>
                <w:sz w:val="24"/>
                <w:szCs w:val="24"/>
                <w:lang w:eastAsia="lv-LV"/>
              </w:rPr>
              <w:t> </w:t>
            </w:r>
            <w:r w:rsidRPr="004607C0">
              <w:rPr>
                <w:rFonts w:ascii="Times New Roman" w:hAnsi="Times New Roman" w:eastAsia="Times New Roman" w:cs="Times New Roman"/>
                <w:b/>
                <w:bCs/>
                <w:sz w:val="24"/>
                <w:szCs w:val="24"/>
                <w:lang w:eastAsia="lv-LV"/>
              </w:rPr>
              <w:t>Tiesību akta projekta atbilstība Latvijas Republikas starptautiskajām saistībām</w:t>
            </w:r>
          </w:p>
        </w:tc>
      </w:tr>
      <w:tr w:rsidRPr="004607C0" w:rsidR="00032887" w:rsidTr="00032887" w14:paraId="3D3E697F" w14:textId="77777777">
        <w:trPr>
          <w:trHeight w:val="430"/>
        </w:trPr>
        <w:tc>
          <w:tcPr>
            <w:tcW w:w="231" w:type="pct"/>
            <w:tcBorders>
              <w:top w:val="outset" w:color="414142" w:sz="6" w:space="0"/>
              <w:left w:val="outset" w:color="414142" w:sz="6" w:space="0"/>
              <w:bottom w:val="outset" w:color="414142" w:sz="6" w:space="0"/>
              <w:right w:val="outset" w:color="414142" w:sz="6" w:space="0"/>
            </w:tcBorders>
          </w:tcPr>
          <w:p w:rsidR="00032887" w:rsidP="00CB4419" w:rsidRDefault="00032887" w14:paraId="586991A7" w14:textId="5C9F7E0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1409" w:type="pct"/>
            <w:tcBorders>
              <w:top w:val="outset" w:color="414142" w:sz="6" w:space="0"/>
              <w:left w:val="outset" w:color="414142" w:sz="6" w:space="0"/>
              <w:bottom w:val="outset" w:color="414142" w:sz="6" w:space="0"/>
              <w:right w:val="outset" w:color="414142" w:sz="6" w:space="0"/>
            </w:tcBorders>
          </w:tcPr>
          <w:p w:rsidRPr="00032887" w:rsidR="00032887" w:rsidP="00032887" w:rsidRDefault="00032887" w14:paraId="464B78E4" w14:textId="75474DB9">
            <w:pPr>
              <w:spacing w:after="0" w:line="240" w:lineRule="auto"/>
              <w:jc w:val="both"/>
              <w:rPr>
                <w:rFonts w:ascii="Times New Roman" w:hAnsi="Times New Roman" w:eastAsia="Times New Roman" w:cs="Times New Roman"/>
                <w:sz w:val="24"/>
                <w:szCs w:val="24"/>
                <w:lang w:eastAsia="lv-LV"/>
              </w:rPr>
            </w:pPr>
            <w:r w:rsidRPr="00032887">
              <w:rPr>
                <w:rFonts w:ascii="Times New Roman" w:hAnsi="Times New Roman" w:eastAsia="Times New Roman" w:cs="Times New Roman"/>
                <w:sz w:val="24"/>
                <w:szCs w:val="24"/>
                <w:lang w:eastAsia="lv-LV"/>
              </w:rPr>
              <w:t>Saistības pret Eiropas Savienību</w:t>
            </w:r>
          </w:p>
        </w:tc>
        <w:tc>
          <w:tcPr>
            <w:tcW w:w="3361" w:type="pct"/>
            <w:tcBorders>
              <w:top w:val="outset" w:color="414142" w:sz="6" w:space="0"/>
              <w:left w:val="outset" w:color="414142" w:sz="6" w:space="0"/>
              <w:bottom w:val="outset" w:color="414142" w:sz="6" w:space="0"/>
              <w:right w:val="outset" w:color="414142" w:sz="6" w:space="0"/>
            </w:tcBorders>
          </w:tcPr>
          <w:p w:rsidRPr="00032887" w:rsidR="00032887" w:rsidP="00032887" w:rsidRDefault="00032887" w14:paraId="03DA7775" w14:textId="77777777">
            <w:pPr>
              <w:spacing w:after="0" w:line="240" w:lineRule="auto"/>
              <w:jc w:val="both"/>
              <w:rPr>
                <w:rFonts w:ascii="Times New Roman" w:hAnsi="Times New Roman" w:eastAsia="Times New Roman" w:cs="Times New Roman"/>
                <w:sz w:val="24"/>
                <w:szCs w:val="24"/>
                <w:lang w:eastAsia="lv-LV"/>
              </w:rPr>
            </w:pPr>
            <w:r w:rsidRPr="00032887">
              <w:rPr>
                <w:rFonts w:ascii="Times New Roman" w:hAnsi="Times New Roman" w:eastAsia="Times New Roman" w:cs="Times New Roman"/>
                <w:sz w:val="24"/>
                <w:szCs w:val="24"/>
                <w:lang w:eastAsia="lv-LV"/>
              </w:rPr>
              <w:t xml:space="preserve">Eiropas Parlamenta un Padomes 2019. gada 20. jūnija Direktīva (ES) 2019/1151, ar ko groza Direktīvu (ES) 2017/1132 attiecībā uz digitālo rīku un procesu izmantošanu sabiedrību tiesībās (turpmāk – Direktīva 2019/1151), jāievieš līdz 2021. gada 1. augustam. </w:t>
            </w:r>
          </w:p>
          <w:p w:rsidRPr="00032887" w:rsidR="00032887" w:rsidP="00032887" w:rsidRDefault="00032887" w14:paraId="46F4ED3F" w14:textId="37774CE6">
            <w:pPr>
              <w:spacing w:after="0" w:line="240" w:lineRule="auto"/>
              <w:jc w:val="both"/>
              <w:rPr>
                <w:rFonts w:ascii="Times New Roman" w:hAnsi="Times New Roman" w:eastAsia="Times New Roman" w:cs="Times New Roman"/>
                <w:sz w:val="24"/>
                <w:szCs w:val="24"/>
                <w:lang w:eastAsia="lv-LV"/>
              </w:rPr>
            </w:pPr>
          </w:p>
        </w:tc>
      </w:tr>
      <w:tr w:rsidRPr="004607C0" w:rsidR="00032887" w:rsidTr="00032887" w14:paraId="21312CC6" w14:textId="77777777">
        <w:trPr>
          <w:trHeight w:val="430"/>
        </w:trPr>
        <w:tc>
          <w:tcPr>
            <w:tcW w:w="231" w:type="pct"/>
            <w:tcBorders>
              <w:top w:val="outset" w:color="414142" w:sz="6" w:space="0"/>
              <w:left w:val="outset" w:color="414142" w:sz="6" w:space="0"/>
              <w:bottom w:val="outset" w:color="414142" w:sz="6" w:space="0"/>
              <w:right w:val="outset" w:color="414142" w:sz="6" w:space="0"/>
            </w:tcBorders>
          </w:tcPr>
          <w:p w:rsidR="00032887" w:rsidP="00CB4419" w:rsidRDefault="00032887" w14:paraId="1524C8C4" w14:textId="615C7F5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1409" w:type="pct"/>
            <w:tcBorders>
              <w:top w:val="outset" w:color="414142" w:sz="6" w:space="0"/>
              <w:left w:val="outset" w:color="414142" w:sz="6" w:space="0"/>
              <w:bottom w:val="outset" w:color="414142" w:sz="6" w:space="0"/>
              <w:right w:val="outset" w:color="414142" w:sz="6" w:space="0"/>
            </w:tcBorders>
          </w:tcPr>
          <w:p w:rsidRPr="00032887" w:rsidR="00032887" w:rsidP="00032887" w:rsidRDefault="00032887" w14:paraId="3F36B86E" w14:textId="4E53A2C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Citas starptautiskās saistības</w:t>
            </w:r>
          </w:p>
        </w:tc>
        <w:tc>
          <w:tcPr>
            <w:tcW w:w="3361" w:type="pct"/>
            <w:tcBorders>
              <w:top w:val="outset" w:color="414142" w:sz="6" w:space="0"/>
              <w:left w:val="outset" w:color="414142" w:sz="6" w:space="0"/>
              <w:bottom w:val="outset" w:color="414142" w:sz="6" w:space="0"/>
              <w:right w:val="outset" w:color="414142" w:sz="6" w:space="0"/>
            </w:tcBorders>
          </w:tcPr>
          <w:p w:rsidRPr="00032887" w:rsidR="00032887" w:rsidP="00032887" w:rsidRDefault="00032887" w14:paraId="314E3AC4" w14:textId="0937573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p>
        </w:tc>
      </w:tr>
      <w:tr w:rsidRPr="004607C0" w:rsidR="00032887" w:rsidTr="00032887" w14:paraId="26D3FCF3" w14:textId="77777777">
        <w:trPr>
          <w:trHeight w:val="430"/>
        </w:trPr>
        <w:tc>
          <w:tcPr>
            <w:tcW w:w="231" w:type="pct"/>
            <w:tcBorders>
              <w:top w:val="outset" w:color="414142" w:sz="6" w:space="0"/>
              <w:left w:val="outset" w:color="414142" w:sz="6" w:space="0"/>
              <w:bottom w:val="outset" w:color="414142" w:sz="6" w:space="0"/>
              <w:right w:val="outset" w:color="414142" w:sz="6" w:space="0"/>
            </w:tcBorders>
          </w:tcPr>
          <w:p w:rsidR="00032887" w:rsidP="00CB4419" w:rsidRDefault="00032887" w14:paraId="07D2FE8E" w14:textId="5AD5E1F0">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3. </w:t>
            </w:r>
          </w:p>
        </w:tc>
        <w:tc>
          <w:tcPr>
            <w:tcW w:w="1409" w:type="pct"/>
            <w:tcBorders>
              <w:top w:val="outset" w:color="414142" w:sz="6" w:space="0"/>
              <w:left w:val="outset" w:color="414142" w:sz="6" w:space="0"/>
              <w:bottom w:val="outset" w:color="414142" w:sz="6" w:space="0"/>
              <w:right w:val="outset" w:color="414142" w:sz="6" w:space="0"/>
            </w:tcBorders>
          </w:tcPr>
          <w:p w:rsidRPr="00032887" w:rsidR="00032887" w:rsidP="00032887" w:rsidRDefault="00032887" w14:paraId="447C35BF" w14:textId="67C1E68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tcPr>
          <w:p w:rsidRPr="00032887" w:rsidR="00032887" w:rsidP="00032887" w:rsidRDefault="00032887" w14:paraId="6C26C803" w14:textId="7FDE2B7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4D15A9" w:rsidP="00DA596D" w:rsidRDefault="004D15A9" w14:paraId="63E4FCA9" w14:textId="0027D74D">
      <w:pPr>
        <w:spacing w:after="0" w:line="240" w:lineRule="auto"/>
        <w:rPr>
          <w:rFonts w:ascii="Times New Roman" w:hAnsi="Times New Roman" w:eastAsia="Times New Roman" w:cs="Times New Roman"/>
          <w:sz w:val="24"/>
          <w:szCs w:val="24"/>
          <w:lang w:eastAsia="lv-LV"/>
        </w:rPr>
      </w:pPr>
    </w:p>
    <w:tbl>
      <w:tblPr>
        <w:tblStyle w:val="Reatabula"/>
        <w:tblW w:w="0" w:type="auto"/>
        <w:tblLook w:val="04A0" w:firstRow="1" w:lastRow="0" w:firstColumn="1" w:lastColumn="0" w:noHBand="0" w:noVBand="1"/>
      </w:tblPr>
      <w:tblGrid>
        <w:gridCol w:w="1838"/>
        <w:gridCol w:w="2692"/>
        <w:gridCol w:w="2265"/>
        <w:gridCol w:w="2266"/>
      </w:tblGrid>
      <w:tr w:rsidR="00B0434D" w:rsidTr="00B0434D" w14:paraId="7C73BC15" w14:textId="77777777">
        <w:tc>
          <w:tcPr>
            <w:tcW w:w="9061" w:type="dxa"/>
            <w:gridSpan w:val="4"/>
          </w:tcPr>
          <w:p w:rsidRPr="00B0434D" w:rsidR="00B0434D" w:rsidP="00B0434D" w:rsidRDefault="00B0434D" w14:paraId="51C48D76" w14:textId="67D2E04C">
            <w:pPr>
              <w:jc w:val="center"/>
              <w:rPr>
                <w:rFonts w:ascii="Times New Roman" w:hAnsi="Times New Roman" w:eastAsia="Times New Roman" w:cs="Times New Roman"/>
                <w:sz w:val="24"/>
                <w:szCs w:val="24"/>
                <w:lang w:eastAsia="lv-LV"/>
              </w:rPr>
            </w:pPr>
            <w:r w:rsidRPr="00B0434D">
              <w:rPr>
                <w:rFonts w:ascii="Times New Roman" w:hAnsi="Times New Roman" w:eastAsia="Times New Roman" w:cs="Times New Roman"/>
                <w:b/>
                <w:bCs/>
                <w:sz w:val="24"/>
                <w:szCs w:val="24"/>
                <w:lang w:eastAsia="lv-LV"/>
              </w:rPr>
              <w:t>1. tabula</w:t>
            </w:r>
            <w:r w:rsidRPr="00B0434D">
              <w:rPr>
                <w:rFonts w:ascii="Times New Roman" w:hAnsi="Times New Roman" w:eastAsia="Times New Roman" w:cs="Times New Roman"/>
                <w:b/>
                <w:bCs/>
                <w:sz w:val="24"/>
                <w:szCs w:val="24"/>
                <w:lang w:eastAsia="lv-LV"/>
              </w:rPr>
              <w:br/>
              <w:t>Tiesību akta projekta atbilstība ES tiesību aktiem</w:t>
            </w:r>
          </w:p>
        </w:tc>
      </w:tr>
      <w:tr w:rsidR="00B0434D" w:rsidTr="00B0434D" w14:paraId="609BCCDF" w14:textId="77777777">
        <w:tc>
          <w:tcPr>
            <w:tcW w:w="1838" w:type="dxa"/>
          </w:tcPr>
          <w:p w:rsidRPr="00B0434D" w:rsidR="00B0434D" w:rsidP="00DA596D" w:rsidRDefault="00B0434D" w14:paraId="220076A9" w14:textId="06D4F37C">
            <w:pPr>
              <w:rPr>
                <w:rFonts w:ascii="Times New Roman" w:hAnsi="Times New Roman" w:eastAsia="Times New Roman" w:cs="Times New Roman"/>
                <w:sz w:val="24"/>
                <w:szCs w:val="24"/>
                <w:lang w:eastAsia="lv-LV"/>
              </w:rPr>
            </w:pPr>
            <w:r w:rsidRPr="00B0434D">
              <w:rPr>
                <w:rFonts w:ascii="Times New Roman" w:hAnsi="Times New Roman" w:eastAsia="Times New Roman" w:cs="Times New Roman"/>
                <w:sz w:val="24"/>
                <w:szCs w:val="24"/>
                <w:lang w:eastAsia="lv-LV"/>
              </w:rPr>
              <w:t>Attiecīgā ES tiesību akta datums, numurs un nosaukums</w:t>
            </w:r>
          </w:p>
        </w:tc>
        <w:tc>
          <w:tcPr>
            <w:tcW w:w="7223" w:type="dxa"/>
            <w:gridSpan w:val="3"/>
          </w:tcPr>
          <w:p w:rsidRPr="00B0434D" w:rsidR="00B0434D" w:rsidP="00DA596D" w:rsidRDefault="00B0434D" w14:paraId="43243F43" w14:textId="1B825A09">
            <w:pPr>
              <w:rPr>
                <w:rFonts w:ascii="Times New Roman" w:hAnsi="Times New Roman" w:eastAsia="Times New Roman" w:cs="Times New Roman"/>
                <w:sz w:val="24"/>
                <w:szCs w:val="24"/>
                <w:lang w:eastAsia="lv-LV"/>
              </w:rPr>
            </w:pPr>
            <w:r w:rsidRPr="00B0434D">
              <w:rPr>
                <w:rFonts w:ascii="Times New Roman" w:hAnsi="Times New Roman" w:eastAsia="Times New Roman" w:cs="Times New Roman"/>
                <w:sz w:val="24"/>
                <w:szCs w:val="24"/>
                <w:lang w:eastAsia="lv-LV"/>
              </w:rPr>
              <w:t>Direktīva 2019/1151</w:t>
            </w:r>
          </w:p>
        </w:tc>
      </w:tr>
      <w:tr w:rsidR="00B0434D" w:rsidTr="00B0434D" w14:paraId="3A65DEE9" w14:textId="77777777">
        <w:tc>
          <w:tcPr>
            <w:tcW w:w="1838" w:type="dxa"/>
          </w:tcPr>
          <w:p w:rsidRPr="00B0434D" w:rsidR="00B0434D" w:rsidP="00B0434D" w:rsidRDefault="00B0434D" w14:paraId="61A650D5" w14:textId="447AA3E2">
            <w:pPr>
              <w:jc w:val="center"/>
              <w:rPr>
                <w:rFonts w:ascii="Times New Roman" w:hAnsi="Times New Roman" w:eastAsia="Times New Roman" w:cs="Times New Roman"/>
                <w:b/>
                <w:bCs/>
                <w:sz w:val="24"/>
                <w:szCs w:val="24"/>
                <w:lang w:eastAsia="lv-LV"/>
              </w:rPr>
            </w:pPr>
            <w:r w:rsidRPr="00B0434D">
              <w:rPr>
                <w:rFonts w:ascii="Times New Roman" w:hAnsi="Times New Roman" w:eastAsia="Times New Roman" w:cs="Times New Roman"/>
                <w:b/>
                <w:bCs/>
                <w:sz w:val="24"/>
                <w:szCs w:val="24"/>
                <w:lang w:eastAsia="lv-LV"/>
              </w:rPr>
              <w:t>A</w:t>
            </w:r>
          </w:p>
        </w:tc>
        <w:tc>
          <w:tcPr>
            <w:tcW w:w="2692" w:type="dxa"/>
          </w:tcPr>
          <w:p w:rsidRPr="00B0434D" w:rsidR="00B0434D" w:rsidP="00B0434D" w:rsidRDefault="00B0434D" w14:paraId="4477E9C0" w14:textId="2FEDFD41">
            <w:pPr>
              <w:jc w:val="center"/>
              <w:rPr>
                <w:rFonts w:ascii="Times New Roman" w:hAnsi="Times New Roman" w:eastAsia="Times New Roman" w:cs="Times New Roman"/>
                <w:b/>
                <w:bCs/>
                <w:sz w:val="24"/>
                <w:szCs w:val="24"/>
                <w:lang w:eastAsia="lv-LV"/>
              </w:rPr>
            </w:pPr>
            <w:r w:rsidRPr="00B0434D">
              <w:rPr>
                <w:rFonts w:ascii="Times New Roman" w:hAnsi="Times New Roman" w:eastAsia="Times New Roman" w:cs="Times New Roman"/>
                <w:b/>
                <w:bCs/>
                <w:sz w:val="24"/>
                <w:szCs w:val="24"/>
                <w:lang w:eastAsia="lv-LV"/>
              </w:rPr>
              <w:t>B</w:t>
            </w:r>
          </w:p>
        </w:tc>
        <w:tc>
          <w:tcPr>
            <w:tcW w:w="2265" w:type="dxa"/>
          </w:tcPr>
          <w:p w:rsidRPr="00B0434D" w:rsidR="00B0434D" w:rsidP="00B0434D" w:rsidRDefault="00B0434D" w14:paraId="474F3395" w14:textId="58196C85">
            <w:pPr>
              <w:jc w:val="center"/>
              <w:rPr>
                <w:rFonts w:ascii="Times New Roman" w:hAnsi="Times New Roman" w:eastAsia="Times New Roman" w:cs="Times New Roman"/>
                <w:b/>
                <w:bCs/>
                <w:sz w:val="24"/>
                <w:szCs w:val="24"/>
                <w:lang w:eastAsia="lv-LV"/>
              </w:rPr>
            </w:pPr>
            <w:r w:rsidRPr="00B0434D">
              <w:rPr>
                <w:rFonts w:ascii="Times New Roman" w:hAnsi="Times New Roman" w:eastAsia="Times New Roman" w:cs="Times New Roman"/>
                <w:b/>
                <w:bCs/>
                <w:sz w:val="24"/>
                <w:szCs w:val="24"/>
                <w:lang w:eastAsia="lv-LV"/>
              </w:rPr>
              <w:t>C</w:t>
            </w:r>
          </w:p>
        </w:tc>
        <w:tc>
          <w:tcPr>
            <w:tcW w:w="2266" w:type="dxa"/>
          </w:tcPr>
          <w:p w:rsidRPr="00B0434D" w:rsidR="00B0434D" w:rsidP="00B0434D" w:rsidRDefault="00B0434D" w14:paraId="706A55AE" w14:textId="15351140">
            <w:pPr>
              <w:jc w:val="center"/>
              <w:rPr>
                <w:rFonts w:ascii="Times New Roman" w:hAnsi="Times New Roman" w:eastAsia="Times New Roman" w:cs="Times New Roman"/>
                <w:b/>
                <w:bCs/>
                <w:sz w:val="24"/>
                <w:szCs w:val="24"/>
                <w:lang w:eastAsia="lv-LV"/>
              </w:rPr>
            </w:pPr>
            <w:r w:rsidRPr="00B0434D">
              <w:rPr>
                <w:rFonts w:ascii="Times New Roman" w:hAnsi="Times New Roman" w:eastAsia="Times New Roman" w:cs="Times New Roman"/>
                <w:b/>
                <w:bCs/>
                <w:sz w:val="24"/>
                <w:szCs w:val="24"/>
                <w:lang w:eastAsia="lv-LV"/>
              </w:rPr>
              <w:t>D</w:t>
            </w:r>
          </w:p>
        </w:tc>
      </w:tr>
      <w:tr w:rsidR="00B0434D" w:rsidTr="00B0434D" w14:paraId="17CAE8B5" w14:textId="77777777">
        <w:tc>
          <w:tcPr>
            <w:tcW w:w="1838" w:type="dxa"/>
          </w:tcPr>
          <w:p w:rsidRPr="00B0434D" w:rsidR="00B0434D" w:rsidP="00DA596D" w:rsidRDefault="00B0434D" w14:paraId="59538E9D" w14:textId="726C2F72">
            <w:pPr>
              <w:rPr>
                <w:rFonts w:ascii="Times New Roman" w:hAnsi="Times New Roman" w:eastAsia="Times New Roman" w:cs="Times New Roman"/>
                <w:sz w:val="24"/>
                <w:szCs w:val="24"/>
                <w:lang w:eastAsia="lv-LV"/>
              </w:rPr>
            </w:pPr>
            <w:r w:rsidRPr="00B0434D">
              <w:rPr>
                <w:rFonts w:ascii="Times New Roman" w:hAnsi="Times New Roman" w:eastAsia="Times New Roman" w:cs="Times New Roman"/>
                <w:sz w:val="24"/>
                <w:szCs w:val="24"/>
                <w:lang w:eastAsia="lv-LV"/>
              </w:rPr>
              <w:t>Attiecīgā ES tiesību akta panta numurs (uzskaitot katru tiesību akta vienību – pantu, daļu, punktu, apakšpunktu)</w:t>
            </w:r>
          </w:p>
        </w:tc>
        <w:tc>
          <w:tcPr>
            <w:tcW w:w="2692" w:type="dxa"/>
          </w:tcPr>
          <w:p w:rsidRPr="00B0434D" w:rsidR="00B0434D" w:rsidP="00DA596D" w:rsidRDefault="00B0434D" w14:paraId="7592F4EC" w14:textId="13B728FF">
            <w:pPr>
              <w:rPr>
                <w:rFonts w:ascii="Times New Roman" w:hAnsi="Times New Roman" w:eastAsia="Times New Roman" w:cs="Times New Roman"/>
                <w:sz w:val="24"/>
                <w:szCs w:val="24"/>
                <w:lang w:eastAsia="lv-LV"/>
              </w:rPr>
            </w:pPr>
            <w:r w:rsidRPr="00B0434D">
              <w:rPr>
                <w:rFonts w:ascii="Times New Roman" w:hAnsi="Times New Roman" w:eastAsia="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2265" w:type="dxa"/>
          </w:tcPr>
          <w:p w:rsidRPr="00B0434D" w:rsidR="00B0434D" w:rsidP="00DA596D" w:rsidRDefault="00B0434D" w14:paraId="21CB0469" w14:textId="12EADF45">
            <w:pPr>
              <w:rPr>
                <w:rFonts w:ascii="Times New Roman" w:hAnsi="Times New Roman" w:eastAsia="Times New Roman" w:cs="Times New Roman"/>
                <w:sz w:val="24"/>
                <w:szCs w:val="24"/>
                <w:lang w:eastAsia="lv-LV"/>
              </w:rPr>
            </w:pPr>
            <w:r w:rsidRPr="00B0434D">
              <w:rPr>
                <w:rFonts w:ascii="Times New Roman" w:hAnsi="Times New Roman" w:eastAsia="Times New Roman" w:cs="Times New Roman"/>
                <w:sz w:val="24"/>
                <w:szCs w:val="24"/>
                <w:lang w:eastAsia="lv-LV"/>
              </w:rPr>
              <w:t>Informācija par to, vai šīs tabulas A ailē minētās ES tiesību akta vienības tiek pārņemtas vai ieviestas pilnībā vai daļēji.</w:t>
            </w:r>
            <w:r w:rsidRPr="00B0434D">
              <w:rPr>
                <w:rFonts w:ascii="Times New Roman" w:hAnsi="Times New Roman" w:eastAsia="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0434D">
              <w:rPr>
                <w:rFonts w:ascii="Times New Roman" w:hAnsi="Times New Roman" w:eastAsia="Times New Roman" w:cs="Times New Roman"/>
                <w:sz w:val="24"/>
                <w:szCs w:val="24"/>
                <w:lang w:eastAsia="lv-LV"/>
              </w:rPr>
              <w:br/>
              <w:t>Norāda institūciju, kas ir atbildīga par šo saistību izpildi pilnībā</w:t>
            </w:r>
          </w:p>
        </w:tc>
        <w:tc>
          <w:tcPr>
            <w:tcW w:w="2266" w:type="dxa"/>
          </w:tcPr>
          <w:p w:rsidRPr="00B0434D" w:rsidR="00B0434D" w:rsidP="00DA596D" w:rsidRDefault="00B0434D" w14:paraId="04750198" w14:textId="78B05A46">
            <w:pPr>
              <w:rPr>
                <w:rFonts w:ascii="Times New Roman" w:hAnsi="Times New Roman" w:eastAsia="Times New Roman" w:cs="Times New Roman"/>
                <w:sz w:val="24"/>
                <w:szCs w:val="24"/>
                <w:lang w:eastAsia="lv-LV"/>
              </w:rPr>
            </w:pPr>
            <w:r w:rsidRPr="00B0434D">
              <w:rPr>
                <w:rFonts w:ascii="Times New Roman" w:hAnsi="Times New Roman" w:eastAsia="Times New Roman" w:cs="Times New Roman"/>
                <w:sz w:val="24"/>
                <w:szCs w:val="24"/>
                <w:lang w:eastAsia="lv-LV"/>
              </w:rPr>
              <w:t>Informācija par to, vai šīs tabulas B ailē minētās projekta vienības paredz stingrākas prasības nekā šīs tabulas A ailē minētās ES tiesību akta vienības.</w:t>
            </w:r>
            <w:r w:rsidRPr="00B0434D">
              <w:rPr>
                <w:rFonts w:ascii="Times New Roman" w:hAnsi="Times New Roman" w:eastAsia="Times New Roman" w:cs="Times New Roman"/>
                <w:sz w:val="24"/>
                <w:szCs w:val="24"/>
                <w:lang w:eastAsia="lv-LV"/>
              </w:rPr>
              <w:br/>
              <w:t>Ja projekts satur stingrākas prasības nekā attiecīgais ES tiesību akts, norāda pamatojumu un samērīgumu.</w:t>
            </w:r>
            <w:r w:rsidRPr="00B0434D">
              <w:rPr>
                <w:rFonts w:ascii="Times New Roman" w:hAnsi="Times New Roman" w:eastAsia="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825B0" w:rsidTr="006B734A" w14:paraId="7CADE969" w14:textId="77777777">
        <w:tc>
          <w:tcPr>
            <w:tcW w:w="9061" w:type="dxa"/>
            <w:gridSpan w:val="4"/>
          </w:tcPr>
          <w:p w:rsidRPr="00B0434D" w:rsidR="00C825B0" w:rsidP="00C825B0" w:rsidRDefault="00C825B0" w14:paraId="367D36D9" w14:textId="5F2BE738">
            <w:pPr>
              <w:jc w:val="center"/>
              <w:rPr>
                <w:rFonts w:ascii="Times New Roman" w:hAnsi="Times New Roman" w:eastAsia="Times New Roman" w:cs="Times New Roman"/>
                <w:sz w:val="24"/>
                <w:szCs w:val="24"/>
                <w:lang w:eastAsia="lv-LV"/>
              </w:rPr>
            </w:pPr>
            <w:r w:rsidRPr="00B0434D">
              <w:rPr>
                <w:rFonts w:ascii="Times New Roman" w:hAnsi="Times New Roman" w:eastAsia="Times New Roman" w:cs="Times New Roman"/>
                <w:sz w:val="24"/>
                <w:szCs w:val="24"/>
                <w:lang w:eastAsia="lv-LV"/>
              </w:rPr>
              <w:t>Direktīva 2019/1151</w:t>
            </w:r>
          </w:p>
        </w:tc>
      </w:tr>
      <w:tr w:rsidR="00B0434D" w:rsidTr="00B0434D" w14:paraId="50E45268" w14:textId="77777777">
        <w:tc>
          <w:tcPr>
            <w:tcW w:w="1838" w:type="dxa"/>
          </w:tcPr>
          <w:p w:rsidRPr="00C825B0" w:rsidR="00C825B0" w:rsidP="00C825B0" w:rsidRDefault="00C825B0" w14:paraId="5CD53082" w14:textId="77777777">
            <w:pPr>
              <w:jc w:val="both"/>
              <w:rPr>
                <w:rFonts w:ascii="Times New Roman" w:hAnsi="Times New Roman" w:eastAsia="Times New Roman" w:cs="Times New Roman"/>
                <w:sz w:val="24"/>
                <w:szCs w:val="24"/>
                <w:lang w:eastAsia="lv-LV"/>
              </w:rPr>
            </w:pPr>
            <w:r w:rsidRPr="00C825B0">
              <w:rPr>
                <w:rFonts w:ascii="Times New Roman" w:hAnsi="Times New Roman" w:eastAsia="Times New Roman" w:cs="Times New Roman"/>
                <w:sz w:val="24"/>
                <w:szCs w:val="24"/>
                <w:lang w:eastAsia="lv-LV"/>
              </w:rPr>
              <w:t>1. panta 4. punkts</w:t>
            </w:r>
          </w:p>
          <w:p w:rsidRPr="00C825B0" w:rsidR="00B0434D" w:rsidP="00C825B0" w:rsidRDefault="00C825B0" w14:paraId="4D88557C" w14:textId="79B2C763">
            <w:pPr>
              <w:jc w:val="both"/>
              <w:rPr>
                <w:rFonts w:ascii="Times New Roman" w:hAnsi="Times New Roman" w:eastAsia="Times New Roman" w:cs="Times New Roman"/>
                <w:sz w:val="24"/>
                <w:szCs w:val="24"/>
                <w:lang w:eastAsia="lv-LV"/>
              </w:rPr>
            </w:pPr>
            <w:r w:rsidRPr="00C825B0">
              <w:rPr>
                <w:rFonts w:ascii="Times New Roman" w:hAnsi="Times New Roman" w:eastAsia="Times New Roman" w:cs="Times New Roman"/>
                <w:sz w:val="24"/>
                <w:szCs w:val="24"/>
                <w:lang w:eastAsia="lv-LV"/>
              </w:rPr>
              <w:t>(13.d pants)</w:t>
            </w:r>
          </w:p>
        </w:tc>
        <w:tc>
          <w:tcPr>
            <w:tcW w:w="2692" w:type="dxa"/>
          </w:tcPr>
          <w:p w:rsidRPr="00C825B0" w:rsidR="00B0434D" w:rsidP="00C825B0" w:rsidRDefault="00C825B0" w14:paraId="024464B8" w14:textId="297B9662">
            <w:pPr>
              <w:jc w:val="both"/>
              <w:rPr>
                <w:rFonts w:ascii="Times New Roman" w:hAnsi="Times New Roman" w:eastAsia="Times New Roman" w:cs="Times New Roman"/>
                <w:sz w:val="24"/>
                <w:szCs w:val="24"/>
                <w:lang w:eastAsia="lv-LV"/>
              </w:rPr>
            </w:pPr>
            <w:r w:rsidRPr="00C825B0">
              <w:rPr>
                <w:rFonts w:ascii="Times New Roman" w:hAnsi="Times New Roman" w:eastAsia="Times New Roman" w:cs="Times New Roman"/>
                <w:sz w:val="24"/>
                <w:szCs w:val="24"/>
                <w:lang w:eastAsia="lv-LV"/>
              </w:rPr>
              <w:t>Projekta 1.4. apakšpunkts un 1.5. apakšpunkts</w:t>
            </w:r>
          </w:p>
        </w:tc>
        <w:tc>
          <w:tcPr>
            <w:tcW w:w="2265" w:type="dxa"/>
          </w:tcPr>
          <w:p w:rsidRPr="00C825B0" w:rsidR="00B0434D" w:rsidP="00C825B0" w:rsidRDefault="00C825B0" w14:paraId="14D8A530" w14:textId="28CED1B5">
            <w:pPr>
              <w:jc w:val="both"/>
              <w:rPr>
                <w:rFonts w:ascii="Times New Roman" w:hAnsi="Times New Roman" w:eastAsia="Times New Roman" w:cs="Times New Roman"/>
                <w:sz w:val="24"/>
                <w:szCs w:val="24"/>
                <w:lang w:eastAsia="lv-LV"/>
              </w:rPr>
            </w:pPr>
            <w:r w:rsidRPr="00C825B0">
              <w:rPr>
                <w:rFonts w:ascii="Times New Roman" w:hAnsi="Times New Roman" w:eastAsia="Times New Roman" w:cs="Times New Roman"/>
                <w:sz w:val="24"/>
                <w:szCs w:val="24"/>
                <w:lang w:eastAsia="lv-LV"/>
              </w:rPr>
              <w:t>ES tiesību norma tiks ieviesta pilnībā</w:t>
            </w:r>
          </w:p>
        </w:tc>
        <w:tc>
          <w:tcPr>
            <w:tcW w:w="2266" w:type="dxa"/>
          </w:tcPr>
          <w:p w:rsidRPr="00C825B0" w:rsidR="00B0434D" w:rsidP="00C825B0" w:rsidRDefault="00C825B0" w14:paraId="5645DAB6" w14:textId="64747282">
            <w:pPr>
              <w:jc w:val="both"/>
              <w:rPr>
                <w:rFonts w:ascii="Times New Roman" w:hAnsi="Times New Roman" w:eastAsia="Times New Roman" w:cs="Times New Roman"/>
                <w:sz w:val="24"/>
                <w:szCs w:val="24"/>
                <w:lang w:eastAsia="lv-LV"/>
              </w:rPr>
            </w:pPr>
            <w:r w:rsidRPr="00C825B0">
              <w:rPr>
                <w:rFonts w:ascii="Times New Roman" w:hAnsi="Times New Roman" w:eastAsia="Times New Roman" w:cs="Times New Roman"/>
                <w:sz w:val="24"/>
                <w:szCs w:val="24"/>
                <w:lang w:eastAsia="lv-LV"/>
              </w:rPr>
              <w:t xml:space="preserve">Neparedz stingrākas prasības, nekā </w:t>
            </w:r>
            <w:r w:rsidRPr="00C825B0">
              <w:rPr>
                <w:rFonts w:ascii="Times New Roman" w:hAnsi="Times New Roman" w:eastAsia="Times New Roman" w:cs="Times New Roman"/>
                <w:sz w:val="24"/>
                <w:szCs w:val="24"/>
                <w:lang w:eastAsia="lv-LV"/>
              </w:rPr>
              <w:lastRenderedPageBreak/>
              <w:t>paredzēts ES tiesību normā</w:t>
            </w:r>
          </w:p>
        </w:tc>
      </w:tr>
      <w:tr w:rsidR="00EA53EA" w:rsidTr="00B0434D" w14:paraId="7581F316" w14:textId="77777777">
        <w:tc>
          <w:tcPr>
            <w:tcW w:w="1838" w:type="dxa"/>
          </w:tcPr>
          <w:p w:rsidRPr="00EA53EA" w:rsidR="00EA53EA" w:rsidP="00C825B0" w:rsidRDefault="00EA53EA" w14:paraId="1A05B834" w14:textId="155783D6">
            <w:pPr>
              <w:jc w:val="both"/>
              <w:rPr>
                <w:rFonts w:ascii="Times New Roman" w:hAnsi="Times New Roman" w:eastAsia="Times New Roman" w:cs="Times New Roman"/>
                <w:sz w:val="24"/>
                <w:szCs w:val="24"/>
                <w:lang w:eastAsia="lv-LV"/>
              </w:rPr>
            </w:pPr>
            <w:r w:rsidRPr="00EA53EA">
              <w:rPr>
                <w:rFonts w:ascii="Times New Roman" w:hAnsi="Times New Roman" w:eastAsia="Times New Roman" w:cs="Times New Roman"/>
                <w:sz w:val="24"/>
                <w:szCs w:val="24"/>
                <w:lang w:eastAsia="lv-LV"/>
              </w:rPr>
              <w:lastRenderedPageBreak/>
              <w:t>1. panta 4. punkts (13.e pants)</w:t>
            </w:r>
          </w:p>
        </w:tc>
        <w:tc>
          <w:tcPr>
            <w:tcW w:w="2692" w:type="dxa"/>
          </w:tcPr>
          <w:p w:rsidRPr="00EA53EA" w:rsidR="00EA53EA" w:rsidP="00C825B0" w:rsidRDefault="00EA53EA" w14:paraId="68785923" w14:textId="7FB73A4D">
            <w:pPr>
              <w:jc w:val="both"/>
              <w:rPr>
                <w:rFonts w:ascii="Times New Roman" w:hAnsi="Times New Roman" w:eastAsia="Times New Roman" w:cs="Times New Roman"/>
                <w:sz w:val="24"/>
                <w:szCs w:val="24"/>
                <w:lang w:eastAsia="lv-LV"/>
              </w:rPr>
            </w:pPr>
            <w:r w:rsidRPr="00EA53EA">
              <w:rPr>
                <w:rFonts w:ascii="Times New Roman" w:hAnsi="Times New Roman" w:cs="Times New Roman"/>
                <w:sz w:val="24"/>
                <w:szCs w:val="24"/>
              </w:rPr>
              <w:t>Ministru kabineta 2016. gada 11. oktobra noteikumu Nr. 664 “Noteikumi par valsts nodevu, kas maksājama par ierakstu izdarīšanu uzņēmumu reģistra žurnālā un komercreģistrā, kā arī iesniedzamo dokumentu reģistrēšanu" 5. punkts, Projekta 1.2. apakšpunkts</w:t>
            </w:r>
          </w:p>
        </w:tc>
        <w:tc>
          <w:tcPr>
            <w:tcW w:w="2265" w:type="dxa"/>
          </w:tcPr>
          <w:p w:rsidRPr="00EA53EA" w:rsidR="00EA53EA" w:rsidP="00C825B0" w:rsidRDefault="00EA53EA" w14:paraId="6C008108" w14:textId="40E20D36">
            <w:pPr>
              <w:jc w:val="both"/>
              <w:rPr>
                <w:rFonts w:ascii="Times New Roman" w:hAnsi="Times New Roman" w:eastAsia="Times New Roman" w:cs="Times New Roman"/>
                <w:sz w:val="24"/>
                <w:szCs w:val="24"/>
                <w:lang w:eastAsia="lv-LV"/>
              </w:rPr>
            </w:pPr>
            <w:r w:rsidRPr="00EA53EA">
              <w:rPr>
                <w:rFonts w:ascii="Times New Roman" w:hAnsi="Times New Roman" w:eastAsia="Times New Roman" w:cs="Times New Roman"/>
                <w:sz w:val="24"/>
                <w:szCs w:val="24"/>
                <w:lang w:eastAsia="lv-LV"/>
              </w:rPr>
              <w:t>ES tiesību norma jau ir ieviesta pilnībā</w:t>
            </w:r>
          </w:p>
        </w:tc>
        <w:tc>
          <w:tcPr>
            <w:tcW w:w="2266" w:type="dxa"/>
          </w:tcPr>
          <w:p w:rsidRPr="00EA53EA" w:rsidR="00EA53EA" w:rsidP="00C825B0" w:rsidRDefault="00EA53EA" w14:paraId="6A6310A1" w14:textId="2AEC2EEA">
            <w:pPr>
              <w:jc w:val="both"/>
              <w:rPr>
                <w:rFonts w:ascii="Times New Roman" w:hAnsi="Times New Roman" w:eastAsia="Times New Roman" w:cs="Times New Roman"/>
                <w:sz w:val="24"/>
                <w:szCs w:val="24"/>
                <w:lang w:eastAsia="lv-LV"/>
              </w:rPr>
            </w:pPr>
            <w:r w:rsidRPr="00C825B0">
              <w:rPr>
                <w:rFonts w:ascii="Times New Roman" w:hAnsi="Times New Roman" w:eastAsia="Times New Roman" w:cs="Times New Roman"/>
                <w:sz w:val="24"/>
                <w:szCs w:val="24"/>
                <w:lang w:eastAsia="lv-LV"/>
              </w:rPr>
              <w:t xml:space="preserve">Neparedz </w:t>
            </w:r>
            <w:r>
              <w:rPr>
                <w:rFonts w:ascii="Times New Roman" w:hAnsi="Times New Roman" w:eastAsia="Times New Roman" w:cs="Times New Roman"/>
                <w:sz w:val="24"/>
                <w:szCs w:val="24"/>
                <w:lang w:eastAsia="lv-LV"/>
              </w:rPr>
              <w:t xml:space="preserve">un nenosaka </w:t>
            </w:r>
            <w:r w:rsidRPr="00C825B0">
              <w:rPr>
                <w:rFonts w:ascii="Times New Roman" w:hAnsi="Times New Roman" w:eastAsia="Times New Roman" w:cs="Times New Roman"/>
                <w:sz w:val="24"/>
                <w:szCs w:val="24"/>
                <w:lang w:eastAsia="lv-LV"/>
              </w:rPr>
              <w:t>stingrākas prasības, nekā paredzēts ES tiesību normā</w:t>
            </w:r>
          </w:p>
        </w:tc>
      </w:tr>
      <w:tr w:rsidR="00EA53EA" w:rsidTr="00D460B9" w14:paraId="3C20ED1B" w14:textId="77777777">
        <w:tc>
          <w:tcPr>
            <w:tcW w:w="1838" w:type="dxa"/>
          </w:tcPr>
          <w:p w:rsidRPr="00531845" w:rsidR="00EA53EA" w:rsidP="00C825B0" w:rsidRDefault="00EA53EA" w14:paraId="76356F81" w14:textId="66D0E6B4">
            <w:pPr>
              <w:jc w:val="both"/>
              <w:rPr>
                <w:rFonts w:ascii="Times New Roman" w:hAnsi="Times New Roman" w:eastAsia="Times New Roman" w:cs="Times New Roman"/>
                <w:sz w:val="24"/>
                <w:szCs w:val="24"/>
                <w:lang w:eastAsia="lv-LV"/>
              </w:rPr>
            </w:pPr>
            <w:r w:rsidRPr="00531845">
              <w:rPr>
                <w:rFonts w:ascii="Times New Roman" w:hAnsi="Times New Roman" w:eastAsia="Times New Roman" w:cs="Times New Roman"/>
                <w:sz w:val="24"/>
                <w:szCs w:val="24"/>
                <w:lang w:eastAsia="lv-LV"/>
              </w:rPr>
              <w:t>Kā ir izmantota ES tiesību aktā paredzētā rīcības brīvība dalībvalstij pārņemt vai ieviest noteiktas ES tiesību akta normas? Kādēļ?</w:t>
            </w:r>
          </w:p>
        </w:tc>
        <w:tc>
          <w:tcPr>
            <w:tcW w:w="7223" w:type="dxa"/>
            <w:gridSpan w:val="3"/>
          </w:tcPr>
          <w:p w:rsidRPr="00531845" w:rsidR="00EA53EA" w:rsidP="00C825B0" w:rsidRDefault="00EA53EA" w14:paraId="2201DA50" w14:textId="0087A0E5">
            <w:pPr>
              <w:jc w:val="both"/>
              <w:rPr>
                <w:rFonts w:ascii="Times New Roman" w:hAnsi="Times New Roman" w:eastAsia="Times New Roman" w:cs="Times New Roman"/>
                <w:sz w:val="24"/>
                <w:szCs w:val="24"/>
                <w:lang w:eastAsia="lv-LV"/>
              </w:rPr>
            </w:pPr>
            <w:r w:rsidRPr="00531845">
              <w:rPr>
                <w:rFonts w:ascii="Times New Roman" w:hAnsi="Times New Roman" w:eastAsia="Times New Roman" w:cs="Times New Roman"/>
                <w:sz w:val="24"/>
                <w:szCs w:val="24"/>
                <w:lang w:eastAsia="lv-LV"/>
              </w:rPr>
              <w:t>Nav attiecināms</w:t>
            </w:r>
          </w:p>
        </w:tc>
      </w:tr>
      <w:tr w:rsidR="00531845" w:rsidTr="008854B8" w14:paraId="2E2C8118" w14:textId="77777777">
        <w:tc>
          <w:tcPr>
            <w:tcW w:w="1838" w:type="dxa"/>
          </w:tcPr>
          <w:p w:rsidRPr="00531845" w:rsidR="00531845" w:rsidP="00531845" w:rsidRDefault="00531845" w14:paraId="1249E093" w14:textId="5FA13F54">
            <w:pPr>
              <w:jc w:val="both"/>
              <w:rPr>
                <w:rFonts w:ascii="Times New Roman" w:hAnsi="Times New Roman" w:eastAsia="Times New Roman" w:cs="Times New Roman"/>
                <w:sz w:val="24"/>
                <w:szCs w:val="24"/>
                <w:lang w:eastAsia="lv-LV"/>
              </w:rPr>
            </w:pPr>
            <w:r w:rsidRPr="00531845">
              <w:rPr>
                <w:rFonts w:ascii="Times New Roman" w:hAnsi="Times New Roman" w:eastAsia="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23" w:type="dxa"/>
            <w:gridSpan w:val="3"/>
          </w:tcPr>
          <w:p w:rsidRPr="00531845" w:rsidR="00531845" w:rsidP="00531845" w:rsidRDefault="00531845" w14:paraId="61023EB5" w14:textId="2D5856D4">
            <w:pPr>
              <w:jc w:val="both"/>
              <w:rPr>
                <w:rFonts w:ascii="Times New Roman" w:hAnsi="Times New Roman" w:eastAsia="Times New Roman" w:cs="Times New Roman"/>
                <w:sz w:val="24"/>
                <w:szCs w:val="24"/>
                <w:lang w:eastAsia="lv-LV"/>
              </w:rPr>
            </w:pPr>
            <w:r w:rsidRPr="00531845">
              <w:rPr>
                <w:rFonts w:ascii="Times New Roman" w:hAnsi="Times New Roman" w:eastAsia="Times New Roman" w:cs="Times New Roman"/>
                <w:sz w:val="24"/>
                <w:szCs w:val="24"/>
                <w:lang w:eastAsia="lv-LV"/>
              </w:rPr>
              <w:t>Nav</w:t>
            </w:r>
          </w:p>
        </w:tc>
      </w:tr>
      <w:tr w:rsidR="00531845" w:rsidTr="008854B8" w14:paraId="36A2493B" w14:textId="77777777">
        <w:tc>
          <w:tcPr>
            <w:tcW w:w="1838" w:type="dxa"/>
          </w:tcPr>
          <w:p w:rsidRPr="00531845" w:rsidR="00531845" w:rsidP="00531845" w:rsidRDefault="00531845" w14:paraId="1703FA7F" w14:textId="3414665D">
            <w:pPr>
              <w:jc w:val="both"/>
              <w:rPr>
                <w:rFonts w:ascii="Times New Roman" w:hAnsi="Times New Roman" w:eastAsia="Times New Roman" w:cs="Times New Roman"/>
                <w:sz w:val="24"/>
                <w:szCs w:val="24"/>
                <w:lang w:eastAsia="lv-LV"/>
              </w:rPr>
            </w:pPr>
            <w:r w:rsidRPr="00531845">
              <w:rPr>
                <w:rFonts w:ascii="Times New Roman" w:hAnsi="Times New Roman" w:eastAsia="Times New Roman" w:cs="Times New Roman"/>
                <w:sz w:val="24"/>
                <w:szCs w:val="24"/>
                <w:lang w:eastAsia="lv-LV"/>
              </w:rPr>
              <w:t>Cita informācija</w:t>
            </w:r>
          </w:p>
        </w:tc>
        <w:tc>
          <w:tcPr>
            <w:tcW w:w="7223" w:type="dxa"/>
            <w:gridSpan w:val="3"/>
          </w:tcPr>
          <w:p w:rsidRPr="00531845" w:rsidR="00531845" w:rsidP="00531845" w:rsidRDefault="00531845" w14:paraId="0AE01DED" w14:textId="52CBE3A7">
            <w:pPr>
              <w:ind w:left="-106" w:firstLine="284"/>
              <w:jc w:val="both"/>
              <w:rPr>
                <w:rFonts w:ascii="Times New Roman" w:hAnsi="Times New Roman" w:eastAsia="Times New Roman" w:cs="Times New Roman"/>
                <w:sz w:val="24"/>
                <w:szCs w:val="24"/>
                <w:lang w:eastAsia="lv-LV"/>
              </w:rPr>
            </w:pPr>
            <w:r w:rsidRPr="00531845">
              <w:rPr>
                <w:rFonts w:ascii="Times New Roman" w:hAnsi="Times New Roman" w:eastAsia="Times New Roman" w:cs="Times New Roman"/>
                <w:sz w:val="24"/>
                <w:szCs w:val="24"/>
                <w:lang w:eastAsia="lv-LV"/>
              </w:rPr>
              <w:t>Direktīvas 2019/1151 1. panta 4. punkts (13.e pants) no</w:t>
            </w:r>
            <w:r>
              <w:rPr>
                <w:rFonts w:ascii="Times New Roman" w:hAnsi="Times New Roman" w:eastAsia="Times New Roman" w:cs="Times New Roman"/>
                <w:sz w:val="24"/>
                <w:szCs w:val="24"/>
                <w:lang w:eastAsia="lv-LV"/>
              </w:rPr>
              <w:t>teic</w:t>
            </w:r>
            <w:r w:rsidRPr="00531845">
              <w:rPr>
                <w:rFonts w:ascii="Times New Roman" w:hAnsi="Times New Roman" w:eastAsia="Times New Roman" w:cs="Times New Roman"/>
                <w:sz w:val="24"/>
                <w:szCs w:val="24"/>
                <w:lang w:eastAsia="lv-LV"/>
              </w:rPr>
              <w:t xml:space="preserve">, ja par procedūru (izveide, reģistrācija, dokumentu iesniegšana u.c.) veikšanu ir jāmaksā, jānodrošina, ka minēto maksājumu var veikt, izmantojot plaši pieejamu tiešsaistes maksājumu pakalpojumu, ko var izmantot pārrobežu maksājumiem, kas ļauj identificēt personu, kura veikusi maksājumu, un kuru sniedz finanšu iestāde vai maksājumu pakalpojumu sniedzējs, kas veic uzņēmējdarbību dalībvalstī. Jau pašlaik ar nacionālo regulējumu netiek ierobežota maksājumu veikšana. </w:t>
            </w:r>
            <w:r w:rsidR="00C01E8A">
              <w:rPr>
                <w:rFonts w:ascii="Times New Roman" w:hAnsi="Times New Roman" w:eastAsia="Times New Roman" w:cs="Times New Roman"/>
                <w:sz w:val="24"/>
                <w:szCs w:val="24"/>
                <w:lang w:eastAsia="lv-LV"/>
              </w:rPr>
              <w:t>R</w:t>
            </w:r>
            <w:r w:rsidRPr="00531845">
              <w:rPr>
                <w:rFonts w:ascii="Times New Roman" w:hAnsi="Times New Roman" w:eastAsia="Times New Roman" w:cs="Times New Roman"/>
                <w:sz w:val="24"/>
                <w:szCs w:val="24"/>
                <w:lang w:eastAsia="lv-LV"/>
              </w:rPr>
              <w:t xml:space="preserve">eģistra klienti valsts nodevas </w:t>
            </w:r>
            <w:r w:rsidR="009B7981">
              <w:rPr>
                <w:rFonts w:ascii="Times New Roman" w:hAnsi="Times New Roman" w:eastAsia="Times New Roman" w:cs="Times New Roman"/>
                <w:sz w:val="24"/>
                <w:szCs w:val="24"/>
                <w:lang w:eastAsia="lv-LV"/>
              </w:rPr>
              <w:lastRenderedPageBreak/>
              <w:t xml:space="preserve">apmaksu </w:t>
            </w:r>
            <w:r w:rsidRPr="00531845">
              <w:rPr>
                <w:rFonts w:ascii="Times New Roman" w:hAnsi="Times New Roman" w:eastAsia="Times New Roman" w:cs="Times New Roman"/>
                <w:sz w:val="24"/>
                <w:szCs w:val="24"/>
                <w:lang w:eastAsia="lv-LV"/>
              </w:rPr>
              <w:t xml:space="preserve">par reģistrāciju var veikt izmantojot jebkuru pieejamu tiešsaistes maksājumu pakalpojumu. </w:t>
            </w:r>
            <w:r w:rsidR="00C01E8A">
              <w:rPr>
                <w:rFonts w:ascii="Times New Roman" w:hAnsi="Times New Roman" w:eastAsia="Times New Roman" w:cs="Times New Roman"/>
                <w:sz w:val="24"/>
                <w:szCs w:val="24"/>
                <w:lang w:eastAsia="lv-LV"/>
              </w:rPr>
              <w:t>R</w:t>
            </w:r>
            <w:r w:rsidRPr="00531845">
              <w:rPr>
                <w:rFonts w:ascii="Times New Roman" w:hAnsi="Times New Roman" w:eastAsia="Times New Roman" w:cs="Times New Roman"/>
                <w:sz w:val="24"/>
                <w:szCs w:val="24"/>
                <w:lang w:eastAsia="lv-LV"/>
              </w:rPr>
              <w:t>eģistrs lūdz klientam iesniegt datus par veikto maksājumu (norādot informāciju par maksājumu, vai pievienojot neapliecinātu maksājuma uzdevumu), lai varētu pārliecināties, ka maksājums ir saņemts valsts kases attiecīgajā kontā. Ņemot vērā minēto, direktīvas 1. panta 4. punkts (13.e pants) ir uzskatāms par ieviestu.</w:t>
            </w:r>
          </w:p>
          <w:p w:rsidRPr="00531845" w:rsidR="00531845" w:rsidP="00531845" w:rsidRDefault="00531845" w14:paraId="0EADA511" w14:textId="526425F7">
            <w:pPr>
              <w:ind w:left="-106" w:firstLine="284"/>
              <w:jc w:val="both"/>
              <w:rPr>
                <w:rFonts w:ascii="Times New Roman" w:hAnsi="Times New Roman" w:eastAsia="Times New Roman" w:cs="Times New Roman"/>
                <w:sz w:val="24"/>
                <w:szCs w:val="24"/>
                <w:lang w:eastAsia="lv-LV"/>
              </w:rPr>
            </w:pPr>
            <w:r w:rsidRPr="00531845">
              <w:rPr>
                <w:rFonts w:ascii="Times New Roman" w:hAnsi="Times New Roman" w:eastAsia="Times New Roman" w:cs="Times New Roman"/>
                <w:sz w:val="24"/>
                <w:szCs w:val="24"/>
                <w:lang w:eastAsia="lv-LV"/>
              </w:rPr>
              <w:t>Pilns informācijas izklāsts par Direktīvas 2019//1151 transformāciju nacionālajā regulējum</w:t>
            </w:r>
            <w:r w:rsidR="00F01985">
              <w:rPr>
                <w:rFonts w:ascii="Times New Roman" w:hAnsi="Times New Roman" w:eastAsia="Times New Roman" w:cs="Times New Roman"/>
                <w:sz w:val="24"/>
                <w:szCs w:val="24"/>
                <w:lang w:eastAsia="lv-LV"/>
              </w:rPr>
              <w:t>ā</w:t>
            </w:r>
            <w:r w:rsidRPr="00531845">
              <w:rPr>
                <w:rFonts w:ascii="Times New Roman" w:hAnsi="Times New Roman" w:eastAsia="Times New Roman" w:cs="Times New Roman"/>
                <w:sz w:val="24"/>
                <w:szCs w:val="24"/>
                <w:lang w:eastAsia="lv-LV"/>
              </w:rPr>
              <w:t xml:space="preserve"> iekļauts</w:t>
            </w:r>
            <w:r w:rsidR="006E50E5">
              <w:rPr>
                <w:rFonts w:ascii="Times New Roman" w:hAnsi="Times New Roman" w:eastAsia="Times New Roman" w:cs="Times New Roman"/>
                <w:sz w:val="24"/>
                <w:szCs w:val="24"/>
                <w:lang w:eastAsia="lv-LV"/>
              </w:rPr>
              <w:t xml:space="preserve"> 2021.</w:t>
            </w:r>
            <w:r w:rsidR="009F4C5F">
              <w:rPr>
                <w:rFonts w:ascii="Times New Roman" w:hAnsi="Times New Roman" w:eastAsia="Times New Roman" w:cs="Times New Roman"/>
                <w:sz w:val="24"/>
                <w:szCs w:val="24"/>
                <w:lang w:eastAsia="lv-LV"/>
              </w:rPr>
              <w:t xml:space="preserve"> </w:t>
            </w:r>
            <w:r w:rsidR="006E50E5">
              <w:rPr>
                <w:rFonts w:ascii="Times New Roman" w:hAnsi="Times New Roman" w:eastAsia="Times New Roman" w:cs="Times New Roman"/>
                <w:sz w:val="24"/>
                <w:szCs w:val="24"/>
                <w:lang w:eastAsia="lv-LV"/>
              </w:rPr>
              <w:t>gada 6.</w:t>
            </w:r>
            <w:r w:rsidR="009F4C5F">
              <w:rPr>
                <w:rFonts w:ascii="Times New Roman" w:hAnsi="Times New Roman" w:eastAsia="Times New Roman" w:cs="Times New Roman"/>
                <w:sz w:val="24"/>
                <w:szCs w:val="24"/>
                <w:lang w:eastAsia="lv-LV"/>
              </w:rPr>
              <w:t xml:space="preserve"> </w:t>
            </w:r>
            <w:r w:rsidR="006E50E5">
              <w:rPr>
                <w:rFonts w:ascii="Times New Roman" w:hAnsi="Times New Roman" w:eastAsia="Times New Roman" w:cs="Times New Roman"/>
                <w:sz w:val="24"/>
                <w:szCs w:val="24"/>
                <w:lang w:eastAsia="lv-LV"/>
              </w:rPr>
              <w:t>jūlija</w:t>
            </w:r>
            <w:r w:rsidR="009F4C5F">
              <w:rPr>
                <w:rFonts w:ascii="Times New Roman" w:hAnsi="Times New Roman" w:eastAsia="Times New Roman" w:cs="Times New Roman"/>
                <w:sz w:val="24"/>
                <w:szCs w:val="24"/>
                <w:lang w:eastAsia="lv-LV"/>
              </w:rPr>
              <w:t xml:space="preserve"> likuma “Grozījumi Komerclikumā”</w:t>
            </w:r>
            <w:r w:rsidRPr="00531845">
              <w:rPr>
                <w:rFonts w:ascii="Times New Roman" w:hAnsi="Times New Roman" w:eastAsia="Times New Roman" w:cs="Times New Roman"/>
                <w:sz w:val="24"/>
                <w:szCs w:val="24"/>
                <w:lang w:eastAsia="lv-LV"/>
              </w:rPr>
              <w:t xml:space="preserve"> </w:t>
            </w:r>
            <w:r w:rsidRPr="00D93C9E" w:rsidR="00D93C9E">
              <w:rPr>
                <w:rFonts w:ascii="Times New Roman" w:hAnsi="Times New Roman" w:eastAsia="Times New Roman" w:cs="Times New Roman"/>
                <w:sz w:val="24"/>
                <w:szCs w:val="24"/>
                <w:lang w:eastAsia="lv-LV"/>
              </w:rPr>
              <w:t xml:space="preserve"> sākotnējās ietekmes novērtējuma ziņojumā (anotācijā)</w:t>
            </w:r>
            <w:r w:rsidRPr="00531845">
              <w:rPr>
                <w:rFonts w:ascii="Times New Roman" w:hAnsi="Times New Roman" w:eastAsia="Times New Roman" w:cs="Times New Roman"/>
                <w:sz w:val="24"/>
                <w:szCs w:val="24"/>
                <w:lang w:eastAsia="lv-LV"/>
              </w:rPr>
              <w:t>.</w:t>
            </w:r>
          </w:p>
        </w:tc>
      </w:tr>
    </w:tbl>
    <w:p w:rsidR="00032887" w:rsidP="00DA596D" w:rsidRDefault="00032887" w14:paraId="137B5095" w14:textId="7CCF3307">
      <w:pPr>
        <w:spacing w:after="0" w:line="240" w:lineRule="auto"/>
        <w:rPr>
          <w:rFonts w:ascii="Times New Roman" w:hAnsi="Times New Roman" w:eastAsia="Times New Roman" w:cs="Times New Roman"/>
          <w:sz w:val="24"/>
          <w:szCs w:val="24"/>
          <w:lang w:eastAsia="lv-LV"/>
        </w:rPr>
      </w:pPr>
    </w:p>
    <w:tbl>
      <w:tblPr>
        <w:tblStyle w:val="Reatabula"/>
        <w:tblW w:w="0" w:type="auto"/>
        <w:tblLook w:val="04A0" w:firstRow="1" w:lastRow="0" w:firstColumn="1" w:lastColumn="0" w:noHBand="0" w:noVBand="1"/>
      </w:tblPr>
      <w:tblGrid>
        <w:gridCol w:w="9061"/>
      </w:tblGrid>
      <w:tr w:rsidR="00531845" w:rsidTr="00531845" w14:paraId="69E60336" w14:textId="77777777">
        <w:tc>
          <w:tcPr>
            <w:tcW w:w="9061" w:type="dxa"/>
          </w:tcPr>
          <w:p w:rsidRPr="00531845" w:rsidR="00531845" w:rsidP="00531845" w:rsidRDefault="00531845" w14:paraId="5992A58D" w14:textId="7089E763">
            <w:pPr>
              <w:jc w:val="center"/>
              <w:rPr>
                <w:rFonts w:ascii="Times New Roman" w:hAnsi="Times New Roman" w:eastAsia="Times New Roman" w:cs="Times New Roman"/>
                <w:sz w:val="24"/>
                <w:szCs w:val="24"/>
                <w:lang w:eastAsia="lv-LV"/>
              </w:rPr>
            </w:pPr>
            <w:r w:rsidRPr="00531845">
              <w:rPr>
                <w:rFonts w:ascii="Times New Roman" w:hAnsi="Times New Roman" w:eastAsia="Times New Roman" w:cs="Times New Roman"/>
                <w:b/>
                <w:bCs/>
                <w:sz w:val="24"/>
                <w:szCs w:val="24"/>
                <w:lang w:eastAsia="lv-LV"/>
              </w:rPr>
              <w:t>2. tabula</w:t>
            </w:r>
            <w:r w:rsidRPr="00531845">
              <w:rPr>
                <w:rFonts w:ascii="Times New Roman" w:hAnsi="Times New Roman"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531845">
              <w:rPr>
                <w:rFonts w:ascii="Times New Roman" w:hAnsi="Times New Roman" w:eastAsia="Times New Roman" w:cs="Times New Roman"/>
                <w:b/>
                <w:bCs/>
                <w:sz w:val="24"/>
                <w:szCs w:val="24"/>
                <w:lang w:eastAsia="lv-LV"/>
              </w:rPr>
              <w:br/>
              <w:t>Pasākumi šo saistību izpildei</w:t>
            </w:r>
          </w:p>
        </w:tc>
      </w:tr>
      <w:tr w:rsidR="00531845" w:rsidTr="00531845" w14:paraId="54642691" w14:textId="77777777">
        <w:tc>
          <w:tcPr>
            <w:tcW w:w="9061" w:type="dxa"/>
          </w:tcPr>
          <w:p w:rsidRPr="00531845" w:rsidR="00531845" w:rsidP="00531845" w:rsidRDefault="00531845" w14:paraId="459085A7" w14:textId="62A00020">
            <w:pPr>
              <w:jc w:val="center"/>
              <w:rPr>
                <w:rFonts w:ascii="Times New Roman" w:hAnsi="Times New Roman" w:eastAsia="Times New Roman" w:cs="Times New Roman"/>
                <w:sz w:val="24"/>
                <w:szCs w:val="24"/>
                <w:lang w:eastAsia="lv-LV"/>
              </w:rPr>
            </w:pPr>
            <w:r w:rsidRPr="00531845">
              <w:rPr>
                <w:rFonts w:ascii="Times New Roman" w:hAnsi="Times New Roman" w:eastAsia="Times New Roman" w:cs="Times New Roman"/>
                <w:sz w:val="24"/>
                <w:szCs w:val="24"/>
                <w:lang w:eastAsia="lv-LV"/>
              </w:rPr>
              <w:t>Projekts šo jomu neskar</w:t>
            </w:r>
          </w:p>
        </w:tc>
      </w:tr>
    </w:tbl>
    <w:p w:rsidR="00032887" w:rsidP="00DA596D" w:rsidRDefault="00032887" w14:paraId="33E58604" w14:textId="075317DB">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4607C0" w:rsidR="004607C0"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4607C0" w:rsidR="004D15A9" w:rsidP="00DA596D" w:rsidRDefault="004D15A9" w14:paraId="62BDDC73" w14:textId="49D4703E">
            <w:pPr>
              <w:spacing w:after="0" w:line="240" w:lineRule="auto"/>
              <w:ind w:firstLine="300"/>
              <w:jc w:val="center"/>
              <w:rPr>
                <w:rFonts w:ascii="Times New Roman" w:hAnsi="Times New Roman" w:eastAsia="Times New Roman" w:cs="Times New Roman"/>
                <w:b/>
                <w:bCs/>
                <w:sz w:val="24"/>
                <w:szCs w:val="24"/>
                <w:lang w:eastAsia="lv-LV"/>
              </w:rPr>
            </w:pPr>
            <w:r w:rsidRPr="004607C0">
              <w:rPr>
                <w:rFonts w:ascii="Times New Roman" w:hAnsi="Times New Roman" w:eastAsia="Times New Roman" w:cs="Times New Roman"/>
                <w:b/>
                <w:bCs/>
                <w:sz w:val="24"/>
                <w:szCs w:val="24"/>
                <w:lang w:eastAsia="lv-LV"/>
              </w:rPr>
              <w:t>VI.</w:t>
            </w:r>
            <w:r w:rsidRPr="004607C0" w:rsidR="00BE4E31">
              <w:rPr>
                <w:rFonts w:ascii="Times New Roman" w:hAnsi="Times New Roman" w:eastAsia="Times New Roman" w:cs="Times New Roman"/>
                <w:b/>
                <w:bCs/>
                <w:sz w:val="24"/>
                <w:szCs w:val="24"/>
                <w:lang w:eastAsia="lv-LV"/>
              </w:rPr>
              <w:t> </w:t>
            </w:r>
            <w:r w:rsidRPr="004607C0">
              <w:rPr>
                <w:rFonts w:ascii="Times New Roman" w:hAnsi="Times New Roman" w:eastAsia="Times New Roman" w:cs="Times New Roman"/>
                <w:b/>
                <w:bCs/>
                <w:sz w:val="24"/>
                <w:szCs w:val="24"/>
                <w:lang w:eastAsia="lv-LV"/>
              </w:rPr>
              <w:t>Sabiedrības līdzdalība un komunikācijas aktivitātes</w:t>
            </w:r>
          </w:p>
        </w:tc>
      </w:tr>
      <w:tr w:rsidRPr="004607C0" w:rsidR="004607C0" w:rsidTr="00960ED3"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4396B198"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0727F913"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0001168D" w:rsidP="00FD7465" w:rsidRDefault="00762613" w14:paraId="3FB258DE" w14:textId="203757C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w:t>
            </w:r>
            <w:r w:rsidR="006753F8">
              <w:rPr>
                <w:rFonts w:ascii="Times New Roman" w:hAnsi="Times New Roman" w:eastAsia="Times New Roman" w:cs="Times New Roman"/>
                <w:sz w:val="24"/>
                <w:szCs w:val="24"/>
                <w:lang w:eastAsia="lv-LV"/>
              </w:rPr>
              <w:t>am nodrošināta sabiedrības līdzdalība</w:t>
            </w:r>
            <w:r w:rsidR="0001168D">
              <w:rPr>
                <w:rFonts w:ascii="Times New Roman" w:hAnsi="Times New Roman" w:eastAsia="Times New Roman" w:cs="Times New Roman"/>
                <w:sz w:val="24"/>
                <w:szCs w:val="24"/>
                <w:lang w:eastAsia="lv-LV"/>
              </w:rPr>
              <w:t xml:space="preserve">, publicējot </w:t>
            </w:r>
            <w:r w:rsidR="00CE371C">
              <w:rPr>
                <w:rFonts w:ascii="Times New Roman" w:hAnsi="Times New Roman" w:eastAsia="Times New Roman" w:cs="Times New Roman"/>
                <w:sz w:val="24"/>
                <w:szCs w:val="24"/>
                <w:lang w:eastAsia="lv-LV"/>
              </w:rPr>
              <w:t>Projektu</w:t>
            </w:r>
            <w:r w:rsidR="0001168D">
              <w:rPr>
                <w:rFonts w:ascii="Times New Roman" w:hAnsi="Times New Roman" w:eastAsia="Times New Roman" w:cs="Times New Roman"/>
                <w:sz w:val="24"/>
                <w:szCs w:val="24"/>
                <w:lang w:eastAsia="lv-LV"/>
              </w:rPr>
              <w:t xml:space="preserve"> </w:t>
            </w:r>
            <w:r w:rsidR="00A14DFB">
              <w:rPr>
                <w:rFonts w:ascii="Times New Roman" w:hAnsi="Times New Roman" w:eastAsia="Times New Roman" w:cs="Times New Roman"/>
                <w:sz w:val="24"/>
                <w:szCs w:val="24"/>
                <w:lang w:eastAsia="lv-LV"/>
              </w:rPr>
              <w:t>R</w:t>
            </w:r>
            <w:r w:rsidR="0001168D">
              <w:rPr>
                <w:rFonts w:ascii="Times New Roman" w:hAnsi="Times New Roman" w:eastAsia="Times New Roman" w:cs="Times New Roman"/>
                <w:sz w:val="24"/>
                <w:szCs w:val="24"/>
                <w:lang w:eastAsia="lv-LV"/>
              </w:rPr>
              <w:t xml:space="preserve">eģistra </w:t>
            </w:r>
            <w:r w:rsidR="00AF75F6">
              <w:rPr>
                <w:rFonts w:ascii="Times New Roman" w:hAnsi="Times New Roman" w:eastAsia="Times New Roman" w:cs="Times New Roman"/>
                <w:sz w:val="24"/>
                <w:szCs w:val="24"/>
                <w:lang w:eastAsia="lv-LV"/>
              </w:rPr>
              <w:t>tīmekļvietnē</w:t>
            </w:r>
            <w:r w:rsidR="00C01E8A">
              <w:rPr>
                <w:rFonts w:ascii="Times New Roman" w:hAnsi="Times New Roman" w:eastAsia="Times New Roman" w:cs="Times New Roman"/>
                <w:sz w:val="24"/>
                <w:szCs w:val="24"/>
                <w:lang w:eastAsia="lv-LV"/>
              </w:rPr>
              <w:t xml:space="preserve"> (saite šeit:  </w:t>
            </w:r>
            <w:r w:rsidRPr="00C01E8A" w:rsidR="00C01E8A">
              <w:rPr>
                <w:rFonts w:ascii="Times New Roman" w:hAnsi="Times New Roman" w:eastAsia="Times New Roman" w:cs="Times New Roman"/>
                <w:sz w:val="24"/>
                <w:szCs w:val="24"/>
                <w:lang w:eastAsia="lv-LV"/>
              </w:rPr>
              <w:t>https://www.ur.gov.lv/lv/jaunumi/aktualitates/pazinojums-par-lidzdalibas-procesu-ministru-kabineta-noteikumu-projekta-par-komercregistra-valsts-nodevam/</w:t>
            </w:r>
            <w:r w:rsidR="00C01E8A">
              <w:rPr>
                <w:rFonts w:ascii="Times New Roman" w:hAnsi="Times New Roman" w:eastAsia="Times New Roman" w:cs="Times New Roman"/>
                <w:sz w:val="24"/>
                <w:szCs w:val="24"/>
                <w:lang w:eastAsia="lv-LV"/>
              </w:rPr>
              <w:t>)</w:t>
            </w:r>
            <w:r w:rsidR="0001168D">
              <w:rPr>
                <w:rFonts w:ascii="Times New Roman" w:hAnsi="Times New Roman" w:eastAsia="Times New Roman" w:cs="Times New Roman"/>
                <w:sz w:val="24"/>
                <w:szCs w:val="24"/>
                <w:lang w:eastAsia="lv-LV"/>
              </w:rPr>
              <w:t>.</w:t>
            </w:r>
          </w:p>
          <w:p w:rsidR="00AF75F6" w:rsidP="00FD7465" w:rsidRDefault="0001168D" w14:paraId="463BE0C9" w14:textId="5100DC04">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Projekts prezentēts </w:t>
            </w:r>
            <w:r w:rsidR="00A14DFB">
              <w:rPr>
                <w:rFonts w:ascii="Times New Roman" w:hAnsi="Times New Roman" w:eastAsia="Times New Roman" w:cs="Times New Roman"/>
                <w:sz w:val="24"/>
                <w:szCs w:val="24"/>
                <w:lang w:eastAsia="lv-LV"/>
              </w:rPr>
              <w:t>R</w:t>
            </w:r>
            <w:r>
              <w:rPr>
                <w:rFonts w:ascii="Times New Roman" w:hAnsi="Times New Roman" w:eastAsia="Times New Roman" w:cs="Times New Roman"/>
                <w:sz w:val="24"/>
                <w:szCs w:val="24"/>
                <w:lang w:eastAsia="lv-LV"/>
              </w:rPr>
              <w:t>eģistra Konsultatīv</w:t>
            </w:r>
            <w:r w:rsidR="00C01E8A">
              <w:rPr>
                <w:rFonts w:ascii="Times New Roman" w:hAnsi="Times New Roman" w:eastAsia="Times New Roman" w:cs="Times New Roman"/>
                <w:sz w:val="24"/>
                <w:szCs w:val="24"/>
                <w:lang w:eastAsia="lv-LV"/>
              </w:rPr>
              <w:t>ās padomes 2021. gada 19. jūlija sēdē</w:t>
            </w:r>
            <w:r>
              <w:rPr>
                <w:rFonts w:ascii="Times New Roman" w:hAnsi="Times New Roman" w:eastAsia="Times New Roman" w:cs="Times New Roman"/>
                <w:sz w:val="24"/>
                <w:szCs w:val="24"/>
                <w:lang w:eastAsia="lv-LV"/>
              </w:rPr>
              <w:t>.</w:t>
            </w:r>
          </w:p>
          <w:p w:rsidRPr="00A218D7" w:rsidR="001A35B1" w:rsidP="00FD7465" w:rsidRDefault="00AF75F6" w14:paraId="298F5795" w14:textId="75B2C0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Pēc Projekta apstiprināšanas</w:t>
            </w:r>
            <w:r w:rsidR="00573BA8">
              <w:rPr>
                <w:rFonts w:ascii="Times New Roman" w:hAnsi="Times New Roman" w:eastAsia="Times New Roman" w:cs="Times New Roman"/>
                <w:sz w:val="24"/>
                <w:szCs w:val="24"/>
                <w:lang w:eastAsia="lv-LV"/>
              </w:rPr>
              <w:t xml:space="preserve">, lai informētu </w:t>
            </w:r>
            <w:r w:rsidR="00C01E8A">
              <w:rPr>
                <w:rFonts w:ascii="Times New Roman" w:hAnsi="Times New Roman" w:eastAsia="Times New Roman" w:cs="Times New Roman"/>
                <w:sz w:val="24"/>
                <w:szCs w:val="24"/>
                <w:lang w:eastAsia="lv-LV"/>
              </w:rPr>
              <w:t>R</w:t>
            </w:r>
            <w:r w:rsidR="00573BA8">
              <w:rPr>
                <w:rFonts w:ascii="Times New Roman" w:hAnsi="Times New Roman" w:eastAsia="Times New Roman" w:cs="Times New Roman"/>
                <w:sz w:val="24"/>
                <w:szCs w:val="24"/>
                <w:lang w:eastAsia="lv-LV"/>
              </w:rPr>
              <w:t>eģistra klientus par izmaiņām, sekos plašāki sabiedrības informēšanas pasākumi, ievietojot informāciju gan Reģistra tīmekļ</w:t>
            </w:r>
            <w:r w:rsidR="00A14DFB">
              <w:rPr>
                <w:rFonts w:ascii="Times New Roman" w:hAnsi="Times New Roman" w:eastAsia="Times New Roman" w:cs="Times New Roman"/>
                <w:sz w:val="24"/>
                <w:szCs w:val="24"/>
                <w:lang w:eastAsia="lv-LV"/>
              </w:rPr>
              <w:t>vietnē, gan sociālajos tīklos.</w:t>
            </w:r>
            <w:r w:rsidR="0001168D">
              <w:rPr>
                <w:rFonts w:ascii="Times New Roman" w:hAnsi="Times New Roman" w:eastAsia="Times New Roman" w:cs="Times New Roman"/>
                <w:sz w:val="24"/>
                <w:szCs w:val="24"/>
                <w:lang w:eastAsia="lv-LV"/>
              </w:rPr>
              <w:t xml:space="preserve"> </w:t>
            </w:r>
          </w:p>
        </w:tc>
      </w:tr>
      <w:tr w:rsidRPr="004607C0" w:rsidR="004607C0" w:rsidTr="00960ED3"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08715D31"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0010C84B"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A218D7" w:rsidR="004D15A9" w:rsidP="00FD7465" w:rsidRDefault="005F5035" w14:paraId="1EE08E29" w14:textId="7CE5951B">
            <w:pPr>
              <w:spacing w:after="0" w:line="240" w:lineRule="auto"/>
              <w:ind w:firstLine="284"/>
              <w:jc w:val="both"/>
              <w:rPr>
                <w:rFonts w:ascii="Times New Roman" w:hAnsi="Times New Roman" w:cs="Times New Roman"/>
                <w:sz w:val="24"/>
                <w:szCs w:val="24"/>
                <w:lang w:eastAsia="lv-LV"/>
              </w:rPr>
            </w:pPr>
            <w:r w:rsidRPr="005F5035">
              <w:rPr>
                <w:rFonts w:ascii="Times New Roman" w:hAnsi="Times New Roman" w:eastAsia="Times New Roman" w:cs="Times New Roman"/>
                <w:sz w:val="24"/>
                <w:szCs w:val="24"/>
                <w:lang w:eastAsia="lv-LV"/>
              </w:rPr>
              <w:t>2021.</w:t>
            </w:r>
            <w:r w:rsidR="00C01E8A">
              <w:rPr>
                <w:rFonts w:ascii="Times New Roman" w:hAnsi="Times New Roman" w:eastAsia="Times New Roman" w:cs="Times New Roman"/>
                <w:sz w:val="24"/>
                <w:szCs w:val="24"/>
                <w:lang w:eastAsia="lv-LV"/>
              </w:rPr>
              <w:t xml:space="preserve"> gada 19. jūlijā </w:t>
            </w:r>
            <w:r w:rsidRPr="005F5035">
              <w:rPr>
                <w:rFonts w:ascii="Times New Roman" w:hAnsi="Times New Roman" w:eastAsia="Times New Roman" w:cs="Times New Roman"/>
                <w:sz w:val="24"/>
                <w:szCs w:val="24"/>
                <w:lang w:eastAsia="lv-LV"/>
              </w:rPr>
              <w:t>Projekts prezentēts Reģistra Konsultatīvās padomes locekļiem. Sēdē piedalījās Latvijas Tirdzniecības un rūpniecības kamera</w:t>
            </w:r>
            <w:r w:rsidR="00C01E8A">
              <w:rPr>
                <w:rFonts w:ascii="Times New Roman" w:hAnsi="Times New Roman" w:eastAsia="Times New Roman" w:cs="Times New Roman"/>
                <w:sz w:val="24"/>
                <w:szCs w:val="24"/>
                <w:lang w:eastAsia="lv-LV"/>
              </w:rPr>
              <w:t>s</w:t>
            </w:r>
            <w:r w:rsidRPr="005F5035">
              <w:rPr>
                <w:rFonts w:ascii="Times New Roman" w:hAnsi="Times New Roman" w:eastAsia="Times New Roman" w:cs="Times New Roman"/>
                <w:sz w:val="24"/>
                <w:szCs w:val="24"/>
                <w:lang w:eastAsia="lv-LV"/>
              </w:rPr>
              <w:t>, Latvijas Darba devēju konfederācija</w:t>
            </w:r>
            <w:r w:rsidR="00C01E8A">
              <w:rPr>
                <w:rFonts w:ascii="Times New Roman" w:hAnsi="Times New Roman" w:eastAsia="Times New Roman" w:cs="Times New Roman"/>
                <w:sz w:val="24"/>
                <w:szCs w:val="24"/>
                <w:lang w:eastAsia="lv-LV"/>
              </w:rPr>
              <w:t>s</w:t>
            </w:r>
            <w:r w:rsidRPr="005F5035">
              <w:rPr>
                <w:rFonts w:ascii="Times New Roman" w:hAnsi="Times New Roman" w:eastAsia="Times New Roman" w:cs="Times New Roman"/>
                <w:sz w:val="24"/>
                <w:szCs w:val="24"/>
                <w:lang w:eastAsia="lv-LV"/>
              </w:rPr>
              <w:t>, Ārvalstu investoru padome</w:t>
            </w:r>
            <w:r w:rsidR="00C01E8A">
              <w:rPr>
                <w:rFonts w:ascii="Times New Roman" w:hAnsi="Times New Roman" w:eastAsia="Times New Roman" w:cs="Times New Roman"/>
                <w:sz w:val="24"/>
                <w:szCs w:val="24"/>
                <w:lang w:eastAsia="lv-LV"/>
              </w:rPr>
              <w:t>s</w:t>
            </w:r>
            <w:r w:rsidRPr="005F5035">
              <w:rPr>
                <w:rFonts w:ascii="Times New Roman" w:hAnsi="Times New Roman" w:eastAsia="Times New Roman" w:cs="Times New Roman"/>
                <w:sz w:val="24"/>
                <w:szCs w:val="24"/>
                <w:lang w:eastAsia="lv-LV"/>
              </w:rPr>
              <w:t xml:space="preserve"> Latvijā, Latvijas Datortehnoloģiju asociācija</w:t>
            </w:r>
            <w:r w:rsidR="00C01E8A">
              <w:rPr>
                <w:rFonts w:ascii="Times New Roman" w:hAnsi="Times New Roman" w:eastAsia="Times New Roman" w:cs="Times New Roman"/>
                <w:sz w:val="24"/>
                <w:szCs w:val="24"/>
                <w:lang w:eastAsia="lv-LV"/>
              </w:rPr>
              <w:t>s</w:t>
            </w:r>
            <w:r w:rsidRPr="005F5035">
              <w:rPr>
                <w:rFonts w:ascii="Times New Roman" w:hAnsi="Times New Roman" w:eastAsia="Times New Roman" w:cs="Times New Roman"/>
                <w:sz w:val="24"/>
                <w:szCs w:val="24"/>
                <w:lang w:eastAsia="lv-LV"/>
              </w:rPr>
              <w:t>, Latvijas profesionālo patentpilnvarnieku asociācija</w:t>
            </w:r>
            <w:r w:rsidR="00C01E8A">
              <w:rPr>
                <w:rFonts w:ascii="Times New Roman" w:hAnsi="Times New Roman" w:eastAsia="Times New Roman" w:cs="Times New Roman"/>
                <w:sz w:val="24"/>
                <w:szCs w:val="24"/>
                <w:lang w:eastAsia="lv-LV"/>
              </w:rPr>
              <w:t>s</w:t>
            </w:r>
            <w:r w:rsidRPr="005F5035">
              <w:rPr>
                <w:rFonts w:ascii="Times New Roman" w:hAnsi="Times New Roman" w:eastAsia="Times New Roman" w:cs="Times New Roman"/>
                <w:sz w:val="24"/>
                <w:szCs w:val="24"/>
                <w:lang w:eastAsia="lv-LV"/>
              </w:rPr>
              <w:t>, Latvijas Finanšu nozares asociācija</w:t>
            </w:r>
            <w:r w:rsidR="00C01E8A">
              <w:rPr>
                <w:rFonts w:ascii="Times New Roman" w:hAnsi="Times New Roman" w:eastAsia="Times New Roman" w:cs="Times New Roman"/>
                <w:sz w:val="24"/>
                <w:szCs w:val="24"/>
                <w:lang w:eastAsia="lv-LV"/>
              </w:rPr>
              <w:t>s</w:t>
            </w:r>
            <w:r w:rsidRPr="005F5035">
              <w:rPr>
                <w:rFonts w:ascii="Times New Roman" w:hAnsi="Times New Roman" w:eastAsia="Times New Roman" w:cs="Times New Roman"/>
                <w:sz w:val="24"/>
                <w:szCs w:val="24"/>
                <w:lang w:eastAsia="lv-LV"/>
              </w:rPr>
              <w:t>, Latvijas maksātnespējas procesa administratoru asociācija</w:t>
            </w:r>
            <w:r w:rsidR="00C01E8A">
              <w:rPr>
                <w:rFonts w:ascii="Times New Roman" w:hAnsi="Times New Roman" w:eastAsia="Times New Roman" w:cs="Times New Roman"/>
                <w:sz w:val="24"/>
                <w:szCs w:val="24"/>
                <w:lang w:eastAsia="lv-LV"/>
              </w:rPr>
              <w:t>s</w:t>
            </w:r>
            <w:r w:rsidRPr="005F5035">
              <w:rPr>
                <w:rFonts w:ascii="Times New Roman" w:hAnsi="Times New Roman" w:eastAsia="Times New Roman" w:cs="Times New Roman"/>
                <w:sz w:val="24"/>
                <w:szCs w:val="24"/>
                <w:lang w:eastAsia="lv-LV"/>
              </w:rPr>
              <w:t>, Latvijas Zvērinātu advokātu padome</w:t>
            </w:r>
            <w:r w:rsidR="00C01E8A">
              <w:rPr>
                <w:rFonts w:ascii="Times New Roman" w:hAnsi="Times New Roman" w:eastAsia="Times New Roman" w:cs="Times New Roman"/>
                <w:sz w:val="24"/>
                <w:szCs w:val="24"/>
                <w:lang w:eastAsia="lv-LV"/>
              </w:rPr>
              <w:t xml:space="preserve">s un </w:t>
            </w:r>
            <w:r w:rsidRPr="005F5035">
              <w:rPr>
                <w:rFonts w:ascii="Times New Roman" w:hAnsi="Times New Roman" w:eastAsia="Times New Roman" w:cs="Times New Roman"/>
                <w:sz w:val="24"/>
                <w:szCs w:val="24"/>
                <w:lang w:eastAsia="lv-LV"/>
              </w:rPr>
              <w:t>Banku augstskola</w:t>
            </w:r>
            <w:r w:rsidR="00C01E8A">
              <w:rPr>
                <w:rFonts w:ascii="Times New Roman" w:hAnsi="Times New Roman" w:eastAsia="Times New Roman" w:cs="Times New Roman"/>
                <w:sz w:val="24"/>
                <w:szCs w:val="24"/>
                <w:lang w:eastAsia="lv-LV"/>
              </w:rPr>
              <w:t>s pārstāvji</w:t>
            </w:r>
            <w:r w:rsidRPr="005F5035">
              <w:rPr>
                <w:rFonts w:ascii="Times New Roman" w:hAnsi="Times New Roman" w:eastAsia="Times New Roman" w:cs="Times New Roman"/>
                <w:sz w:val="24"/>
                <w:szCs w:val="24"/>
                <w:lang w:eastAsia="lv-LV"/>
              </w:rPr>
              <w:t>.</w:t>
            </w:r>
          </w:p>
        </w:tc>
      </w:tr>
      <w:tr w:rsidRPr="004607C0" w:rsidR="004607C0" w:rsidTr="00960ED3"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372BC62F"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255EBB17"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00A218D7" w:rsidP="001440EA" w:rsidRDefault="00FD7465" w14:paraId="41039070" w14:textId="5A8867D9">
            <w:pPr>
              <w:spacing w:after="0" w:line="240" w:lineRule="auto"/>
              <w:ind w:firstLine="284"/>
              <w:jc w:val="both"/>
              <w:rPr>
                <w:rFonts w:ascii="Times New Roman" w:hAnsi="Times New Roman" w:eastAsia="Times New Roman" w:cs="Times New Roman"/>
                <w:sz w:val="24"/>
                <w:szCs w:val="24"/>
                <w:lang w:eastAsia="lv-LV"/>
              </w:rPr>
            </w:pPr>
            <w:r w:rsidRPr="00FD7465">
              <w:rPr>
                <w:rFonts w:ascii="Times New Roman" w:hAnsi="Times New Roman" w:eastAsia="Times New Roman" w:cs="Times New Roman"/>
                <w:sz w:val="24"/>
                <w:szCs w:val="24"/>
                <w:lang w:eastAsia="lv-LV"/>
              </w:rPr>
              <w:t>Reģistra Konsultatīvās padomes locekļiem 2021</w:t>
            </w:r>
            <w:r w:rsidR="00C01E8A">
              <w:rPr>
                <w:rFonts w:ascii="Times New Roman" w:hAnsi="Times New Roman" w:eastAsia="Times New Roman" w:cs="Times New Roman"/>
                <w:sz w:val="24"/>
                <w:szCs w:val="24"/>
                <w:lang w:eastAsia="lv-LV"/>
              </w:rPr>
              <w:t> gada 19. jūlija</w:t>
            </w:r>
            <w:r w:rsidRPr="00FD7465">
              <w:rPr>
                <w:rFonts w:ascii="Times New Roman" w:hAnsi="Times New Roman" w:eastAsia="Times New Roman" w:cs="Times New Roman"/>
                <w:sz w:val="24"/>
                <w:szCs w:val="24"/>
                <w:lang w:eastAsia="lv-LV"/>
              </w:rPr>
              <w:t xml:space="preserve"> sēdē tika prezentēti plānotie valsts nodevu apmēri, kas ir ietverti Projektā</w:t>
            </w:r>
            <w:r w:rsidR="001440EA">
              <w:rPr>
                <w:rFonts w:ascii="Times New Roman" w:hAnsi="Times New Roman" w:eastAsia="Times New Roman" w:cs="Times New Roman"/>
                <w:sz w:val="24"/>
                <w:szCs w:val="24"/>
                <w:lang w:eastAsia="lv-LV"/>
              </w:rPr>
              <w:t xml:space="preserve">, kā arī </w:t>
            </w:r>
            <w:r w:rsidRPr="00FD7465">
              <w:rPr>
                <w:rFonts w:ascii="Times New Roman" w:hAnsi="Times New Roman" w:eastAsia="Times New Roman" w:cs="Times New Roman"/>
                <w:sz w:val="24"/>
                <w:szCs w:val="24"/>
                <w:lang w:eastAsia="lv-LV"/>
              </w:rPr>
              <w:t>sniegta informācija arī par administratīvajiem izdevumiem, kas iestādei rodas, sniedzot konkrētos pakalpojumus. Sēdes laikā iebildumi par Projektu netika saņemti. Tika saņemts ierosinājums paaugstināt valsts nodevu apmērus, kas saistīti ar reorganizācijas darbībām, tuvinot valsts nodevu apmērus administratīvajiem izdevumiem. Minētais ieteikums tika ņemts vērā, un attiecīgi ir precizēts Projekts</w:t>
            </w:r>
            <w:r>
              <w:rPr>
                <w:rFonts w:ascii="Times New Roman" w:hAnsi="Times New Roman" w:eastAsia="Times New Roman" w:cs="Times New Roman"/>
                <w:sz w:val="24"/>
                <w:szCs w:val="24"/>
                <w:lang w:eastAsia="lv-LV"/>
              </w:rPr>
              <w:t>.</w:t>
            </w:r>
          </w:p>
          <w:p w:rsidR="001440EA" w:rsidP="001440EA" w:rsidRDefault="001440EA" w14:paraId="75C850D6" w14:textId="028FB0C0">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Citi priekšlikumi vai iebildumi par Projektu Reģistrā nav saņemti.</w:t>
            </w:r>
          </w:p>
          <w:p w:rsidRPr="00A218D7" w:rsidR="001440EA" w:rsidP="00C01E8A" w:rsidRDefault="001440EA" w14:paraId="3E3C15CE" w14:textId="7ED15DAC">
            <w:pPr>
              <w:spacing w:after="0" w:line="240" w:lineRule="auto"/>
              <w:ind w:firstLine="284"/>
              <w:jc w:val="distribute"/>
              <w:rPr>
                <w:rFonts w:ascii="Times New Roman" w:hAnsi="Times New Roman" w:eastAsia="Times New Roman" w:cs="Times New Roman"/>
                <w:sz w:val="24"/>
                <w:szCs w:val="24"/>
                <w:lang w:eastAsia="lv-LV"/>
              </w:rPr>
            </w:pPr>
          </w:p>
        </w:tc>
      </w:tr>
      <w:tr w:rsidRPr="004607C0" w:rsidR="004D15A9" w:rsidTr="00960ED3"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5BE089B0"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lastRenderedPageBreak/>
              <w:t>4.</w:t>
            </w:r>
          </w:p>
        </w:tc>
        <w:tc>
          <w:tcPr>
            <w:tcW w:w="1389"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500F1E65"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4607C0" w:rsidR="004D15A9" w:rsidP="00910092" w:rsidRDefault="00B7504E" w14:paraId="053F0FFC" w14:textId="1E098057">
            <w:pPr>
              <w:spacing w:after="0" w:line="240" w:lineRule="auto"/>
              <w:ind w:firstLine="284"/>
              <w:jc w:val="both"/>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Nav.</w:t>
            </w:r>
          </w:p>
        </w:tc>
      </w:tr>
    </w:tbl>
    <w:p w:rsidRPr="004607C0" w:rsidR="004D15A9" w:rsidP="00DA596D" w:rsidRDefault="004D15A9" w14:paraId="569A45C0" w14:textId="5117D468">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Pr="004607C0" w:rsidR="004607C0"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4607C0"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4607C0">
              <w:rPr>
                <w:rFonts w:ascii="Times New Roman" w:hAnsi="Times New Roman" w:eastAsia="Times New Roman" w:cs="Times New Roman"/>
                <w:b/>
                <w:bCs/>
                <w:sz w:val="24"/>
                <w:szCs w:val="24"/>
                <w:lang w:eastAsia="lv-LV"/>
              </w:rPr>
              <w:t>VII. Tiesību akta projekta izpildes nodrošināšana un tās ietekme uz institūcijām</w:t>
            </w:r>
          </w:p>
        </w:tc>
      </w:tr>
      <w:tr w:rsidRPr="004607C0" w:rsidR="004607C0" w:rsidTr="001C5969"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1.</w:t>
            </w:r>
          </w:p>
        </w:tc>
        <w:tc>
          <w:tcPr>
            <w:tcW w:w="1707"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Projekta izpildē iesaistītās institūcijas</w:t>
            </w:r>
          </w:p>
        </w:tc>
        <w:tc>
          <w:tcPr>
            <w:tcW w:w="3043" w:type="pct"/>
            <w:tcBorders>
              <w:top w:val="outset" w:color="414142" w:sz="6" w:space="0"/>
              <w:left w:val="outset" w:color="414142" w:sz="6" w:space="0"/>
              <w:bottom w:val="outset" w:color="414142" w:sz="6" w:space="0"/>
              <w:right w:val="outset" w:color="414142" w:sz="6" w:space="0"/>
            </w:tcBorders>
            <w:hideMark/>
          </w:tcPr>
          <w:p w:rsidRPr="004607C0" w:rsidR="004D15A9" w:rsidP="00910092" w:rsidRDefault="00840666" w14:paraId="1AEBB4A0" w14:textId="7FA31A4F">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R</w:t>
            </w:r>
            <w:r w:rsidRPr="004607C0" w:rsidR="005576DF">
              <w:rPr>
                <w:rFonts w:ascii="Times New Roman" w:hAnsi="Times New Roman" w:eastAsia="Times New Roman" w:cs="Times New Roman"/>
                <w:sz w:val="24"/>
                <w:szCs w:val="24"/>
                <w:lang w:eastAsia="lv-LV"/>
              </w:rPr>
              <w:t>eģistrs</w:t>
            </w:r>
            <w:r w:rsidRPr="004607C0" w:rsidR="0040284F">
              <w:rPr>
                <w:rFonts w:ascii="Times New Roman" w:hAnsi="Times New Roman" w:eastAsia="Times New Roman" w:cs="Times New Roman"/>
                <w:sz w:val="24"/>
                <w:szCs w:val="24"/>
                <w:lang w:eastAsia="lv-LV"/>
              </w:rPr>
              <w:t>.</w:t>
            </w:r>
          </w:p>
        </w:tc>
      </w:tr>
      <w:tr w:rsidRPr="004607C0" w:rsidR="004607C0" w:rsidTr="001C5969"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2.</w:t>
            </w:r>
          </w:p>
        </w:tc>
        <w:tc>
          <w:tcPr>
            <w:tcW w:w="1707"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 xml:space="preserve">Projekta izpildes ietekme uz pārvaldes funkcijām un institucionālo struktūru. </w:t>
            </w:r>
          </w:p>
          <w:p w:rsidRPr="004607C0"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color="414142" w:sz="6" w:space="0"/>
              <w:left w:val="outset" w:color="414142" w:sz="6" w:space="0"/>
              <w:bottom w:val="outset" w:color="414142" w:sz="6" w:space="0"/>
              <w:right w:val="outset" w:color="414142" w:sz="6" w:space="0"/>
            </w:tcBorders>
            <w:hideMark/>
          </w:tcPr>
          <w:p w:rsidRPr="00840666" w:rsidR="00840666" w:rsidP="00840666" w:rsidRDefault="00840666" w14:paraId="23953AB7" w14:textId="77777777">
            <w:pPr>
              <w:spacing w:after="0" w:line="240" w:lineRule="auto"/>
              <w:ind w:firstLine="284"/>
              <w:jc w:val="both"/>
              <w:rPr>
                <w:rFonts w:ascii="Times New Roman" w:hAnsi="Times New Roman" w:eastAsia="Times New Roman" w:cs="Times New Roman"/>
                <w:color w:val="000000"/>
                <w:sz w:val="24"/>
                <w:szCs w:val="24"/>
                <w:lang w:eastAsia="lv-LV"/>
              </w:rPr>
            </w:pPr>
            <w:r w:rsidRPr="00840666">
              <w:rPr>
                <w:rFonts w:ascii="Times New Roman" w:hAnsi="Times New Roman" w:eastAsia="Times New Roman" w:cs="Times New Roman"/>
                <w:color w:val="000000"/>
                <w:sz w:val="24"/>
                <w:szCs w:val="24"/>
                <w:lang w:eastAsia="lv-LV"/>
              </w:rPr>
              <w:t xml:space="preserve">Projekts nerada ievērojamu ietekmi uz funkcijām un institucionālo struktūru. </w:t>
            </w:r>
          </w:p>
          <w:p w:rsidRPr="00840666" w:rsidR="00840666" w:rsidP="00910092" w:rsidRDefault="00840666" w14:paraId="003B2E15" w14:textId="4F6C94E6">
            <w:pPr>
              <w:spacing w:after="0" w:line="240" w:lineRule="auto"/>
              <w:ind w:firstLine="284"/>
              <w:jc w:val="both"/>
              <w:rPr>
                <w:rFonts w:ascii="Times New Roman" w:hAnsi="Times New Roman" w:eastAsia="Times New Roman" w:cs="Times New Roman"/>
                <w:sz w:val="24"/>
                <w:szCs w:val="24"/>
                <w:lang w:eastAsia="lv-LV"/>
              </w:rPr>
            </w:pPr>
            <w:r w:rsidRPr="00840666">
              <w:rPr>
                <w:rFonts w:ascii="Times New Roman" w:hAnsi="Times New Roman" w:eastAsia="Times New Roman" w:cs="Times New Roman"/>
                <w:color w:val="000000"/>
                <w:sz w:val="24"/>
                <w:szCs w:val="24"/>
                <w:lang w:eastAsia="lv-LV"/>
              </w:rPr>
              <w:t>Projekta rezultātā nav nepieciešama jaunu institūciju izveide, esošu institūciju likvidācija vai reorganizācija.</w:t>
            </w:r>
          </w:p>
          <w:p w:rsidRPr="004607C0" w:rsidR="00B7504E" w:rsidP="00840666" w:rsidRDefault="00B7504E" w14:paraId="020A7F09" w14:textId="797F68FC">
            <w:pPr>
              <w:spacing w:after="0" w:line="240" w:lineRule="auto"/>
              <w:ind w:firstLine="284"/>
              <w:jc w:val="both"/>
              <w:rPr>
                <w:rFonts w:ascii="Times New Roman" w:hAnsi="Times New Roman" w:eastAsia="Times New Roman" w:cs="Times New Roman"/>
                <w:sz w:val="24"/>
                <w:szCs w:val="24"/>
                <w:lang w:eastAsia="lv-LV"/>
              </w:rPr>
            </w:pPr>
          </w:p>
        </w:tc>
      </w:tr>
      <w:tr w:rsidRPr="004607C0" w:rsidR="004D15A9" w:rsidTr="001C5969"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3.</w:t>
            </w:r>
          </w:p>
        </w:tc>
        <w:tc>
          <w:tcPr>
            <w:tcW w:w="1707" w:type="pct"/>
            <w:tcBorders>
              <w:top w:val="outset" w:color="414142" w:sz="6" w:space="0"/>
              <w:left w:val="outset" w:color="414142" w:sz="6" w:space="0"/>
              <w:bottom w:val="outset" w:color="414142" w:sz="6" w:space="0"/>
              <w:right w:val="outset" w:color="414142" w:sz="6" w:space="0"/>
            </w:tcBorders>
            <w:hideMark/>
          </w:tcPr>
          <w:p w:rsidRPr="004607C0"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Cita informācija</w:t>
            </w:r>
          </w:p>
        </w:tc>
        <w:tc>
          <w:tcPr>
            <w:tcW w:w="3043" w:type="pct"/>
            <w:tcBorders>
              <w:top w:val="outset" w:color="414142" w:sz="6" w:space="0"/>
              <w:left w:val="outset" w:color="414142" w:sz="6" w:space="0"/>
              <w:bottom w:val="outset" w:color="414142" w:sz="6" w:space="0"/>
              <w:right w:val="outset" w:color="414142" w:sz="6" w:space="0"/>
            </w:tcBorders>
            <w:hideMark/>
          </w:tcPr>
          <w:p w:rsidRPr="004607C0" w:rsidR="004D15A9" w:rsidP="00910092" w:rsidRDefault="001027B1" w14:paraId="5BD54AC6" w14:textId="52E97415">
            <w:pPr>
              <w:spacing w:after="0" w:line="240" w:lineRule="auto"/>
              <w:ind w:firstLine="284"/>
              <w:jc w:val="both"/>
              <w:rPr>
                <w:rFonts w:ascii="Times New Roman" w:hAnsi="Times New Roman" w:eastAsia="Times New Roman" w:cs="Times New Roman"/>
                <w:sz w:val="24"/>
                <w:szCs w:val="24"/>
                <w:lang w:eastAsia="lv-LV"/>
              </w:rPr>
            </w:pPr>
            <w:r w:rsidRPr="004607C0">
              <w:rPr>
                <w:rFonts w:ascii="Times New Roman" w:hAnsi="Times New Roman" w:eastAsia="Times New Roman" w:cs="Times New Roman"/>
                <w:sz w:val="24"/>
                <w:szCs w:val="24"/>
                <w:lang w:eastAsia="lv-LV"/>
              </w:rPr>
              <w:t>Nav.</w:t>
            </w:r>
          </w:p>
        </w:tc>
      </w:tr>
    </w:tbl>
    <w:p w:rsidRPr="004607C0" w:rsidR="009B4C37" w:rsidP="00DA596D" w:rsidRDefault="009B4C37" w14:paraId="768DA1DA" w14:textId="03B49052">
      <w:pPr>
        <w:pStyle w:val="StyleRight"/>
        <w:spacing w:after="0"/>
        <w:ind w:firstLine="0"/>
        <w:jc w:val="both"/>
        <w:rPr>
          <w:sz w:val="24"/>
          <w:szCs w:val="24"/>
        </w:rPr>
      </w:pPr>
    </w:p>
    <w:p w:rsidRPr="004607C0" w:rsidR="00246481" w:rsidP="00DA596D" w:rsidRDefault="00246481" w14:paraId="41114E64" w14:textId="4FF9196F">
      <w:pPr>
        <w:pStyle w:val="StyleRight"/>
        <w:spacing w:after="0"/>
        <w:ind w:firstLine="0"/>
        <w:jc w:val="both"/>
        <w:rPr>
          <w:sz w:val="24"/>
          <w:szCs w:val="24"/>
        </w:rPr>
      </w:pPr>
    </w:p>
    <w:p w:rsidRPr="004607C0" w:rsidR="00246481" w:rsidP="00DA596D" w:rsidRDefault="00246481" w14:paraId="22519FA0" w14:textId="77777777">
      <w:pPr>
        <w:pStyle w:val="StyleRight"/>
        <w:spacing w:after="0"/>
        <w:ind w:firstLine="0"/>
        <w:jc w:val="both"/>
        <w:rPr>
          <w:sz w:val="24"/>
          <w:szCs w:val="24"/>
        </w:rPr>
      </w:pPr>
    </w:p>
    <w:p w:rsidR="0024029A" w:rsidP="0024029A" w:rsidRDefault="0024029A" w14:paraId="57E09CA7" w14:textId="77777777">
      <w:pPr>
        <w:spacing w:after="0" w:line="240" w:lineRule="auto"/>
        <w:jc w:val="both"/>
        <w:rPr>
          <w:rFonts w:ascii="Times New Roman" w:hAnsi="Times New Roman" w:cs="Times New Roman"/>
          <w:sz w:val="24"/>
          <w:szCs w:val="24"/>
        </w:rPr>
      </w:pPr>
      <w:r w:rsidRPr="0024029A">
        <w:rPr>
          <w:rFonts w:ascii="Times New Roman" w:hAnsi="Times New Roman" w:cs="Times New Roman"/>
          <w:sz w:val="24"/>
          <w:szCs w:val="24"/>
        </w:rPr>
        <w:t>Ministru prezidenta biedrs,</w:t>
      </w:r>
    </w:p>
    <w:p w:rsidRPr="0024029A" w:rsidR="0024029A" w:rsidP="0024029A" w:rsidRDefault="0024029A" w14:paraId="204BA872" w14:textId="50012B22">
      <w:pPr>
        <w:spacing w:after="0" w:line="240" w:lineRule="auto"/>
        <w:jc w:val="both"/>
        <w:rPr>
          <w:rFonts w:ascii="Times New Roman" w:hAnsi="Times New Roman" w:cs="Times New Roman"/>
          <w:sz w:val="24"/>
          <w:szCs w:val="24"/>
        </w:rPr>
      </w:pPr>
      <w:r w:rsidRPr="0024029A">
        <w:rPr>
          <w:rFonts w:ascii="Times New Roman" w:hAnsi="Times New Roman" w:cs="Times New Roman"/>
          <w:sz w:val="24"/>
          <w:szCs w:val="24"/>
        </w:rPr>
        <w:t>tieslietu ministrs</w:t>
      </w:r>
      <w:r w:rsidRPr="0024029A">
        <w:rPr>
          <w:rFonts w:ascii="Times New Roman" w:hAnsi="Times New Roman" w:cs="Times New Roman"/>
          <w:sz w:val="24"/>
          <w:szCs w:val="24"/>
        </w:rPr>
        <w:tab/>
      </w:r>
      <w:r w:rsidRPr="0024029A">
        <w:rPr>
          <w:rFonts w:ascii="Times New Roman" w:hAnsi="Times New Roman" w:cs="Times New Roman"/>
          <w:sz w:val="24"/>
          <w:szCs w:val="24"/>
        </w:rPr>
        <w:tab/>
      </w:r>
      <w:r w:rsidRPr="0024029A">
        <w:rPr>
          <w:rFonts w:ascii="Times New Roman" w:hAnsi="Times New Roman" w:cs="Times New Roman"/>
          <w:sz w:val="24"/>
          <w:szCs w:val="24"/>
        </w:rPr>
        <w:tab/>
      </w:r>
      <w:r w:rsidRPr="0024029A">
        <w:rPr>
          <w:rFonts w:ascii="Times New Roman" w:hAnsi="Times New Roman" w:cs="Times New Roman"/>
          <w:sz w:val="24"/>
          <w:szCs w:val="24"/>
        </w:rPr>
        <w:tab/>
      </w:r>
      <w:r w:rsidRPr="0024029A">
        <w:rPr>
          <w:rFonts w:ascii="Times New Roman" w:hAnsi="Times New Roman" w:cs="Times New Roman"/>
          <w:sz w:val="24"/>
          <w:szCs w:val="24"/>
        </w:rPr>
        <w:tab/>
      </w:r>
      <w:r w:rsidRPr="0024029A">
        <w:rPr>
          <w:rFonts w:ascii="Times New Roman" w:hAnsi="Times New Roman" w:cs="Times New Roman"/>
          <w:sz w:val="24"/>
          <w:szCs w:val="24"/>
        </w:rPr>
        <w:tab/>
      </w:r>
      <w:r w:rsidRPr="0024029A">
        <w:rPr>
          <w:rFonts w:ascii="Times New Roman" w:hAnsi="Times New Roman" w:cs="Times New Roman"/>
          <w:sz w:val="24"/>
          <w:szCs w:val="24"/>
        </w:rPr>
        <w:tab/>
        <w:t>Jānis Bordāns</w:t>
      </w:r>
    </w:p>
    <w:p w:rsidRPr="004607C0" w:rsidR="003A2A0B" w:rsidP="00DA596D" w:rsidRDefault="003A2A0B" w14:paraId="21E4DA6B" w14:textId="36C4EAAB">
      <w:pPr>
        <w:pStyle w:val="StyleRight"/>
        <w:spacing w:after="0"/>
        <w:ind w:firstLine="0"/>
        <w:jc w:val="both"/>
        <w:rPr>
          <w:sz w:val="22"/>
          <w:szCs w:val="22"/>
        </w:rPr>
      </w:pPr>
    </w:p>
    <w:p w:rsidRPr="004607C0" w:rsidR="00811D32" w:rsidP="00DA596D" w:rsidRDefault="00811D32" w14:paraId="3B6B8387" w14:textId="77777777">
      <w:pPr>
        <w:pStyle w:val="StyleRight"/>
        <w:spacing w:after="0"/>
        <w:ind w:firstLine="0"/>
        <w:jc w:val="both"/>
        <w:rPr>
          <w:sz w:val="22"/>
          <w:szCs w:val="22"/>
        </w:rPr>
      </w:pPr>
    </w:p>
    <w:p w:rsidRPr="004607C0" w:rsidR="00811D32" w:rsidP="009B4C37" w:rsidRDefault="0040284F" w14:paraId="4C6AC2ED" w14:textId="77777777">
      <w:pPr>
        <w:spacing w:after="0" w:line="240" w:lineRule="auto"/>
        <w:rPr>
          <w:rFonts w:ascii="Times New Roman" w:hAnsi="Times New Roman" w:cs="Times New Roman"/>
          <w:sz w:val="20"/>
          <w:szCs w:val="20"/>
        </w:rPr>
      </w:pPr>
      <w:r w:rsidRPr="004607C0">
        <w:rPr>
          <w:rFonts w:ascii="Times New Roman" w:hAnsi="Times New Roman" w:cs="Times New Roman"/>
          <w:sz w:val="20"/>
          <w:szCs w:val="20"/>
        </w:rPr>
        <w:t>Švarc</w:t>
      </w:r>
      <w:r w:rsidRPr="004607C0" w:rsidR="00910092">
        <w:rPr>
          <w:rFonts w:ascii="Times New Roman" w:hAnsi="Times New Roman" w:cs="Times New Roman"/>
          <w:sz w:val="20"/>
          <w:szCs w:val="20"/>
        </w:rPr>
        <w:t>a 670</w:t>
      </w:r>
      <w:r w:rsidRPr="004607C0">
        <w:rPr>
          <w:rFonts w:ascii="Times New Roman" w:hAnsi="Times New Roman" w:cs="Times New Roman"/>
          <w:sz w:val="20"/>
          <w:szCs w:val="20"/>
        </w:rPr>
        <w:t>31732</w:t>
      </w:r>
    </w:p>
    <w:p w:rsidRPr="004607C0" w:rsidR="00BF327D" w:rsidP="009B4C37" w:rsidRDefault="0040284F" w14:paraId="2FBD4432" w14:textId="0A2567C1">
      <w:pPr>
        <w:spacing w:after="0" w:line="240" w:lineRule="auto"/>
        <w:rPr>
          <w:rFonts w:ascii="Times New Roman" w:hAnsi="Times New Roman" w:cs="Times New Roman"/>
          <w:b/>
          <w:sz w:val="20"/>
          <w:szCs w:val="20"/>
        </w:rPr>
      </w:pPr>
      <w:r w:rsidRPr="004607C0">
        <w:rPr>
          <w:rFonts w:ascii="Times New Roman" w:hAnsi="Times New Roman" w:cs="Times New Roman"/>
          <w:sz w:val="20"/>
          <w:szCs w:val="20"/>
        </w:rPr>
        <w:t>Dzintra.Svarca</w:t>
      </w:r>
      <w:r w:rsidRPr="004607C0" w:rsidR="002A41A5">
        <w:rPr>
          <w:rFonts w:ascii="Times New Roman" w:hAnsi="Times New Roman" w:cs="Times New Roman"/>
          <w:sz w:val="20"/>
          <w:szCs w:val="20"/>
        </w:rPr>
        <w:t>@</w:t>
      </w:r>
      <w:r w:rsidRPr="004607C0">
        <w:rPr>
          <w:rFonts w:ascii="Times New Roman" w:hAnsi="Times New Roman" w:cs="Times New Roman"/>
          <w:sz w:val="20"/>
          <w:szCs w:val="20"/>
        </w:rPr>
        <w:t>ur</w:t>
      </w:r>
      <w:r w:rsidRPr="004607C0" w:rsidR="00BC2633">
        <w:rPr>
          <w:rFonts w:ascii="Times New Roman" w:hAnsi="Times New Roman" w:cs="Times New Roman"/>
          <w:sz w:val="20"/>
          <w:szCs w:val="20"/>
        </w:rPr>
        <w:t>.gov.lv</w:t>
      </w:r>
    </w:p>
    <w:sectPr w:rsidRPr="004607C0" w:rsidR="00BF327D" w:rsidSect="004D15A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028F" w14:textId="77777777" w:rsidR="00C21A15" w:rsidRDefault="00C21A15" w:rsidP="004D15A9">
      <w:pPr>
        <w:spacing w:after="0" w:line="240" w:lineRule="auto"/>
      </w:pPr>
      <w:r>
        <w:separator/>
      </w:r>
    </w:p>
  </w:endnote>
  <w:endnote w:type="continuationSeparator" w:id="0">
    <w:p w14:paraId="7138A8FD" w14:textId="77777777" w:rsidR="00C21A15" w:rsidRDefault="00C21A15" w:rsidP="004D15A9">
      <w:pPr>
        <w:spacing w:after="0" w:line="240" w:lineRule="auto"/>
      </w:pPr>
      <w:r>
        <w:continuationSeparator/>
      </w:r>
    </w:p>
  </w:endnote>
  <w:endnote w:type="continuationNotice" w:id="1">
    <w:p w14:paraId="184F6838" w14:textId="77777777" w:rsidR="00C21A15" w:rsidRDefault="00C21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6B84" w14:textId="77777777" w:rsidR="004701EE" w:rsidRDefault="004701E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DDAE" w14:textId="5096FA1E" w:rsidR="00F14339" w:rsidRDefault="00C30AA9">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AC39D9">
      <w:rPr>
        <w:rFonts w:ascii="Times New Roman" w:hAnsi="Times New Roman" w:cs="Times New Roman"/>
        <w:noProof/>
        <w:sz w:val="20"/>
        <w:szCs w:val="20"/>
      </w:rPr>
      <w:t>TMAnot_060821_vnodKCL.docx</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F658" w14:textId="415CB660" w:rsidR="00C30AA9" w:rsidRPr="0042645D" w:rsidRDefault="00C30AA9" w:rsidP="0042645D">
    <w:pPr>
      <w:pStyle w:val="Kjene"/>
      <w:rPr>
        <w:rFonts w:ascii="Times New Roman" w:hAnsi="Times New Roman" w:cs="Times New Roman"/>
        <w:noProof/>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AC39D9">
      <w:rPr>
        <w:rFonts w:ascii="Times New Roman" w:hAnsi="Times New Roman" w:cs="Times New Roman"/>
        <w:noProof/>
        <w:sz w:val="20"/>
        <w:szCs w:val="20"/>
      </w:rPr>
      <w:t>TMAnot_060821_vnodKCL.docx</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2D68" w14:textId="77777777" w:rsidR="00C21A15" w:rsidRDefault="00C21A15" w:rsidP="004D15A9">
      <w:pPr>
        <w:spacing w:after="0" w:line="240" w:lineRule="auto"/>
      </w:pPr>
      <w:r>
        <w:separator/>
      </w:r>
    </w:p>
  </w:footnote>
  <w:footnote w:type="continuationSeparator" w:id="0">
    <w:p w14:paraId="3DCF6440" w14:textId="77777777" w:rsidR="00C21A15" w:rsidRDefault="00C21A15" w:rsidP="004D15A9">
      <w:pPr>
        <w:spacing w:after="0" w:line="240" w:lineRule="auto"/>
      </w:pPr>
      <w:r>
        <w:continuationSeparator/>
      </w:r>
    </w:p>
  </w:footnote>
  <w:footnote w:type="continuationNotice" w:id="1">
    <w:p w14:paraId="09BA9D1B" w14:textId="77777777" w:rsidR="00C21A15" w:rsidRDefault="00C21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1EE" w:rsidRDefault="004701EE" w14:paraId="0BF5AB75"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C30AA9" w:rsidRDefault="00C30AA9" w14:paraId="3D63889F" w14:textId="3F4BF76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rsidR="00C30AA9" w:rsidRDefault="00C30AA9" w14:paraId="2E7D154D"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1EE" w:rsidRDefault="004701EE" w14:paraId="4C0ECBF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80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7015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B66A25"/>
    <w:multiLevelType w:val="hybridMultilevel"/>
    <w:tmpl w:val="45482EA6"/>
    <w:lvl w:ilvl="0" w:tplc="119C112C">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4" w15:restartNumberingAfterBreak="0">
    <w:nsid w:val="0E3D5D4A"/>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9866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587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D437ED"/>
    <w:multiLevelType w:val="hybridMultilevel"/>
    <w:tmpl w:val="58868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52556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057E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A1661A"/>
    <w:multiLevelType w:val="hybridMultilevel"/>
    <w:tmpl w:val="9AD0B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751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F94"/>
    <w:multiLevelType w:val="hybridMultilevel"/>
    <w:tmpl w:val="012EA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2F20CF"/>
    <w:multiLevelType w:val="hybridMultilevel"/>
    <w:tmpl w:val="9454BF26"/>
    <w:lvl w:ilvl="0" w:tplc="039CBAB0">
      <w:start w:val="3"/>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4" w15:restartNumberingAfterBreak="0">
    <w:nsid w:val="298E761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B7132F"/>
    <w:multiLevelType w:val="multilevel"/>
    <w:tmpl w:val="9BE4F5F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EE22C5"/>
    <w:multiLevelType w:val="hybridMultilevel"/>
    <w:tmpl w:val="4E3CCC48"/>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7" w15:restartNumberingAfterBreak="0">
    <w:nsid w:val="2F854742"/>
    <w:multiLevelType w:val="hybridMultilevel"/>
    <w:tmpl w:val="075CC710"/>
    <w:lvl w:ilvl="0" w:tplc="479CBEBE">
      <w:start w:val="1"/>
      <w:numFmt w:val="lowerLetter"/>
      <w:lvlText w:val="%1)"/>
      <w:lvlJc w:val="left"/>
      <w:pPr>
        <w:ind w:left="1440" w:hanging="360"/>
      </w:pPr>
    </w:lvl>
    <w:lvl w:ilvl="1" w:tplc="3426FE9E">
      <w:numFmt w:val="bullet"/>
      <w:lvlText w:val="–"/>
      <w:lvlJc w:val="left"/>
      <w:pPr>
        <w:ind w:left="3210" w:hanging="1410"/>
      </w:pPr>
      <w:rPr>
        <w:rFonts w:ascii="Times New Roman" w:eastAsia="Times New Roman" w:hAnsi="Times New Roman" w:cs="Times New Roman" w:hint="default"/>
      </w:rPr>
    </w:lvl>
    <w:lvl w:ilvl="2" w:tplc="9412E876" w:tentative="1">
      <w:start w:val="1"/>
      <w:numFmt w:val="lowerRoman"/>
      <w:lvlText w:val="%3."/>
      <w:lvlJc w:val="right"/>
      <w:pPr>
        <w:ind w:left="2880" w:hanging="180"/>
      </w:pPr>
    </w:lvl>
    <w:lvl w:ilvl="3" w:tplc="A6FCB4B8" w:tentative="1">
      <w:start w:val="1"/>
      <w:numFmt w:val="decimal"/>
      <w:lvlText w:val="%4."/>
      <w:lvlJc w:val="left"/>
      <w:pPr>
        <w:ind w:left="3600" w:hanging="360"/>
      </w:pPr>
    </w:lvl>
    <w:lvl w:ilvl="4" w:tplc="AE963920" w:tentative="1">
      <w:start w:val="1"/>
      <w:numFmt w:val="lowerLetter"/>
      <w:lvlText w:val="%5."/>
      <w:lvlJc w:val="left"/>
      <w:pPr>
        <w:ind w:left="4320" w:hanging="360"/>
      </w:pPr>
    </w:lvl>
    <w:lvl w:ilvl="5" w:tplc="13EE08E6" w:tentative="1">
      <w:start w:val="1"/>
      <w:numFmt w:val="lowerRoman"/>
      <w:lvlText w:val="%6."/>
      <w:lvlJc w:val="right"/>
      <w:pPr>
        <w:ind w:left="5040" w:hanging="180"/>
      </w:pPr>
    </w:lvl>
    <w:lvl w:ilvl="6" w:tplc="B3E01624" w:tentative="1">
      <w:start w:val="1"/>
      <w:numFmt w:val="decimal"/>
      <w:lvlText w:val="%7."/>
      <w:lvlJc w:val="left"/>
      <w:pPr>
        <w:ind w:left="5760" w:hanging="360"/>
      </w:pPr>
    </w:lvl>
    <w:lvl w:ilvl="7" w:tplc="E408B996" w:tentative="1">
      <w:start w:val="1"/>
      <w:numFmt w:val="lowerLetter"/>
      <w:lvlText w:val="%8."/>
      <w:lvlJc w:val="left"/>
      <w:pPr>
        <w:ind w:left="6480" w:hanging="360"/>
      </w:pPr>
    </w:lvl>
    <w:lvl w:ilvl="8" w:tplc="2C80775E" w:tentative="1">
      <w:start w:val="1"/>
      <w:numFmt w:val="lowerRoman"/>
      <w:lvlText w:val="%9."/>
      <w:lvlJc w:val="right"/>
      <w:pPr>
        <w:ind w:left="7200" w:hanging="180"/>
      </w:pPr>
    </w:lvl>
  </w:abstractNum>
  <w:abstractNum w:abstractNumId="18" w15:restartNumberingAfterBreak="0">
    <w:nsid w:val="30CB0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2F259A"/>
    <w:multiLevelType w:val="hybridMultilevel"/>
    <w:tmpl w:val="6382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49626CA"/>
    <w:multiLevelType w:val="multilevel"/>
    <w:tmpl w:val="6DC0F52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000A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CE1269"/>
    <w:multiLevelType w:val="hybridMultilevel"/>
    <w:tmpl w:val="0E90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A076197"/>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BB098D"/>
    <w:multiLevelType w:val="multilevel"/>
    <w:tmpl w:val="C2E2E7C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6175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7F62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1E42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F872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013D9E"/>
    <w:multiLevelType w:val="hybridMultilevel"/>
    <w:tmpl w:val="63063E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11636C"/>
    <w:multiLevelType w:val="hybridMultilevel"/>
    <w:tmpl w:val="FD369C68"/>
    <w:lvl w:ilvl="0" w:tplc="04260001">
      <w:start w:val="1"/>
      <w:numFmt w:val="bullet"/>
      <w:lvlText w:val=""/>
      <w:lvlJc w:val="left"/>
      <w:pPr>
        <w:ind w:left="794" w:hanging="360"/>
      </w:pPr>
      <w:rPr>
        <w:rFonts w:ascii="Symbol" w:hAnsi="Symbol"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31" w15:restartNumberingAfterBreak="0">
    <w:nsid w:val="4C1C0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DF91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CF5DB0"/>
    <w:multiLevelType w:val="hybridMultilevel"/>
    <w:tmpl w:val="CA584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6D6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3314439"/>
    <w:multiLevelType w:val="hybridMultilevel"/>
    <w:tmpl w:val="1EDC3CDC"/>
    <w:lvl w:ilvl="0" w:tplc="04090011">
      <w:start w:val="1"/>
      <w:numFmt w:val="decimal"/>
      <w:lvlText w:val="%1)"/>
      <w:lvlJc w:val="left"/>
      <w:pPr>
        <w:ind w:left="360" w:hanging="360"/>
      </w:pPr>
    </w:lvl>
    <w:lvl w:ilvl="1" w:tplc="252C77D4">
      <w:start w:val="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4533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B05F3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7C24802"/>
    <w:multiLevelType w:val="multilevel"/>
    <w:tmpl w:val="C62075F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C574DC"/>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1" w15:restartNumberingAfterBreak="0">
    <w:nsid w:val="6B4A3CB4"/>
    <w:multiLevelType w:val="hybridMultilevel"/>
    <w:tmpl w:val="F018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717B2D"/>
    <w:multiLevelType w:val="hybridMultilevel"/>
    <w:tmpl w:val="8A7660F6"/>
    <w:lvl w:ilvl="0" w:tplc="D95C2C58">
      <w:start w:val="1"/>
      <w:numFmt w:val="lowerLetter"/>
      <w:lvlText w:val="%1)"/>
      <w:lvlJc w:val="left"/>
      <w:pPr>
        <w:ind w:left="1440" w:hanging="360"/>
      </w:pPr>
    </w:lvl>
    <w:lvl w:ilvl="1" w:tplc="A9860396">
      <w:start w:val="1"/>
      <w:numFmt w:val="lowerLetter"/>
      <w:lvlText w:val="%2."/>
      <w:lvlJc w:val="left"/>
      <w:pPr>
        <w:ind w:left="2160" w:hanging="360"/>
      </w:pPr>
    </w:lvl>
    <w:lvl w:ilvl="2" w:tplc="DCA429B8" w:tentative="1">
      <w:start w:val="1"/>
      <w:numFmt w:val="lowerRoman"/>
      <w:lvlText w:val="%3."/>
      <w:lvlJc w:val="right"/>
      <w:pPr>
        <w:ind w:left="2880" w:hanging="180"/>
      </w:pPr>
    </w:lvl>
    <w:lvl w:ilvl="3" w:tplc="CE3ED4AA" w:tentative="1">
      <w:start w:val="1"/>
      <w:numFmt w:val="decimal"/>
      <w:lvlText w:val="%4."/>
      <w:lvlJc w:val="left"/>
      <w:pPr>
        <w:ind w:left="3600" w:hanging="360"/>
      </w:pPr>
    </w:lvl>
    <w:lvl w:ilvl="4" w:tplc="01904E56" w:tentative="1">
      <w:start w:val="1"/>
      <w:numFmt w:val="lowerLetter"/>
      <w:lvlText w:val="%5."/>
      <w:lvlJc w:val="left"/>
      <w:pPr>
        <w:ind w:left="4320" w:hanging="360"/>
      </w:pPr>
    </w:lvl>
    <w:lvl w:ilvl="5" w:tplc="CE4CDE6A" w:tentative="1">
      <w:start w:val="1"/>
      <w:numFmt w:val="lowerRoman"/>
      <w:lvlText w:val="%6."/>
      <w:lvlJc w:val="right"/>
      <w:pPr>
        <w:ind w:left="5040" w:hanging="180"/>
      </w:pPr>
    </w:lvl>
    <w:lvl w:ilvl="6" w:tplc="2B92EF52" w:tentative="1">
      <w:start w:val="1"/>
      <w:numFmt w:val="decimal"/>
      <w:lvlText w:val="%7."/>
      <w:lvlJc w:val="left"/>
      <w:pPr>
        <w:ind w:left="5760" w:hanging="360"/>
      </w:pPr>
    </w:lvl>
    <w:lvl w:ilvl="7" w:tplc="B262FB7A" w:tentative="1">
      <w:start w:val="1"/>
      <w:numFmt w:val="lowerLetter"/>
      <w:lvlText w:val="%8."/>
      <w:lvlJc w:val="left"/>
      <w:pPr>
        <w:ind w:left="6480" w:hanging="360"/>
      </w:pPr>
    </w:lvl>
    <w:lvl w:ilvl="8" w:tplc="1E702ED4" w:tentative="1">
      <w:start w:val="1"/>
      <w:numFmt w:val="lowerRoman"/>
      <w:lvlText w:val="%9."/>
      <w:lvlJc w:val="right"/>
      <w:pPr>
        <w:ind w:left="7200" w:hanging="180"/>
      </w:pPr>
    </w:lvl>
  </w:abstractNum>
  <w:abstractNum w:abstractNumId="43" w15:restartNumberingAfterBreak="0">
    <w:nsid w:val="79F1622C"/>
    <w:multiLevelType w:val="hybridMultilevel"/>
    <w:tmpl w:val="8506A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6B34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530161"/>
    <w:multiLevelType w:val="hybridMultilevel"/>
    <w:tmpl w:val="7DB2B72A"/>
    <w:lvl w:ilvl="0" w:tplc="09B4AE98">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31"/>
  </w:num>
  <w:num w:numId="4">
    <w:abstractNumId w:val="0"/>
  </w:num>
  <w:num w:numId="5">
    <w:abstractNumId w:val="27"/>
  </w:num>
  <w:num w:numId="6">
    <w:abstractNumId w:val="26"/>
  </w:num>
  <w:num w:numId="7">
    <w:abstractNumId w:val="25"/>
  </w:num>
  <w:num w:numId="8">
    <w:abstractNumId w:val="32"/>
  </w:num>
  <w:num w:numId="9">
    <w:abstractNumId w:val="15"/>
  </w:num>
  <w:num w:numId="10">
    <w:abstractNumId w:val="16"/>
  </w:num>
  <w:num w:numId="11">
    <w:abstractNumId w:val="3"/>
  </w:num>
  <w:num w:numId="12">
    <w:abstractNumId w:val="28"/>
  </w:num>
  <w:num w:numId="13">
    <w:abstractNumId w:val="40"/>
  </w:num>
  <w:num w:numId="14">
    <w:abstractNumId w:val="21"/>
  </w:num>
  <w:num w:numId="15">
    <w:abstractNumId w:val="6"/>
  </w:num>
  <w:num w:numId="16">
    <w:abstractNumId w:val="36"/>
  </w:num>
  <w:num w:numId="17">
    <w:abstractNumId w:val="5"/>
  </w:num>
  <w:num w:numId="18">
    <w:abstractNumId w:val="44"/>
  </w:num>
  <w:num w:numId="19">
    <w:abstractNumId w:val="20"/>
  </w:num>
  <w:num w:numId="20">
    <w:abstractNumId w:val="34"/>
  </w:num>
  <w:num w:numId="21">
    <w:abstractNumId w:val="11"/>
  </w:num>
  <w:num w:numId="22">
    <w:abstractNumId w:val="18"/>
  </w:num>
  <w:num w:numId="23">
    <w:abstractNumId w:val="1"/>
  </w:num>
  <w:num w:numId="24">
    <w:abstractNumId w:val="2"/>
  </w:num>
  <w:num w:numId="25">
    <w:abstractNumId w:val="8"/>
  </w:num>
  <w:num w:numId="26">
    <w:abstractNumId w:val="9"/>
  </w:num>
  <w:num w:numId="27">
    <w:abstractNumId w:val="14"/>
  </w:num>
  <w:num w:numId="28">
    <w:abstractNumId w:val="23"/>
  </w:num>
  <w:num w:numId="29">
    <w:abstractNumId w:val="4"/>
  </w:num>
  <w:num w:numId="30">
    <w:abstractNumId w:val="38"/>
  </w:num>
  <w:num w:numId="31">
    <w:abstractNumId w:val="24"/>
  </w:num>
  <w:num w:numId="32">
    <w:abstractNumId w:val="39"/>
  </w:num>
  <w:num w:numId="33">
    <w:abstractNumId w:val="41"/>
  </w:num>
  <w:num w:numId="34">
    <w:abstractNumId w:val="22"/>
  </w:num>
  <w:num w:numId="35">
    <w:abstractNumId w:val="17"/>
  </w:num>
  <w:num w:numId="36">
    <w:abstractNumId w:val="42"/>
  </w:num>
  <w:num w:numId="37">
    <w:abstractNumId w:val="7"/>
  </w:num>
  <w:num w:numId="38">
    <w:abstractNumId w:val="10"/>
  </w:num>
  <w:num w:numId="39">
    <w:abstractNumId w:val="33"/>
  </w:num>
  <w:num w:numId="40">
    <w:abstractNumId w:val="43"/>
  </w:num>
  <w:num w:numId="41">
    <w:abstractNumId w:val="19"/>
  </w:num>
  <w:num w:numId="42">
    <w:abstractNumId w:val="12"/>
  </w:num>
  <w:num w:numId="43">
    <w:abstractNumId w:val="45"/>
  </w:num>
  <w:num w:numId="44">
    <w:abstractNumId w:val="29"/>
  </w:num>
  <w:num w:numId="45">
    <w:abstractNumId w:val="3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613"/>
    <w:rsid w:val="00000847"/>
    <w:rsid w:val="00002A08"/>
    <w:rsid w:val="00002D31"/>
    <w:rsid w:val="00005E3F"/>
    <w:rsid w:val="00006FD7"/>
    <w:rsid w:val="000104F7"/>
    <w:rsid w:val="0001168D"/>
    <w:rsid w:val="0001197A"/>
    <w:rsid w:val="00013BCC"/>
    <w:rsid w:val="00017A54"/>
    <w:rsid w:val="00020F87"/>
    <w:rsid w:val="000247CB"/>
    <w:rsid w:val="00030DF4"/>
    <w:rsid w:val="00031256"/>
    <w:rsid w:val="00032626"/>
    <w:rsid w:val="00032887"/>
    <w:rsid w:val="00034154"/>
    <w:rsid w:val="0003514C"/>
    <w:rsid w:val="00040689"/>
    <w:rsid w:val="00041F58"/>
    <w:rsid w:val="000456F2"/>
    <w:rsid w:val="00047CA2"/>
    <w:rsid w:val="000504F3"/>
    <w:rsid w:val="00051D6F"/>
    <w:rsid w:val="00056F94"/>
    <w:rsid w:val="00057DE7"/>
    <w:rsid w:val="000609D1"/>
    <w:rsid w:val="00064D45"/>
    <w:rsid w:val="00067528"/>
    <w:rsid w:val="00067C9D"/>
    <w:rsid w:val="00070696"/>
    <w:rsid w:val="00081B93"/>
    <w:rsid w:val="000917BD"/>
    <w:rsid w:val="000938A2"/>
    <w:rsid w:val="00093A06"/>
    <w:rsid w:val="00094EC6"/>
    <w:rsid w:val="000A5067"/>
    <w:rsid w:val="000A5838"/>
    <w:rsid w:val="000A6DB3"/>
    <w:rsid w:val="000B2848"/>
    <w:rsid w:val="000B2CEA"/>
    <w:rsid w:val="000B3104"/>
    <w:rsid w:val="000B4F2A"/>
    <w:rsid w:val="000B6D6A"/>
    <w:rsid w:val="000C2EFF"/>
    <w:rsid w:val="000C320C"/>
    <w:rsid w:val="000C5FA3"/>
    <w:rsid w:val="000C6A80"/>
    <w:rsid w:val="000C75B6"/>
    <w:rsid w:val="000D1C22"/>
    <w:rsid w:val="000D279D"/>
    <w:rsid w:val="000D2D5A"/>
    <w:rsid w:val="000D4CB7"/>
    <w:rsid w:val="000D5229"/>
    <w:rsid w:val="000D70E0"/>
    <w:rsid w:val="000D7CE5"/>
    <w:rsid w:val="000D7D3C"/>
    <w:rsid w:val="000E10BF"/>
    <w:rsid w:val="000E1ABC"/>
    <w:rsid w:val="000E2A10"/>
    <w:rsid w:val="000E336F"/>
    <w:rsid w:val="000E3461"/>
    <w:rsid w:val="000E42FD"/>
    <w:rsid w:val="000E6EBD"/>
    <w:rsid w:val="000E6F5E"/>
    <w:rsid w:val="000F04DC"/>
    <w:rsid w:val="000F6B85"/>
    <w:rsid w:val="00101CD5"/>
    <w:rsid w:val="001027B1"/>
    <w:rsid w:val="00104A6A"/>
    <w:rsid w:val="00104EBB"/>
    <w:rsid w:val="00104FC2"/>
    <w:rsid w:val="0010528D"/>
    <w:rsid w:val="00107122"/>
    <w:rsid w:val="00110C9B"/>
    <w:rsid w:val="001133BC"/>
    <w:rsid w:val="00121C35"/>
    <w:rsid w:val="001227A7"/>
    <w:rsid w:val="00122A43"/>
    <w:rsid w:val="00122EAA"/>
    <w:rsid w:val="0012310E"/>
    <w:rsid w:val="00126614"/>
    <w:rsid w:val="00127DAA"/>
    <w:rsid w:val="00130A8D"/>
    <w:rsid w:val="001354EB"/>
    <w:rsid w:val="00141F2D"/>
    <w:rsid w:val="001438ED"/>
    <w:rsid w:val="001440EA"/>
    <w:rsid w:val="001448CD"/>
    <w:rsid w:val="001512CA"/>
    <w:rsid w:val="00151EB2"/>
    <w:rsid w:val="0015438C"/>
    <w:rsid w:val="00154B7B"/>
    <w:rsid w:val="00155B4B"/>
    <w:rsid w:val="00156CBD"/>
    <w:rsid w:val="00157989"/>
    <w:rsid w:val="00161056"/>
    <w:rsid w:val="0016204A"/>
    <w:rsid w:val="0016332F"/>
    <w:rsid w:val="001637D8"/>
    <w:rsid w:val="0016570E"/>
    <w:rsid w:val="00170196"/>
    <w:rsid w:val="0017279A"/>
    <w:rsid w:val="00173FBE"/>
    <w:rsid w:val="0018262D"/>
    <w:rsid w:val="00190D0A"/>
    <w:rsid w:val="001915FB"/>
    <w:rsid w:val="00196E3A"/>
    <w:rsid w:val="001A09DA"/>
    <w:rsid w:val="001A35B1"/>
    <w:rsid w:val="001A7546"/>
    <w:rsid w:val="001B1D59"/>
    <w:rsid w:val="001B2617"/>
    <w:rsid w:val="001B29CC"/>
    <w:rsid w:val="001B2FFC"/>
    <w:rsid w:val="001B3B86"/>
    <w:rsid w:val="001B441F"/>
    <w:rsid w:val="001B4747"/>
    <w:rsid w:val="001B4AC9"/>
    <w:rsid w:val="001B6318"/>
    <w:rsid w:val="001B6983"/>
    <w:rsid w:val="001B7692"/>
    <w:rsid w:val="001C1BEA"/>
    <w:rsid w:val="001C2F53"/>
    <w:rsid w:val="001C3613"/>
    <w:rsid w:val="001C42DC"/>
    <w:rsid w:val="001C582B"/>
    <w:rsid w:val="001C5969"/>
    <w:rsid w:val="001D0371"/>
    <w:rsid w:val="001D7D3E"/>
    <w:rsid w:val="001E0AE9"/>
    <w:rsid w:val="001E3CAA"/>
    <w:rsid w:val="001E646B"/>
    <w:rsid w:val="001F3DA8"/>
    <w:rsid w:val="001F4F0A"/>
    <w:rsid w:val="00200A26"/>
    <w:rsid w:val="00203842"/>
    <w:rsid w:val="00204074"/>
    <w:rsid w:val="002078A0"/>
    <w:rsid w:val="00212680"/>
    <w:rsid w:val="00212835"/>
    <w:rsid w:val="00215DB8"/>
    <w:rsid w:val="002165DA"/>
    <w:rsid w:val="0021661A"/>
    <w:rsid w:val="00217DF3"/>
    <w:rsid w:val="00220682"/>
    <w:rsid w:val="00220AE0"/>
    <w:rsid w:val="0022110F"/>
    <w:rsid w:val="00221732"/>
    <w:rsid w:val="00230037"/>
    <w:rsid w:val="00230618"/>
    <w:rsid w:val="002328E7"/>
    <w:rsid w:val="002353C3"/>
    <w:rsid w:val="00236344"/>
    <w:rsid w:val="0024029A"/>
    <w:rsid w:val="0024334E"/>
    <w:rsid w:val="002454A7"/>
    <w:rsid w:val="00246481"/>
    <w:rsid w:val="00247DE6"/>
    <w:rsid w:val="00250DDA"/>
    <w:rsid w:val="0025372B"/>
    <w:rsid w:val="0026149D"/>
    <w:rsid w:val="00262768"/>
    <w:rsid w:val="00262EF9"/>
    <w:rsid w:val="00263F4C"/>
    <w:rsid w:val="00264745"/>
    <w:rsid w:val="00267169"/>
    <w:rsid w:val="00271EF2"/>
    <w:rsid w:val="002739F7"/>
    <w:rsid w:val="0027760C"/>
    <w:rsid w:val="00280095"/>
    <w:rsid w:val="00285C1D"/>
    <w:rsid w:val="002934C6"/>
    <w:rsid w:val="00295C55"/>
    <w:rsid w:val="002972D5"/>
    <w:rsid w:val="002A0260"/>
    <w:rsid w:val="002A0594"/>
    <w:rsid w:val="002A1FA2"/>
    <w:rsid w:val="002A41A5"/>
    <w:rsid w:val="002A5356"/>
    <w:rsid w:val="002B111B"/>
    <w:rsid w:val="002B376C"/>
    <w:rsid w:val="002B508B"/>
    <w:rsid w:val="002B50F1"/>
    <w:rsid w:val="002B57F8"/>
    <w:rsid w:val="002D1D0B"/>
    <w:rsid w:val="002D6DC7"/>
    <w:rsid w:val="002D7132"/>
    <w:rsid w:val="002E0161"/>
    <w:rsid w:val="002E3F5B"/>
    <w:rsid w:val="002E70E9"/>
    <w:rsid w:val="002F7B2B"/>
    <w:rsid w:val="003022BA"/>
    <w:rsid w:val="003029A6"/>
    <w:rsid w:val="00306ED5"/>
    <w:rsid w:val="00312735"/>
    <w:rsid w:val="0031335C"/>
    <w:rsid w:val="00313B5E"/>
    <w:rsid w:val="00320624"/>
    <w:rsid w:val="0032314F"/>
    <w:rsid w:val="00324D57"/>
    <w:rsid w:val="003256A4"/>
    <w:rsid w:val="00326184"/>
    <w:rsid w:val="00327253"/>
    <w:rsid w:val="00332B62"/>
    <w:rsid w:val="003364A0"/>
    <w:rsid w:val="0033694F"/>
    <w:rsid w:val="00337BEB"/>
    <w:rsid w:val="00340846"/>
    <w:rsid w:val="00347E6C"/>
    <w:rsid w:val="003504F4"/>
    <w:rsid w:val="00351BE4"/>
    <w:rsid w:val="0035289D"/>
    <w:rsid w:val="00356C33"/>
    <w:rsid w:val="00363DD5"/>
    <w:rsid w:val="00363FC5"/>
    <w:rsid w:val="00364C93"/>
    <w:rsid w:val="003755FF"/>
    <w:rsid w:val="00376884"/>
    <w:rsid w:val="00381F03"/>
    <w:rsid w:val="00382CA1"/>
    <w:rsid w:val="003850E3"/>
    <w:rsid w:val="003860F5"/>
    <w:rsid w:val="0039171F"/>
    <w:rsid w:val="003922B0"/>
    <w:rsid w:val="00394CCB"/>
    <w:rsid w:val="0039584C"/>
    <w:rsid w:val="00396050"/>
    <w:rsid w:val="0039707F"/>
    <w:rsid w:val="00397FAA"/>
    <w:rsid w:val="003A0095"/>
    <w:rsid w:val="003A2A0B"/>
    <w:rsid w:val="003A7173"/>
    <w:rsid w:val="003A7F6E"/>
    <w:rsid w:val="003B282C"/>
    <w:rsid w:val="003B743D"/>
    <w:rsid w:val="003C1B94"/>
    <w:rsid w:val="003C1D7D"/>
    <w:rsid w:val="003C2D80"/>
    <w:rsid w:val="003C3B91"/>
    <w:rsid w:val="003C402B"/>
    <w:rsid w:val="003D0748"/>
    <w:rsid w:val="003D2793"/>
    <w:rsid w:val="003D2D6E"/>
    <w:rsid w:val="003D3434"/>
    <w:rsid w:val="003D493C"/>
    <w:rsid w:val="003D4DD0"/>
    <w:rsid w:val="003D639D"/>
    <w:rsid w:val="003E011E"/>
    <w:rsid w:val="003E4930"/>
    <w:rsid w:val="003E51C7"/>
    <w:rsid w:val="003E5CD1"/>
    <w:rsid w:val="003E5F8F"/>
    <w:rsid w:val="003E7FB9"/>
    <w:rsid w:val="003F2B6A"/>
    <w:rsid w:val="003F53B6"/>
    <w:rsid w:val="003F71A9"/>
    <w:rsid w:val="003F7922"/>
    <w:rsid w:val="0040026E"/>
    <w:rsid w:val="0040284F"/>
    <w:rsid w:val="00402FB1"/>
    <w:rsid w:val="004118AC"/>
    <w:rsid w:val="00411933"/>
    <w:rsid w:val="0041550F"/>
    <w:rsid w:val="004173EA"/>
    <w:rsid w:val="004241F9"/>
    <w:rsid w:val="0042458E"/>
    <w:rsid w:val="0042645D"/>
    <w:rsid w:val="00431F62"/>
    <w:rsid w:val="00433333"/>
    <w:rsid w:val="00434ADF"/>
    <w:rsid w:val="00442693"/>
    <w:rsid w:val="00442E5E"/>
    <w:rsid w:val="0044346C"/>
    <w:rsid w:val="0044389B"/>
    <w:rsid w:val="00446B20"/>
    <w:rsid w:val="004523CB"/>
    <w:rsid w:val="00452866"/>
    <w:rsid w:val="00454144"/>
    <w:rsid w:val="0045475B"/>
    <w:rsid w:val="004607C0"/>
    <w:rsid w:val="00461275"/>
    <w:rsid w:val="00463254"/>
    <w:rsid w:val="00465261"/>
    <w:rsid w:val="0046591A"/>
    <w:rsid w:val="004701EE"/>
    <w:rsid w:val="00474CB1"/>
    <w:rsid w:val="00476415"/>
    <w:rsid w:val="00476841"/>
    <w:rsid w:val="004805AF"/>
    <w:rsid w:val="00480696"/>
    <w:rsid w:val="004823ED"/>
    <w:rsid w:val="00482ED7"/>
    <w:rsid w:val="00486793"/>
    <w:rsid w:val="00486D1C"/>
    <w:rsid w:val="00487C5B"/>
    <w:rsid w:val="00497212"/>
    <w:rsid w:val="004A193B"/>
    <w:rsid w:val="004A2C1E"/>
    <w:rsid w:val="004A6854"/>
    <w:rsid w:val="004A6E77"/>
    <w:rsid w:val="004B03A9"/>
    <w:rsid w:val="004B080B"/>
    <w:rsid w:val="004B2A27"/>
    <w:rsid w:val="004B32CD"/>
    <w:rsid w:val="004B3688"/>
    <w:rsid w:val="004B52F2"/>
    <w:rsid w:val="004B531E"/>
    <w:rsid w:val="004B6580"/>
    <w:rsid w:val="004C5AF9"/>
    <w:rsid w:val="004D0739"/>
    <w:rsid w:val="004D15A9"/>
    <w:rsid w:val="004D19C4"/>
    <w:rsid w:val="004D1C7A"/>
    <w:rsid w:val="004D50CB"/>
    <w:rsid w:val="004D65F0"/>
    <w:rsid w:val="004D7119"/>
    <w:rsid w:val="004D75B5"/>
    <w:rsid w:val="004E0568"/>
    <w:rsid w:val="004E15B5"/>
    <w:rsid w:val="004E1D7C"/>
    <w:rsid w:val="004E2033"/>
    <w:rsid w:val="004F3E97"/>
    <w:rsid w:val="004F4E1B"/>
    <w:rsid w:val="004F684E"/>
    <w:rsid w:val="00500369"/>
    <w:rsid w:val="005004AD"/>
    <w:rsid w:val="005005ED"/>
    <w:rsid w:val="00505CA9"/>
    <w:rsid w:val="005065C9"/>
    <w:rsid w:val="00506AC0"/>
    <w:rsid w:val="00507186"/>
    <w:rsid w:val="00507C33"/>
    <w:rsid w:val="0051161F"/>
    <w:rsid w:val="0051287D"/>
    <w:rsid w:val="0051296B"/>
    <w:rsid w:val="0051532B"/>
    <w:rsid w:val="00515600"/>
    <w:rsid w:val="00515CEE"/>
    <w:rsid w:val="005224A5"/>
    <w:rsid w:val="00530557"/>
    <w:rsid w:val="00531845"/>
    <w:rsid w:val="00531DCA"/>
    <w:rsid w:val="005359A5"/>
    <w:rsid w:val="00541BD6"/>
    <w:rsid w:val="00542303"/>
    <w:rsid w:val="00550142"/>
    <w:rsid w:val="00553626"/>
    <w:rsid w:val="00555011"/>
    <w:rsid w:val="0055645C"/>
    <w:rsid w:val="005565A7"/>
    <w:rsid w:val="005576DF"/>
    <w:rsid w:val="0056277A"/>
    <w:rsid w:val="00565480"/>
    <w:rsid w:val="0056644A"/>
    <w:rsid w:val="00571F4A"/>
    <w:rsid w:val="00573BA8"/>
    <w:rsid w:val="00574BE5"/>
    <w:rsid w:val="0057641C"/>
    <w:rsid w:val="005773B6"/>
    <w:rsid w:val="00581A78"/>
    <w:rsid w:val="00581CF1"/>
    <w:rsid w:val="005856B1"/>
    <w:rsid w:val="00586868"/>
    <w:rsid w:val="00586FC1"/>
    <w:rsid w:val="00587A4E"/>
    <w:rsid w:val="0059469D"/>
    <w:rsid w:val="005960F3"/>
    <w:rsid w:val="005A0DF1"/>
    <w:rsid w:val="005A3121"/>
    <w:rsid w:val="005A547B"/>
    <w:rsid w:val="005B0D90"/>
    <w:rsid w:val="005B7665"/>
    <w:rsid w:val="005C0F39"/>
    <w:rsid w:val="005C1699"/>
    <w:rsid w:val="005C2B5B"/>
    <w:rsid w:val="005C302E"/>
    <w:rsid w:val="005C3769"/>
    <w:rsid w:val="005C5202"/>
    <w:rsid w:val="005C66B7"/>
    <w:rsid w:val="005C6C15"/>
    <w:rsid w:val="005D0BEC"/>
    <w:rsid w:val="005D4ADF"/>
    <w:rsid w:val="005D4E8A"/>
    <w:rsid w:val="005D5E86"/>
    <w:rsid w:val="005E0AF0"/>
    <w:rsid w:val="005F0430"/>
    <w:rsid w:val="005F065B"/>
    <w:rsid w:val="005F16F3"/>
    <w:rsid w:val="005F40F2"/>
    <w:rsid w:val="005F432A"/>
    <w:rsid w:val="005F5035"/>
    <w:rsid w:val="005F7D27"/>
    <w:rsid w:val="0060114D"/>
    <w:rsid w:val="0060338A"/>
    <w:rsid w:val="006047D6"/>
    <w:rsid w:val="00607200"/>
    <w:rsid w:val="00612A92"/>
    <w:rsid w:val="00613332"/>
    <w:rsid w:val="006137A9"/>
    <w:rsid w:val="00614F8A"/>
    <w:rsid w:val="00615DB9"/>
    <w:rsid w:val="00615DBD"/>
    <w:rsid w:val="00617996"/>
    <w:rsid w:val="006179B1"/>
    <w:rsid w:val="0062412B"/>
    <w:rsid w:val="00625249"/>
    <w:rsid w:val="00626625"/>
    <w:rsid w:val="006274C0"/>
    <w:rsid w:val="006308E2"/>
    <w:rsid w:val="00630BF6"/>
    <w:rsid w:val="00630D28"/>
    <w:rsid w:val="0063191D"/>
    <w:rsid w:val="00634908"/>
    <w:rsid w:val="00642147"/>
    <w:rsid w:val="0064227B"/>
    <w:rsid w:val="006434E4"/>
    <w:rsid w:val="00645087"/>
    <w:rsid w:val="00646E1E"/>
    <w:rsid w:val="00650FCC"/>
    <w:rsid w:val="00660879"/>
    <w:rsid w:val="00660885"/>
    <w:rsid w:val="00672381"/>
    <w:rsid w:val="00672875"/>
    <w:rsid w:val="0067467C"/>
    <w:rsid w:val="006753F8"/>
    <w:rsid w:val="006778A0"/>
    <w:rsid w:val="006801FC"/>
    <w:rsid w:val="006807A4"/>
    <w:rsid w:val="00683E41"/>
    <w:rsid w:val="006846EF"/>
    <w:rsid w:val="00685710"/>
    <w:rsid w:val="00686C79"/>
    <w:rsid w:val="00687BC1"/>
    <w:rsid w:val="00687C5B"/>
    <w:rsid w:val="00687C80"/>
    <w:rsid w:val="00690B02"/>
    <w:rsid w:val="00691427"/>
    <w:rsid w:val="00691FA5"/>
    <w:rsid w:val="006A0FCD"/>
    <w:rsid w:val="006A1E65"/>
    <w:rsid w:val="006A3126"/>
    <w:rsid w:val="006A5C0A"/>
    <w:rsid w:val="006B191F"/>
    <w:rsid w:val="006B3728"/>
    <w:rsid w:val="006B3878"/>
    <w:rsid w:val="006B3DD5"/>
    <w:rsid w:val="006B45DA"/>
    <w:rsid w:val="006B502D"/>
    <w:rsid w:val="006C0F5B"/>
    <w:rsid w:val="006C1516"/>
    <w:rsid w:val="006C6554"/>
    <w:rsid w:val="006C66D0"/>
    <w:rsid w:val="006C68C6"/>
    <w:rsid w:val="006D0AF2"/>
    <w:rsid w:val="006E0073"/>
    <w:rsid w:val="006E070F"/>
    <w:rsid w:val="006E2750"/>
    <w:rsid w:val="006E50E5"/>
    <w:rsid w:val="006E6F0E"/>
    <w:rsid w:val="006E75E1"/>
    <w:rsid w:val="006F7A9C"/>
    <w:rsid w:val="007015A0"/>
    <w:rsid w:val="00701867"/>
    <w:rsid w:val="007030CE"/>
    <w:rsid w:val="00703681"/>
    <w:rsid w:val="007047F3"/>
    <w:rsid w:val="0070655E"/>
    <w:rsid w:val="0071079A"/>
    <w:rsid w:val="00711E81"/>
    <w:rsid w:val="0071656D"/>
    <w:rsid w:val="00716639"/>
    <w:rsid w:val="00720155"/>
    <w:rsid w:val="007205DD"/>
    <w:rsid w:val="00721CD6"/>
    <w:rsid w:val="00723DDD"/>
    <w:rsid w:val="00723E39"/>
    <w:rsid w:val="00725319"/>
    <w:rsid w:val="0073313F"/>
    <w:rsid w:val="0073596A"/>
    <w:rsid w:val="0073714D"/>
    <w:rsid w:val="0073730D"/>
    <w:rsid w:val="00737753"/>
    <w:rsid w:val="007412A9"/>
    <w:rsid w:val="00742200"/>
    <w:rsid w:val="00742C1C"/>
    <w:rsid w:val="00743CD2"/>
    <w:rsid w:val="0074530B"/>
    <w:rsid w:val="007454AF"/>
    <w:rsid w:val="007506E0"/>
    <w:rsid w:val="0075799D"/>
    <w:rsid w:val="00761950"/>
    <w:rsid w:val="00762613"/>
    <w:rsid w:val="00764B35"/>
    <w:rsid w:val="0076628B"/>
    <w:rsid w:val="00766EF7"/>
    <w:rsid w:val="00771138"/>
    <w:rsid w:val="00776D8F"/>
    <w:rsid w:val="00790ABB"/>
    <w:rsid w:val="00795128"/>
    <w:rsid w:val="007A0D75"/>
    <w:rsid w:val="007A0E60"/>
    <w:rsid w:val="007A1B08"/>
    <w:rsid w:val="007A2962"/>
    <w:rsid w:val="007A401D"/>
    <w:rsid w:val="007B20CB"/>
    <w:rsid w:val="007B2A27"/>
    <w:rsid w:val="007B31D0"/>
    <w:rsid w:val="007C1A9A"/>
    <w:rsid w:val="007C672D"/>
    <w:rsid w:val="007D0DDE"/>
    <w:rsid w:val="007D102D"/>
    <w:rsid w:val="007D17B2"/>
    <w:rsid w:val="007D2231"/>
    <w:rsid w:val="007E0265"/>
    <w:rsid w:val="007F007C"/>
    <w:rsid w:val="007F1D9D"/>
    <w:rsid w:val="007F276F"/>
    <w:rsid w:val="007F3583"/>
    <w:rsid w:val="007F5C9F"/>
    <w:rsid w:val="007F5CCD"/>
    <w:rsid w:val="007F6860"/>
    <w:rsid w:val="008021E9"/>
    <w:rsid w:val="00806DD5"/>
    <w:rsid w:val="00811D32"/>
    <w:rsid w:val="0081203F"/>
    <w:rsid w:val="008128B1"/>
    <w:rsid w:val="00812CEC"/>
    <w:rsid w:val="00815A00"/>
    <w:rsid w:val="00817B9A"/>
    <w:rsid w:val="0082104A"/>
    <w:rsid w:val="00822E77"/>
    <w:rsid w:val="00823DC2"/>
    <w:rsid w:val="00825B39"/>
    <w:rsid w:val="00826F32"/>
    <w:rsid w:val="00831346"/>
    <w:rsid w:val="00837D90"/>
    <w:rsid w:val="00840666"/>
    <w:rsid w:val="00840B06"/>
    <w:rsid w:val="0084151F"/>
    <w:rsid w:val="00841645"/>
    <w:rsid w:val="00841836"/>
    <w:rsid w:val="00844412"/>
    <w:rsid w:val="00844A2E"/>
    <w:rsid w:val="00845981"/>
    <w:rsid w:val="008463AA"/>
    <w:rsid w:val="0085130C"/>
    <w:rsid w:val="00854DAE"/>
    <w:rsid w:val="00855D24"/>
    <w:rsid w:val="00857AEF"/>
    <w:rsid w:val="00857E05"/>
    <w:rsid w:val="008642B6"/>
    <w:rsid w:val="00864833"/>
    <w:rsid w:val="00866725"/>
    <w:rsid w:val="0086741C"/>
    <w:rsid w:val="008700CC"/>
    <w:rsid w:val="0087249B"/>
    <w:rsid w:val="008729A0"/>
    <w:rsid w:val="00873AA0"/>
    <w:rsid w:val="0087422C"/>
    <w:rsid w:val="00876BF5"/>
    <w:rsid w:val="00876EAA"/>
    <w:rsid w:val="008826E9"/>
    <w:rsid w:val="00882C20"/>
    <w:rsid w:val="008837A0"/>
    <w:rsid w:val="00896F26"/>
    <w:rsid w:val="008A3482"/>
    <w:rsid w:val="008A3596"/>
    <w:rsid w:val="008A5D8B"/>
    <w:rsid w:val="008B1819"/>
    <w:rsid w:val="008B3710"/>
    <w:rsid w:val="008B3A84"/>
    <w:rsid w:val="008B3AE3"/>
    <w:rsid w:val="008B72DF"/>
    <w:rsid w:val="008C1BEA"/>
    <w:rsid w:val="008C389E"/>
    <w:rsid w:val="008C51FA"/>
    <w:rsid w:val="008C5488"/>
    <w:rsid w:val="008C612E"/>
    <w:rsid w:val="008D5EC5"/>
    <w:rsid w:val="008E3E55"/>
    <w:rsid w:val="008E4E93"/>
    <w:rsid w:val="008E4F98"/>
    <w:rsid w:val="008E5959"/>
    <w:rsid w:val="008E78B2"/>
    <w:rsid w:val="008F110E"/>
    <w:rsid w:val="008F3645"/>
    <w:rsid w:val="008F7F5E"/>
    <w:rsid w:val="00900EA9"/>
    <w:rsid w:val="009021C0"/>
    <w:rsid w:val="00905B77"/>
    <w:rsid w:val="00910092"/>
    <w:rsid w:val="00910094"/>
    <w:rsid w:val="009166A2"/>
    <w:rsid w:val="009207F2"/>
    <w:rsid w:val="009212C1"/>
    <w:rsid w:val="00922436"/>
    <w:rsid w:val="00926A77"/>
    <w:rsid w:val="00926E30"/>
    <w:rsid w:val="0092751A"/>
    <w:rsid w:val="0093199B"/>
    <w:rsid w:val="009340AF"/>
    <w:rsid w:val="009362D4"/>
    <w:rsid w:val="009412E5"/>
    <w:rsid w:val="0094244C"/>
    <w:rsid w:val="00943592"/>
    <w:rsid w:val="009435C3"/>
    <w:rsid w:val="00943B0C"/>
    <w:rsid w:val="00952555"/>
    <w:rsid w:val="009544B7"/>
    <w:rsid w:val="00960ED3"/>
    <w:rsid w:val="0096322A"/>
    <w:rsid w:val="0096661E"/>
    <w:rsid w:val="009723C8"/>
    <w:rsid w:val="00972521"/>
    <w:rsid w:val="00973F98"/>
    <w:rsid w:val="00975494"/>
    <w:rsid w:val="00976727"/>
    <w:rsid w:val="0097690A"/>
    <w:rsid w:val="00977B5F"/>
    <w:rsid w:val="0098080E"/>
    <w:rsid w:val="009830CF"/>
    <w:rsid w:val="009856A6"/>
    <w:rsid w:val="00985EBD"/>
    <w:rsid w:val="00996693"/>
    <w:rsid w:val="00997954"/>
    <w:rsid w:val="009B0767"/>
    <w:rsid w:val="009B39C6"/>
    <w:rsid w:val="009B4C37"/>
    <w:rsid w:val="009B68DC"/>
    <w:rsid w:val="009B71B8"/>
    <w:rsid w:val="009B7981"/>
    <w:rsid w:val="009C4FF1"/>
    <w:rsid w:val="009C7FAE"/>
    <w:rsid w:val="009D0B8C"/>
    <w:rsid w:val="009D443F"/>
    <w:rsid w:val="009D6C1C"/>
    <w:rsid w:val="009D70F7"/>
    <w:rsid w:val="009E39C1"/>
    <w:rsid w:val="009E67C1"/>
    <w:rsid w:val="009F056D"/>
    <w:rsid w:val="009F12B5"/>
    <w:rsid w:val="009F413D"/>
    <w:rsid w:val="009F4C5F"/>
    <w:rsid w:val="00A00434"/>
    <w:rsid w:val="00A04939"/>
    <w:rsid w:val="00A071C7"/>
    <w:rsid w:val="00A14DFB"/>
    <w:rsid w:val="00A168B5"/>
    <w:rsid w:val="00A218D7"/>
    <w:rsid w:val="00A23243"/>
    <w:rsid w:val="00A23620"/>
    <w:rsid w:val="00A269B0"/>
    <w:rsid w:val="00A26C15"/>
    <w:rsid w:val="00A30258"/>
    <w:rsid w:val="00A37E0E"/>
    <w:rsid w:val="00A43BD8"/>
    <w:rsid w:val="00A45E68"/>
    <w:rsid w:val="00A468F5"/>
    <w:rsid w:val="00A5194A"/>
    <w:rsid w:val="00A51B37"/>
    <w:rsid w:val="00A52E6B"/>
    <w:rsid w:val="00A55EC7"/>
    <w:rsid w:val="00A567CC"/>
    <w:rsid w:val="00A573DA"/>
    <w:rsid w:val="00A62614"/>
    <w:rsid w:val="00A63BE6"/>
    <w:rsid w:val="00A6478B"/>
    <w:rsid w:val="00A647FA"/>
    <w:rsid w:val="00A65C53"/>
    <w:rsid w:val="00A7070F"/>
    <w:rsid w:val="00A71679"/>
    <w:rsid w:val="00A71986"/>
    <w:rsid w:val="00A742EF"/>
    <w:rsid w:val="00A74CDA"/>
    <w:rsid w:val="00A80F3D"/>
    <w:rsid w:val="00A83819"/>
    <w:rsid w:val="00A91767"/>
    <w:rsid w:val="00AA1767"/>
    <w:rsid w:val="00AA44EA"/>
    <w:rsid w:val="00AA5A1C"/>
    <w:rsid w:val="00AA7B33"/>
    <w:rsid w:val="00AB0BCA"/>
    <w:rsid w:val="00AB1285"/>
    <w:rsid w:val="00AB1889"/>
    <w:rsid w:val="00AB6562"/>
    <w:rsid w:val="00AC04BA"/>
    <w:rsid w:val="00AC39D9"/>
    <w:rsid w:val="00AC425A"/>
    <w:rsid w:val="00AD19DE"/>
    <w:rsid w:val="00AD24B7"/>
    <w:rsid w:val="00AD3FA5"/>
    <w:rsid w:val="00AD7601"/>
    <w:rsid w:val="00AD7797"/>
    <w:rsid w:val="00AE22CB"/>
    <w:rsid w:val="00AE3C72"/>
    <w:rsid w:val="00AE40CA"/>
    <w:rsid w:val="00AE498C"/>
    <w:rsid w:val="00AE5199"/>
    <w:rsid w:val="00AE7883"/>
    <w:rsid w:val="00AF4DFB"/>
    <w:rsid w:val="00AF642E"/>
    <w:rsid w:val="00AF6E95"/>
    <w:rsid w:val="00AF75F6"/>
    <w:rsid w:val="00B005BE"/>
    <w:rsid w:val="00B03BF0"/>
    <w:rsid w:val="00B0434D"/>
    <w:rsid w:val="00B059F5"/>
    <w:rsid w:val="00B0774B"/>
    <w:rsid w:val="00B07F11"/>
    <w:rsid w:val="00B125EB"/>
    <w:rsid w:val="00B16691"/>
    <w:rsid w:val="00B21180"/>
    <w:rsid w:val="00B22448"/>
    <w:rsid w:val="00B27B84"/>
    <w:rsid w:val="00B32E64"/>
    <w:rsid w:val="00B33A86"/>
    <w:rsid w:val="00B33D15"/>
    <w:rsid w:val="00B35FFE"/>
    <w:rsid w:val="00B37276"/>
    <w:rsid w:val="00B37E33"/>
    <w:rsid w:val="00B427E2"/>
    <w:rsid w:val="00B44F53"/>
    <w:rsid w:val="00B474DC"/>
    <w:rsid w:val="00B51DE3"/>
    <w:rsid w:val="00B652CB"/>
    <w:rsid w:val="00B665AC"/>
    <w:rsid w:val="00B66C59"/>
    <w:rsid w:val="00B66EAD"/>
    <w:rsid w:val="00B73A09"/>
    <w:rsid w:val="00B7504E"/>
    <w:rsid w:val="00B76FD5"/>
    <w:rsid w:val="00B81769"/>
    <w:rsid w:val="00B81C6E"/>
    <w:rsid w:val="00B825E2"/>
    <w:rsid w:val="00B8350A"/>
    <w:rsid w:val="00B84A3E"/>
    <w:rsid w:val="00B8533B"/>
    <w:rsid w:val="00B862A8"/>
    <w:rsid w:val="00B865C4"/>
    <w:rsid w:val="00B8755C"/>
    <w:rsid w:val="00B87DEB"/>
    <w:rsid w:val="00B87FF2"/>
    <w:rsid w:val="00B9173B"/>
    <w:rsid w:val="00B97233"/>
    <w:rsid w:val="00BA311A"/>
    <w:rsid w:val="00BA346E"/>
    <w:rsid w:val="00BA7A27"/>
    <w:rsid w:val="00BB1F46"/>
    <w:rsid w:val="00BB58F3"/>
    <w:rsid w:val="00BB6CDA"/>
    <w:rsid w:val="00BB7794"/>
    <w:rsid w:val="00BC2633"/>
    <w:rsid w:val="00BC7CB6"/>
    <w:rsid w:val="00BD113E"/>
    <w:rsid w:val="00BD176B"/>
    <w:rsid w:val="00BD2C4F"/>
    <w:rsid w:val="00BD2C88"/>
    <w:rsid w:val="00BD3112"/>
    <w:rsid w:val="00BD3175"/>
    <w:rsid w:val="00BD3954"/>
    <w:rsid w:val="00BD631A"/>
    <w:rsid w:val="00BD6B1C"/>
    <w:rsid w:val="00BE2FD9"/>
    <w:rsid w:val="00BE49BE"/>
    <w:rsid w:val="00BE4E31"/>
    <w:rsid w:val="00BE50D2"/>
    <w:rsid w:val="00BF327D"/>
    <w:rsid w:val="00BF3A34"/>
    <w:rsid w:val="00BF53E6"/>
    <w:rsid w:val="00C0031F"/>
    <w:rsid w:val="00C01515"/>
    <w:rsid w:val="00C0181C"/>
    <w:rsid w:val="00C01C92"/>
    <w:rsid w:val="00C01E8A"/>
    <w:rsid w:val="00C03596"/>
    <w:rsid w:val="00C03B65"/>
    <w:rsid w:val="00C05684"/>
    <w:rsid w:val="00C057E5"/>
    <w:rsid w:val="00C10031"/>
    <w:rsid w:val="00C12646"/>
    <w:rsid w:val="00C13C75"/>
    <w:rsid w:val="00C1448B"/>
    <w:rsid w:val="00C1776F"/>
    <w:rsid w:val="00C17930"/>
    <w:rsid w:val="00C17D2C"/>
    <w:rsid w:val="00C21276"/>
    <w:rsid w:val="00C21A15"/>
    <w:rsid w:val="00C2496A"/>
    <w:rsid w:val="00C24BC5"/>
    <w:rsid w:val="00C24E26"/>
    <w:rsid w:val="00C25DDA"/>
    <w:rsid w:val="00C2741B"/>
    <w:rsid w:val="00C30AA9"/>
    <w:rsid w:val="00C31620"/>
    <w:rsid w:val="00C35614"/>
    <w:rsid w:val="00C36EBC"/>
    <w:rsid w:val="00C4410B"/>
    <w:rsid w:val="00C504FE"/>
    <w:rsid w:val="00C50DE2"/>
    <w:rsid w:val="00C52AB0"/>
    <w:rsid w:val="00C562BD"/>
    <w:rsid w:val="00C56459"/>
    <w:rsid w:val="00C579AF"/>
    <w:rsid w:val="00C57E5B"/>
    <w:rsid w:val="00C63EC4"/>
    <w:rsid w:val="00C642D1"/>
    <w:rsid w:val="00C647F8"/>
    <w:rsid w:val="00C716D7"/>
    <w:rsid w:val="00C71961"/>
    <w:rsid w:val="00C72BAD"/>
    <w:rsid w:val="00C7307A"/>
    <w:rsid w:val="00C760A4"/>
    <w:rsid w:val="00C76CB5"/>
    <w:rsid w:val="00C825B0"/>
    <w:rsid w:val="00C8594D"/>
    <w:rsid w:val="00C91414"/>
    <w:rsid w:val="00C91A9A"/>
    <w:rsid w:val="00C97A31"/>
    <w:rsid w:val="00C97C81"/>
    <w:rsid w:val="00CA0482"/>
    <w:rsid w:val="00CA1819"/>
    <w:rsid w:val="00CA1BB3"/>
    <w:rsid w:val="00CA72D5"/>
    <w:rsid w:val="00CB2F85"/>
    <w:rsid w:val="00CB4419"/>
    <w:rsid w:val="00CB722C"/>
    <w:rsid w:val="00CC338B"/>
    <w:rsid w:val="00CC3A09"/>
    <w:rsid w:val="00CC7F24"/>
    <w:rsid w:val="00CD1659"/>
    <w:rsid w:val="00CD1A5D"/>
    <w:rsid w:val="00CD506B"/>
    <w:rsid w:val="00CD7B3C"/>
    <w:rsid w:val="00CE009E"/>
    <w:rsid w:val="00CE1B1A"/>
    <w:rsid w:val="00CE371C"/>
    <w:rsid w:val="00CE37B4"/>
    <w:rsid w:val="00CE45F8"/>
    <w:rsid w:val="00CE495C"/>
    <w:rsid w:val="00CE5716"/>
    <w:rsid w:val="00CE6EC5"/>
    <w:rsid w:val="00CE7834"/>
    <w:rsid w:val="00CE7F9F"/>
    <w:rsid w:val="00CF124F"/>
    <w:rsid w:val="00CF4F70"/>
    <w:rsid w:val="00CF66CA"/>
    <w:rsid w:val="00CF6AFC"/>
    <w:rsid w:val="00D00E83"/>
    <w:rsid w:val="00D02166"/>
    <w:rsid w:val="00D07362"/>
    <w:rsid w:val="00D1107A"/>
    <w:rsid w:val="00D12029"/>
    <w:rsid w:val="00D1412B"/>
    <w:rsid w:val="00D16CDF"/>
    <w:rsid w:val="00D20DF1"/>
    <w:rsid w:val="00D211F4"/>
    <w:rsid w:val="00D242FF"/>
    <w:rsid w:val="00D24554"/>
    <w:rsid w:val="00D26CC7"/>
    <w:rsid w:val="00D313D5"/>
    <w:rsid w:val="00D34FC5"/>
    <w:rsid w:val="00D35F03"/>
    <w:rsid w:val="00D40D2C"/>
    <w:rsid w:val="00D444C7"/>
    <w:rsid w:val="00D5703E"/>
    <w:rsid w:val="00D57F21"/>
    <w:rsid w:val="00D66493"/>
    <w:rsid w:val="00D70A04"/>
    <w:rsid w:val="00D70FF9"/>
    <w:rsid w:val="00D7263B"/>
    <w:rsid w:val="00D772BD"/>
    <w:rsid w:val="00D82ECE"/>
    <w:rsid w:val="00D83C1F"/>
    <w:rsid w:val="00D83D20"/>
    <w:rsid w:val="00D83F32"/>
    <w:rsid w:val="00D86BC6"/>
    <w:rsid w:val="00D93C9E"/>
    <w:rsid w:val="00D9700A"/>
    <w:rsid w:val="00D975A4"/>
    <w:rsid w:val="00DA135D"/>
    <w:rsid w:val="00DA1AFE"/>
    <w:rsid w:val="00DA1EE7"/>
    <w:rsid w:val="00DA223F"/>
    <w:rsid w:val="00DA330E"/>
    <w:rsid w:val="00DA4487"/>
    <w:rsid w:val="00DA52AC"/>
    <w:rsid w:val="00DA596D"/>
    <w:rsid w:val="00DA6B90"/>
    <w:rsid w:val="00DB1933"/>
    <w:rsid w:val="00DB1F9A"/>
    <w:rsid w:val="00DB3C6D"/>
    <w:rsid w:val="00DB6318"/>
    <w:rsid w:val="00DC158E"/>
    <w:rsid w:val="00DC2181"/>
    <w:rsid w:val="00DC69E1"/>
    <w:rsid w:val="00DD31BF"/>
    <w:rsid w:val="00DD46FF"/>
    <w:rsid w:val="00DD6127"/>
    <w:rsid w:val="00DD785A"/>
    <w:rsid w:val="00DD7E90"/>
    <w:rsid w:val="00DE13A7"/>
    <w:rsid w:val="00DE59E9"/>
    <w:rsid w:val="00DE5DED"/>
    <w:rsid w:val="00DE78C6"/>
    <w:rsid w:val="00DF4ADA"/>
    <w:rsid w:val="00DF4F6C"/>
    <w:rsid w:val="00DF6EDD"/>
    <w:rsid w:val="00E01F18"/>
    <w:rsid w:val="00E02BEE"/>
    <w:rsid w:val="00E04A1F"/>
    <w:rsid w:val="00E11837"/>
    <w:rsid w:val="00E12AD4"/>
    <w:rsid w:val="00E13D80"/>
    <w:rsid w:val="00E14386"/>
    <w:rsid w:val="00E15205"/>
    <w:rsid w:val="00E17C0A"/>
    <w:rsid w:val="00E205F5"/>
    <w:rsid w:val="00E21092"/>
    <w:rsid w:val="00E21731"/>
    <w:rsid w:val="00E23A6F"/>
    <w:rsid w:val="00E257BC"/>
    <w:rsid w:val="00E34603"/>
    <w:rsid w:val="00E36694"/>
    <w:rsid w:val="00E412C5"/>
    <w:rsid w:val="00E415BA"/>
    <w:rsid w:val="00E44C94"/>
    <w:rsid w:val="00E4773F"/>
    <w:rsid w:val="00E52985"/>
    <w:rsid w:val="00E551CF"/>
    <w:rsid w:val="00E57C0D"/>
    <w:rsid w:val="00E6205C"/>
    <w:rsid w:val="00E62474"/>
    <w:rsid w:val="00E63905"/>
    <w:rsid w:val="00E6454E"/>
    <w:rsid w:val="00E6576A"/>
    <w:rsid w:val="00E67E18"/>
    <w:rsid w:val="00E70204"/>
    <w:rsid w:val="00E709EF"/>
    <w:rsid w:val="00E7676B"/>
    <w:rsid w:val="00E770A4"/>
    <w:rsid w:val="00E77354"/>
    <w:rsid w:val="00E80791"/>
    <w:rsid w:val="00E82874"/>
    <w:rsid w:val="00E846AA"/>
    <w:rsid w:val="00E87CD4"/>
    <w:rsid w:val="00E87E73"/>
    <w:rsid w:val="00E918E7"/>
    <w:rsid w:val="00E91AD6"/>
    <w:rsid w:val="00E961DA"/>
    <w:rsid w:val="00E969FA"/>
    <w:rsid w:val="00EA07A1"/>
    <w:rsid w:val="00EA334D"/>
    <w:rsid w:val="00EA53EA"/>
    <w:rsid w:val="00EB1BE0"/>
    <w:rsid w:val="00EB2980"/>
    <w:rsid w:val="00EB3C2A"/>
    <w:rsid w:val="00EB3F97"/>
    <w:rsid w:val="00EB50A7"/>
    <w:rsid w:val="00EB5A83"/>
    <w:rsid w:val="00EB5F5B"/>
    <w:rsid w:val="00EB68F4"/>
    <w:rsid w:val="00EB6FD2"/>
    <w:rsid w:val="00EB7B81"/>
    <w:rsid w:val="00EC1674"/>
    <w:rsid w:val="00EC2D9A"/>
    <w:rsid w:val="00ED02D8"/>
    <w:rsid w:val="00ED15C5"/>
    <w:rsid w:val="00ED1A76"/>
    <w:rsid w:val="00ED2168"/>
    <w:rsid w:val="00ED573E"/>
    <w:rsid w:val="00ED60FB"/>
    <w:rsid w:val="00ED7320"/>
    <w:rsid w:val="00ED73EB"/>
    <w:rsid w:val="00EE2955"/>
    <w:rsid w:val="00EE2D34"/>
    <w:rsid w:val="00EE4122"/>
    <w:rsid w:val="00EE44FA"/>
    <w:rsid w:val="00EF7632"/>
    <w:rsid w:val="00F00C68"/>
    <w:rsid w:val="00F01985"/>
    <w:rsid w:val="00F01D60"/>
    <w:rsid w:val="00F020A8"/>
    <w:rsid w:val="00F0420D"/>
    <w:rsid w:val="00F058D6"/>
    <w:rsid w:val="00F072BD"/>
    <w:rsid w:val="00F11BAE"/>
    <w:rsid w:val="00F14339"/>
    <w:rsid w:val="00F15468"/>
    <w:rsid w:val="00F24601"/>
    <w:rsid w:val="00F32052"/>
    <w:rsid w:val="00F33DAC"/>
    <w:rsid w:val="00F36FE5"/>
    <w:rsid w:val="00F50F5D"/>
    <w:rsid w:val="00F520B5"/>
    <w:rsid w:val="00F53811"/>
    <w:rsid w:val="00F56C91"/>
    <w:rsid w:val="00F64AA2"/>
    <w:rsid w:val="00F64AC1"/>
    <w:rsid w:val="00F64B23"/>
    <w:rsid w:val="00F674C8"/>
    <w:rsid w:val="00F70193"/>
    <w:rsid w:val="00F70E83"/>
    <w:rsid w:val="00F72D27"/>
    <w:rsid w:val="00F73CBB"/>
    <w:rsid w:val="00F74074"/>
    <w:rsid w:val="00F76600"/>
    <w:rsid w:val="00F76901"/>
    <w:rsid w:val="00F77DCA"/>
    <w:rsid w:val="00F84F58"/>
    <w:rsid w:val="00F85D1A"/>
    <w:rsid w:val="00F87ADA"/>
    <w:rsid w:val="00F912AC"/>
    <w:rsid w:val="00F93733"/>
    <w:rsid w:val="00F9454E"/>
    <w:rsid w:val="00F97B00"/>
    <w:rsid w:val="00FA0162"/>
    <w:rsid w:val="00FA3378"/>
    <w:rsid w:val="00FA6967"/>
    <w:rsid w:val="00FA757F"/>
    <w:rsid w:val="00FB0E50"/>
    <w:rsid w:val="00FB1E54"/>
    <w:rsid w:val="00FB2390"/>
    <w:rsid w:val="00FB2959"/>
    <w:rsid w:val="00FB37AF"/>
    <w:rsid w:val="00FD1609"/>
    <w:rsid w:val="00FD2F1D"/>
    <w:rsid w:val="00FD5FFF"/>
    <w:rsid w:val="00FD64F4"/>
    <w:rsid w:val="00FD7465"/>
    <w:rsid w:val="00FD75D9"/>
    <w:rsid w:val="00FE486E"/>
    <w:rsid w:val="00FE5E7B"/>
    <w:rsid w:val="00FF2070"/>
    <w:rsid w:val="00FF3731"/>
    <w:rsid w:val="00FF567B"/>
    <w:rsid w:val="00FF7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042E54"/>
  <w15:docId w15:val="{E67EFD44-3B08-41EF-B99F-D6FEC014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F5381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122EAA"/>
    <w:rPr>
      <w:color w:val="808080"/>
      <w:shd w:val="clear" w:color="auto" w:fill="E6E6E6"/>
    </w:rPr>
  </w:style>
  <w:style w:type="character" w:styleId="Intensvsizclums">
    <w:name w:val="Intense Emphasis"/>
    <w:basedOn w:val="Noklusjumarindkopasfonts"/>
    <w:uiPriority w:val="21"/>
    <w:qFormat/>
    <w:rsid w:val="003C3B91"/>
    <w:rPr>
      <w:i/>
      <w:iCs/>
      <w:color w:val="4F81BD" w:themeColor="accent1"/>
    </w:rPr>
  </w:style>
  <w:style w:type="paragraph" w:styleId="Vresteksts">
    <w:name w:val="footnote text"/>
    <w:basedOn w:val="Parasts"/>
    <w:link w:val="VrestekstsRakstz"/>
    <w:uiPriority w:val="99"/>
    <w:unhideWhenUsed/>
    <w:rsid w:val="0096322A"/>
    <w:pPr>
      <w:spacing w:after="0" w:line="240" w:lineRule="auto"/>
    </w:pPr>
    <w:rPr>
      <w:sz w:val="20"/>
      <w:szCs w:val="20"/>
    </w:rPr>
  </w:style>
  <w:style w:type="character" w:customStyle="1" w:styleId="VrestekstsRakstz">
    <w:name w:val="Vēres teksts Rakstz."/>
    <w:basedOn w:val="Noklusjumarindkopasfonts"/>
    <w:link w:val="Vresteksts"/>
    <w:uiPriority w:val="99"/>
    <w:rsid w:val="0096322A"/>
    <w:rPr>
      <w:sz w:val="20"/>
      <w:szCs w:val="20"/>
    </w:rPr>
  </w:style>
  <w:style w:type="character" w:styleId="Vresatsauce">
    <w:name w:val="footnote reference"/>
    <w:basedOn w:val="Noklusjumarindkopasfonts"/>
    <w:uiPriority w:val="99"/>
    <w:semiHidden/>
    <w:unhideWhenUsed/>
    <w:rsid w:val="0096322A"/>
    <w:rPr>
      <w:vertAlign w:val="superscript"/>
    </w:rPr>
  </w:style>
  <w:style w:type="paragraph" w:styleId="Prskatjums">
    <w:name w:val="Revision"/>
    <w:hidden/>
    <w:uiPriority w:val="99"/>
    <w:semiHidden/>
    <w:rsid w:val="00CB4419"/>
    <w:pPr>
      <w:spacing w:after="0" w:line="240" w:lineRule="auto"/>
    </w:pPr>
  </w:style>
  <w:style w:type="character" w:styleId="Neatrisintapieminana">
    <w:name w:val="Unresolved Mention"/>
    <w:basedOn w:val="Noklusjumarindkopasfonts"/>
    <w:uiPriority w:val="99"/>
    <w:rsid w:val="00486793"/>
    <w:rPr>
      <w:color w:val="808080"/>
      <w:shd w:val="clear" w:color="auto" w:fill="E6E6E6"/>
    </w:rPr>
  </w:style>
  <w:style w:type="character" w:customStyle="1" w:styleId="parzinis">
    <w:name w:val="parzinis"/>
    <w:basedOn w:val="Noklusjumarindkopasfonts"/>
    <w:rsid w:val="00C716D7"/>
  </w:style>
  <w:style w:type="paragraph" w:customStyle="1" w:styleId="tv2132">
    <w:name w:val="tv2132"/>
    <w:basedOn w:val="Parasts"/>
    <w:rsid w:val="002300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isbodytext">
    <w:name w:val="isbodytext"/>
    <w:basedOn w:val="Parasts"/>
    <w:rsid w:val="00790ABB"/>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ISBodyText0">
    <w:name w:val="IS Body Text"/>
    <w:basedOn w:val="Parasts"/>
    <w:link w:val="ISBodyTextChar"/>
    <w:uiPriority w:val="99"/>
    <w:qFormat/>
    <w:rsid w:val="00790ABB"/>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character" w:customStyle="1" w:styleId="ISBodyTextChar">
    <w:name w:val="IS Body Text Char"/>
    <w:link w:val="ISBodyText0"/>
    <w:uiPriority w:val="99"/>
    <w:rsid w:val="00790ABB"/>
    <w:rPr>
      <w:rFonts w:ascii="Segoe UI" w:eastAsia="MS Mincho" w:hAnsi="Segoe UI" w:cs="Segoe UI"/>
      <w:bCs/>
    </w:rPr>
  </w:style>
  <w:style w:type="paragraph" w:customStyle="1" w:styleId="tv213">
    <w:name w:val="tv213"/>
    <w:basedOn w:val="Parasts"/>
    <w:rsid w:val="00CF66C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B04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F53811"/>
    <w:rPr>
      <w:rFonts w:ascii="Times New Roman" w:eastAsia="Times New Roman" w:hAnsi="Times New Roman" w:cs="Times New Roman"/>
      <w:b/>
      <w:bCs/>
      <w:sz w:val="27"/>
      <w:szCs w:val="27"/>
      <w:lang w:eastAsia="lv-LV"/>
    </w:rPr>
  </w:style>
  <w:style w:type="paragraph" w:customStyle="1" w:styleId="liknoteik">
    <w:name w:val="lik_noteik"/>
    <w:basedOn w:val="Parasts"/>
    <w:rsid w:val="00F538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F5381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8897">
      <w:bodyDiv w:val="1"/>
      <w:marLeft w:val="0"/>
      <w:marRight w:val="0"/>
      <w:marTop w:val="0"/>
      <w:marBottom w:val="0"/>
      <w:divBdr>
        <w:top w:val="none" w:sz="0" w:space="0" w:color="auto"/>
        <w:left w:val="none" w:sz="0" w:space="0" w:color="auto"/>
        <w:bottom w:val="none" w:sz="0" w:space="0" w:color="auto"/>
        <w:right w:val="none" w:sz="0" w:space="0" w:color="auto"/>
      </w:divBdr>
    </w:div>
    <w:div w:id="7301191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1916330">
      <w:bodyDiv w:val="1"/>
      <w:marLeft w:val="0"/>
      <w:marRight w:val="0"/>
      <w:marTop w:val="0"/>
      <w:marBottom w:val="0"/>
      <w:divBdr>
        <w:top w:val="none" w:sz="0" w:space="0" w:color="auto"/>
        <w:left w:val="none" w:sz="0" w:space="0" w:color="auto"/>
        <w:bottom w:val="none" w:sz="0" w:space="0" w:color="auto"/>
        <w:right w:val="none" w:sz="0" w:space="0" w:color="auto"/>
      </w:divBdr>
    </w:div>
    <w:div w:id="250242060">
      <w:bodyDiv w:val="1"/>
      <w:marLeft w:val="0"/>
      <w:marRight w:val="0"/>
      <w:marTop w:val="0"/>
      <w:marBottom w:val="0"/>
      <w:divBdr>
        <w:top w:val="none" w:sz="0" w:space="0" w:color="auto"/>
        <w:left w:val="none" w:sz="0" w:space="0" w:color="auto"/>
        <w:bottom w:val="none" w:sz="0" w:space="0" w:color="auto"/>
        <w:right w:val="none" w:sz="0" w:space="0" w:color="auto"/>
      </w:divBdr>
    </w:div>
    <w:div w:id="250629130">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385640033">
      <w:bodyDiv w:val="1"/>
      <w:marLeft w:val="0"/>
      <w:marRight w:val="0"/>
      <w:marTop w:val="0"/>
      <w:marBottom w:val="0"/>
      <w:divBdr>
        <w:top w:val="none" w:sz="0" w:space="0" w:color="auto"/>
        <w:left w:val="none" w:sz="0" w:space="0" w:color="auto"/>
        <w:bottom w:val="none" w:sz="0" w:space="0" w:color="auto"/>
        <w:right w:val="none" w:sz="0" w:space="0" w:color="auto"/>
      </w:divBdr>
    </w:div>
    <w:div w:id="390036680">
      <w:bodyDiv w:val="1"/>
      <w:marLeft w:val="0"/>
      <w:marRight w:val="0"/>
      <w:marTop w:val="0"/>
      <w:marBottom w:val="0"/>
      <w:divBdr>
        <w:top w:val="none" w:sz="0" w:space="0" w:color="auto"/>
        <w:left w:val="none" w:sz="0" w:space="0" w:color="auto"/>
        <w:bottom w:val="none" w:sz="0" w:space="0" w:color="auto"/>
        <w:right w:val="none" w:sz="0" w:space="0" w:color="auto"/>
      </w:divBdr>
    </w:div>
    <w:div w:id="437870337">
      <w:bodyDiv w:val="1"/>
      <w:marLeft w:val="0"/>
      <w:marRight w:val="0"/>
      <w:marTop w:val="0"/>
      <w:marBottom w:val="0"/>
      <w:divBdr>
        <w:top w:val="none" w:sz="0" w:space="0" w:color="auto"/>
        <w:left w:val="none" w:sz="0" w:space="0" w:color="auto"/>
        <w:bottom w:val="none" w:sz="0" w:space="0" w:color="auto"/>
        <w:right w:val="none" w:sz="0" w:space="0" w:color="auto"/>
      </w:divBdr>
      <w:divsChild>
        <w:div w:id="397822111">
          <w:marLeft w:val="0"/>
          <w:marRight w:val="0"/>
          <w:marTop w:val="0"/>
          <w:marBottom w:val="0"/>
          <w:divBdr>
            <w:top w:val="none" w:sz="0" w:space="0" w:color="auto"/>
            <w:left w:val="none" w:sz="0" w:space="0" w:color="auto"/>
            <w:bottom w:val="none" w:sz="0" w:space="0" w:color="auto"/>
            <w:right w:val="none" w:sz="0" w:space="0" w:color="auto"/>
          </w:divBdr>
          <w:divsChild>
            <w:div w:id="690648957">
              <w:marLeft w:val="0"/>
              <w:marRight w:val="0"/>
              <w:marTop w:val="0"/>
              <w:marBottom w:val="0"/>
              <w:divBdr>
                <w:top w:val="none" w:sz="0" w:space="0" w:color="auto"/>
                <w:left w:val="none" w:sz="0" w:space="0" w:color="auto"/>
                <w:bottom w:val="none" w:sz="0" w:space="0" w:color="auto"/>
                <w:right w:val="none" w:sz="0" w:space="0" w:color="auto"/>
              </w:divBdr>
              <w:divsChild>
                <w:div w:id="1068727439">
                  <w:marLeft w:val="0"/>
                  <w:marRight w:val="0"/>
                  <w:marTop w:val="0"/>
                  <w:marBottom w:val="0"/>
                  <w:divBdr>
                    <w:top w:val="none" w:sz="0" w:space="0" w:color="auto"/>
                    <w:left w:val="none" w:sz="0" w:space="0" w:color="auto"/>
                    <w:bottom w:val="none" w:sz="0" w:space="0" w:color="auto"/>
                    <w:right w:val="none" w:sz="0" w:space="0" w:color="auto"/>
                  </w:divBdr>
                  <w:divsChild>
                    <w:div w:id="586886329">
                      <w:marLeft w:val="0"/>
                      <w:marRight w:val="0"/>
                      <w:marTop w:val="0"/>
                      <w:marBottom w:val="0"/>
                      <w:divBdr>
                        <w:top w:val="none" w:sz="0" w:space="0" w:color="auto"/>
                        <w:left w:val="none" w:sz="0" w:space="0" w:color="auto"/>
                        <w:bottom w:val="none" w:sz="0" w:space="0" w:color="auto"/>
                        <w:right w:val="none" w:sz="0" w:space="0" w:color="auto"/>
                      </w:divBdr>
                      <w:divsChild>
                        <w:div w:id="1052315574">
                          <w:marLeft w:val="0"/>
                          <w:marRight w:val="0"/>
                          <w:marTop w:val="0"/>
                          <w:marBottom w:val="0"/>
                          <w:divBdr>
                            <w:top w:val="none" w:sz="0" w:space="0" w:color="auto"/>
                            <w:left w:val="none" w:sz="0" w:space="0" w:color="auto"/>
                            <w:bottom w:val="none" w:sz="0" w:space="0" w:color="auto"/>
                            <w:right w:val="none" w:sz="0" w:space="0" w:color="auto"/>
                          </w:divBdr>
                          <w:divsChild>
                            <w:div w:id="93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07227">
      <w:bodyDiv w:val="1"/>
      <w:marLeft w:val="0"/>
      <w:marRight w:val="0"/>
      <w:marTop w:val="0"/>
      <w:marBottom w:val="0"/>
      <w:divBdr>
        <w:top w:val="none" w:sz="0" w:space="0" w:color="auto"/>
        <w:left w:val="none" w:sz="0" w:space="0" w:color="auto"/>
        <w:bottom w:val="none" w:sz="0" w:space="0" w:color="auto"/>
        <w:right w:val="none" w:sz="0" w:space="0" w:color="auto"/>
      </w:divBdr>
      <w:divsChild>
        <w:div w:id="652220862">
          <w:marLeft w:val="0"/>
          <w:marRight w:val="0"/>
          <w:marTop w:val="0"/>
          <w:marBottom w:val="0"/>
          <w:divBdr>
            <w:top w:val="none" w:sz="0" w:space="0" w:color="auto"/>
            <w:left w:val="none" w:sz="0" w:space="0" w:color="auto"/>
            <w:bottom w:val="none" w:sz="0" w:space="0" w:color="auto"/>
            <w:right w:val="none" w:sz="0" w:space="0" w:color="auto"/>
          </w:divBdr>
          <w:divsChild>
            <w:div w:id="5704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744">
      <w:bodyDiv w:val="1"/>
      <w:marLeft w:val="0"/>
      <w:marRight w:val="0"/>
      <w:marTop w:val="0"/>
      <w:marBottom w:val="0"/>
      <w:divBdr>
        <w:top w:val="none" w:sz="0" w:space="0" w:color="auto"/>
        <w:left w:val="none" w:sz="0" w:space="0" w:color="auto"/>
        <w:bottom w:val="none" w:sz="0" w:space="0" w:color="auto"/>
        <w:right w:val="none" w:sz="0" w:space="0" w:color="auto"/>
      </w:divBdr>
      <w:divsChild>
        <w:div w:id="919482602">
          <w:marLeft w:val="0"/>
          <w:marRight w:val="0"/>
          <w:marTop w:val="0"/>
          <w:marBottom w:val="0"/>
          <w:divBdr>
            <w:top w:val="none" w:sz="0" w:space="0" w:color="auto"/>
            <w:left w:val="none" w:sz="0" w:space="0" w:color="auto"/>
            <w:bottom w:val="none" w:sz="0" w:space="0" w:color="auto"/>
            <w:right w:val="none" w:sz="0" w:space="0" w:color="auto"/>
          </w:divBdr>
          <w:divsChild>
            <w:div w:id="266036826">
              <w:marLeft w:val="0"/>
              <w:marRight w:val="0"/>
              <w:marTop w:val="0"/>
              <w:marBottom w:val="0"/>
              <w:divBdr>
                <w:top w:val="none" w:sz="0" w:space="0" w:color="auto"/>
                <w:left w:val="none" w:sz="0" w:space="0" w:color="auto"/>
                <w:bottom w:val="none" w:sz="0" w:space="0" w:color="auto"/>
                <w:right w:val="none" w:sz="0" w:space="0" w:color="auto"/>
              </w:divBdr>
              <w:divsChild>
                <w:div w:id="1814447853">
                  <w:marLeft w:val="0"/>
                  <w:marRight w:val="0"/>
                  <w:marTop w:val="0"/>
                  <w:marBottom w:val="0"/>
                  <w:divBdr>
                    <w:top w:val="none" w:sz="0" w:space="0" w:color="auto"/>
                    <w:left w:val="none" w:sz="0" w:space="0" w:color="auto"/>
                    <w:bottom w:val="none" w:sz="0" w:space="0" w:color="auto"/>
                    <w:right w:val="none" w:sz="0" w:space="0" w:color="auto"/>
                  </w:divBdr>
                  <w:divsChild>
                    <w:div w:id="1244030409">
                      <w:marLeft w:val="0"/>
                      <w:marRight w:val="0"/>
                      <w:marTop w:val="0"/>
                      <w:marBottom w:val="0"/>
                      <w:divBdr>
                        <w:top w:val="none" w:sz="0" w:space="0" w:color="auto"/>
                        <w:left w:val="none" w:sz="0" w:space="0" w:color="auto"/>
                        <w:bottom w:val="none" w:sz="0" w:space="0" w:color="auto"/>
                        <w:right w:val="none" w:sz="0" w:space="0" w:color="auto"/>
                      </w:divBdr>
                      <w:divsChild>
                        <w:div w:id="1212498220">
                          <w:marLeft w:val="0"/>
                          <w:marRight w:val="0"/>
                          <w:marTop w:val="0"/>
                          <w:marBottom w:val="0"/>
                          <w:divBdr>
                            <w:top w:val="none" w:sz="0" w:space="0" w:color="auto"/>
                            <w:left w:val="none" w:sz="0" w:space="0" w:color="auto"/>
                            <w:bottom w:val="none" w:sz="0" w:space="0" w:color="auto"/>
                            <w:right w:val="none" w:sz="0" w:space="0" w:color="auto"/>
                          </w:divBdr>
                          <w:divsChild>
                            <w:div w:id="7772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47942">
      <w:bodyDiv w:val="1"/>
      <w:marLeft w:val="0"/>
      <w:marRight w:val="0"/>
      <w:marTop w:val="0"/>
      <w:marBottom w:val="0"/>
      <w:divBdr>
        <w:top w:val="none" w:sz="0" w:space="0" w:color="auto"/>
        <w:left w:val="none" w:sz="0" w:space="0" w:color="auto"/>
        <w:bottom w:val="none" w:sz="0" w:space="0" w:color="auto"/>
        <w:right w:val="none" w:sz="0" w:space="0" w:color="auto"/>
      </w:divBdr>
    </w:div>
    <w:div w:id="674460010">
      <w:bodyDiv w:val="1"/>
      <w:marLeft w:val="0"/>
      <w:marRight w:val="0"/>
      <w:marTop w:val="0"/>
      <w:marBottom w:val="0"/>
      <w:divBdr>
        <w:top w:val="none" w:sz="0" w:space="0" w:color="auto"/>
        <w:left w:val="none" w:sz="0" w:space="0" w:color="auto"/>
        <w:bottom w:val="none" w:sz="0" w:space="0" w:color="auto"/>
        <w:right w:val="none" w:sz="0" w:space="0" w:color="auto"/>
      </w:divBdr>
      <w:divsChild>
        <w:div w:id="1894803161">
          <w:marLeft w:val="0"/>
          <w:marRight w:val="0"/>
          <w:marTop w:val="0"/>
          <w:marBottom w:val="0"/>
          <w:divBdr>
            <w:top w:val="none" w:sz="0" w:space="0" w:color="auto"/>
            <w:left w:val="none" w:sz="0" w:space="0" w:color="auto"/>
            <w:bottom w:val="none" w:sz="0" w:space="0" w:color="auto"/>
            <w:right w:val="none" w:sz="0" w:space="0" w:color="auto"/>
          </w:divBdr>
          <w:divsChild>
            <w:div w:id="1659261127">
              <w:marLeft w:val="0"/>
              <w:marRight w:val="0"/>
              <w:marTop w:val="0"/>
              <w:marBottom w:val="0"/>
              <w:divBdr>
                <w:top w:val="none" w:sz="0" w:space="0" w:color="auto"/>
                <w:left w:val="none" w:sz="0" w:space="0" w:color="auto"/>
                <w:bottom w:val="none" w:sz="0" w:space="0" w:color="auto"/>
                <w:right w:val="none" w:sz="0" w:space="0" w:color="auto"/>
              </w:divBdr>
              <w:divsChild>
                <w:div w:id="1742170892">
                  <w:marLeft w:val="0"/>
                  <w:marRight w:val="0"/>
                  <w:marTop w:val="0"/>
                  <w:marBottom w:val="0"/>
                  <w:divBdr>
                    <w:top w:val="none" w:sz="0" w:space="0" w:color="auto"/>
                    <w:left w:val="none" w:sz="0" w:space="0" w:color="auto"/>
                    <w:bottom w:val="none" w:sz="0" w:space="0" w:color="auto"/>
                    <w:right w:val="none" w:sz="0" w:space="0" w:color="auto"/>
                  </w:divBdr>
                  <w:divsChild>
                    <w:div w:id="313343120">
                      <w:marLeft w:val="0"/>
                      <w:marRight w:val="0"/>
                      <w:marTop w:val="0"/>
                      <w:marBottom w:val="0"/>
                      <w:divBdr>
                        <w:top w:val="none" w:sz="0" w:space="0" w:color="auto"/>
                        <w:left w:val="none" w:sz="0" w:space="0" w:color="auto"/>
                        <w:bottom w:val="none" w:sz="0" w:space="0" w:color="auto"/>
                        <w:right w:val="none" w:sz="0" w:space="0" w:color="auto"/>
                      </w:divBdr>
                      <w:divsChild>
                        <w:div w:id="1870487360">
                          <w:marLeft w:val="0"/>
                          <w:marRight w:val="0"/>
                          <w:marTop w:val="0"/>
                          <w:marBottom w:val="0"/>
                          <w:divBdr>
                            <w:top w:val="none" w:sz="0" w:space="0" w:color="auto"/>
                            <w:left w:val="none" w:sz="0" w:space="0" w:color="auto"/>
                            <w:bottom w:val="none" w:sz="0" w:space="0" w:color="auto"/>
                            <w:right w:val="none" w:sz="0" w:space="0" w:color="auto"/>
                          </w:divBdr>
                          <w:divsChild>
                            <w:div w:id="933438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75821">
      <w:bodyDiv w:val="1"/>
      <w:marLeft w:val="0"/>
      <w:marRight w:val="0"/>
      <w:marTop w:val="0"/>
      <w:marBottom w:val="0"/>
      <w:divBdr>
        <w:top w:val="none" w:sz="0" w:space="0" w:color="auto"/>
        <w:left w:val="none" w:sz="0" w:space="0" w:color="auto"/>
        <w:bottom w:val="none" w:sz="0" w:space="0" w:color="auto"/>
        <w:right w:val="none" w:sz="0" w:space="0" w:color="auto"/>
      </w:divBdr>
    </w:div>
    <w:div w:id="729957415">
      <w:bodyDiv w:val="1"/>
      <w:marLeft w:val="0"/>
      <w:marRight w:val="0"/>
      <w:marTop w:val="0"/>
      <w:marBottom w:val="0"/>
      <w:divBdr>
        <w:top w:val="none" w:sz="0" w:space="0" w:color="auto"/>
        <w:left w:val="none" w:sz="0" w:space="0" w:color="auto"/>
        <w:bottom w:val="none" w:sz="0" w:space="0" w:color="auto"/>
        <w:right w:val="none" w:sz="0" w:space="0" w:color="auto"/>
      </w:divBdr>
      <w:divsChild>
        <w:div w:id="144397849">
          <w:marLeft w:val="0"/>
          <w:marRight w:val="0"/>
          <w:marTop w:val="0"/>
          <w:marBottom w:val="0"/>
          <w:divBdr>
            <w:top w:val="none" w:sz="0" w:space="0" w:color="auto"/>
            <w:left w:val="none" w:sz="0" w:space="0" w:color="auto"/>
            <w:bottom w:val="none" w:sz="0" w:space="0" w:color="auto"/>
            <w:right w:val="none" w:sz="0" w:space="0" w:color="auto"/>
          </w:divBdr>
          <w:divsChild>
            <w:div w:id="1937397543">
              <w:marLeft w:val="0"/>
              <w:marRight w:val="0"/>
              <w:marTop w:val="0"/>
              <w:marBottom w:val="0"/>
              <w:divBdr>
                <w:top w:val="none" w:sz="0" w:space="0" w:color="auto"/>
                <w:left w:val="none" w:sz="0" w:space="0" w:color="auto"/>
                <w:bottom w:val="none" w:sz="0" w:space="0" w:color="auto"/>
                <w:right w:val="none" w:sz="0" w:space="0" w:color="auto"/>
              </w:divBdr>
              <w:divsChild>
                <w:div w:id="398524916">
                  <w:marLeft w:val="0"/>
                  <w:marRight w:val="0"/>
                  <w:marTop w:val="0"/>
                  <w:marBottom w:val="0"/>
                  <w:divBdr>
                    <w:top w:val="none" w:sz="0" w:space="0" w:color="auto"/>
                    <w:left w:val="none" w:sz="0" w:space="0" w:color="auto"/>
                    <w:bottom w:val="none" w:sz="0" w:space="0" w:color="auto"/>
                    <w:right w:val="none" w:sz="0" w:space="0" w:color="auto"/>
                  </w:divBdr>
                  <w:divsChild>
                    <w:div w:id="907763976">
                      <w:marLeft w:val="0"/>
                      <w:marRight w:val="0"/>
                      <w:marTop w:val="0"/>
                      <w:marBottom w:val="0"/>
                      <w:divBdr>
                        <w:top w:val="none" w:sz="0" w:space="0" w:color="auto"/>
                        <w:left w:val="none" w:sz="0" w:space="0" w:color="auto"/>
                        <w:bottom w:val="none" w:sz="0" w:space="0" w:color="auto"/>
                        <w:right w:val="none" w:sz="0" w:space="0" w:color="auto"/>
                      </w:divBdr>
                      <w:divsChild>
                        <w:div w:id="112987534">
                          <w:marLeft w:val="0"/>
                          <w:marRight w:val="0"/>
                          <w:marTop w:val="0"/>
                          <w:marBottom w:val="0"/>
                          <w:divBdr>
                            <w:top w:val="none" w:sz="0" w:space="0" w:color="auto"/>
                            <w:left w:val="none" w:sz="0" w:space="0" w:color="auto"/>
                            <w:bottom w:val="none" w:sz="0" w:space="0" w:color="auto"/>
                            <w:right w:val="none" w:sz="0" w:space="0" w:color="auto"/>
                          </w:divBdr>
                          <w:divsChild>
                            <w:div w:id="1043555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593675">
      <w:bodyDiv w:val="1"/>
      <w:marLeft w:val="0"/>
      <w:marRight w:val="0"/>
      <w:marTop w:val="0"/>
      <w:marBottom w:val="0"/>
      <w:divBdr>
        <w:top w:val="none" w:sz="0" w:space="0" w:color="auto"/>
        <w:left w:val="none" w:sz="0" w:space="0" w:color="auto"/>
        <w:bottom w:val="none" w:sz="0" w:space="0" w:color="auto"/>
        <w:right w:val="none" w:sz="0" w:space="0" w:color="auto"/>
      </w:divBdr>
    </w:div>
    <w:div w:id="1034430601">
      <w:bodyDiv w:val="1"/>
      <w:marLeft w:val="0"/>
      <w:marRight w:val="0"/>
      <w:marTop w:val="0"/>
      <w:marBottom w:val="0"/>
      <w:divBdr>
        <w:top w:val="none" w:sz="0" w:space="0" w:color="auto"/>
        <w:left w:val="none" w:sz="0" w:space="0" w:color="auto"/>
        <w:bottom w:val="none" w:sz="0" w:space="0" w:color="auto"/>
        <w:right w:val="none" w:sz="0" w:space="0" w:color="auto"/>
      </w:divBdr>
    </w:div>
    <w:div w:id="1079521708">
      <w:bodyDiv w:val="1"/>
      <w:marLeft w:val="0"/>
      <w:marRight w:val="0"/>
      <w:marTop w:val="0"/>
      <w:marBottom w:val="0"/>
      <w:divBdr>
        <w:top w:val="none" w:sz="0" w:space="0" w:color="auto"/>
        <w:left w:val="none" w:sz="0" w:space="0" w:color="auto"/>
        <w:bottom w:val="none" w:sz="0" w:space="0" w:color="auto"/>
        <w:right w:val="none" w:sz="0" w:space="0" w:color="auto"/>
      </w:divBdr>
    </w:div>
    <w:div w:id="1105881273">
      <w:bodyDiv w:val="1"/>
      <w:marLeft w:val="0"/>
      <w:marRight w:val="0"/>
      <w:marTop w:val="0"/>
      <w:marBottom w:val="0"/>
      <w:divBdr>
        <w:top w:val="none" w:sz="0" w:space="0" w:color="auto"/>
        <w:left w:val="none" w:sz="0" w:space="0" w:color="auto"/>
        <w:bottom w:val="none" w:sz="0" w:space="0" w:color="auto"/>
        <w:right w:val="none" w:sz="0" w:space="0" w:color="auto"/>
      </w:divBdr>
    </w:div>
    <w:div w:id="1110584029">
      <w:bodyDiv w:val="1"/>
      <w:marLeft w:val="0"/>
      <w:marRight w:val="0"/>
      <w:marTop w:val="0"/>
      <w:marBottom w:val="0"/>
      <w:divBdr>
        <w:top w:val="none" w:sz="0" w:space="0" w:color="auto"/>
        <w:left w:val="none" w:sz="0" w:space="0" w:color="auto"/>
        <w:bottom w:val="none" w:sz="0" w:space="0" w:color="auto"/>
        <w:right w:val="none" w:sz="0" w:space="0" w:color="auto"/>
      </w:divBdr>
    </w:div>
    <w:div w:id="1133447752">
      <w:bodyDiv w:val="1"/>
      <w:marLeft w:val="0"/>
      <w:marRight w:val="0"/>
      <w:marTop w:val="0"/>
      <w:marBottom w:val="0"/>
      <w:divBdr>
        <w:top w:val="none" w:sz="0" w:space="0" w:color="auto"/>
        <w:left w:val="none" w:sz="0" w:space="0" w:color="auto"/>
        <w:bottom w:val="none" w:sz="0" w:space="0" w:color="auto"/>
        <w:right w:val="none" w:sz="0" w:space="0" w:color="auto"/>
      </w:divBdr>
    </w:div>
    <w:div w:id="1296251731">
      <w:bodyDiv w:val="1"/>
      <w:marLeft w:val="0"/>
      <w:marRight w:val="0"/>
      <w:marTop w:val="0"/>
      <w:marBottom w:val="0"/>
      <w:divBdr>
        <w:top w:val="none" w:sz="0" w:space="0" w:color="auto"/>
        <w:left w:val="none" w:sz="0" w:space="0" w:color="auto"/>
        <w:bottom w:val="none" w:sz="0" w:space="0" w:color="auto"/>
        <w:right w:val="none" w:sz="0" w:space="0" w:color="auto"/>
      </w:divBdr>
    </w:div>
    <w:div w:id="1308894356">
      <w:bodyDiv w:val="1"/>
      <w:marLeft w:val="0"/>
      <w:marRight w:val="0"/>
      <w:marTop w:val="0"/>
      <w:marBottom w:val="0"/>
      <w:divBdr>
        <w:top w:val="none" w:sz="0" w:space="0" w:color="auto"/>
        <w:left w:val="none" w:sz="0" w:space="0" w:color="auto"/>
        <w:bottom w:val="none" w:sz="0" w:space="0" w:color="auto"/>
        <w:right w:val="none" w:sz="0" w:space="0" w:color="auto"/>
      </w:divBdr>
    </w:div>
    <w:div w:id="1314406078">
      <w:bodyDiv w:val="1"/>
      <w:marLeft w:val="0"/>
      <w:marRight w:val="0"/>
      <w:marTop w:val="0"/>
      <w:marBottom w:val="0"/>
      <w:divBdr>
        <w:top w:val="none" w:sz="0" w:space="0" w:color="auto"/>
        <w:left w:val="none" w:sz="0" w:space="0" w:color="auto"/>
        <w:bottom w:val="none" w:sz="0" w:space="0" w:color="auto"/>
        <w:right w:val="none" w:sz="0" w:space="0" w:color="auto"/>
      </w:divBdr>
    </w:div>
    <w:div w:id="1365593271">
      <w:bodyDiv w:val="1"/>
      <w:marLeft w:val="0"/>
      <w:marRight w:val="0"/>
      <w:marTop w:val="0"/>
      <w:marBottom w:val="0"/>
      <w:divBdr>
        <w:top w:val="none" w:sz="0" w:space="0" w:color="auto"/>
        <w:left w:val="none" w:sz="0" w:space="0" w:color="auto"/>
        <w:bottom w:val="none" w:sz="0" w:space="0" w:color="auto"/>
        <w:right w:val="none" w:sz="0" w:space="0" w:color="auto"/>
      </w:divBdr>
      <w:divsChild>
        <w:div w:id="1507205631">
          <w:marLeft w:val="0"/>
          <w:marRight w:val="0"/>
          <w:marTop w:val="0"/>
          <w:marBottom w:val="0"/>
          <w:divBdr>
            <w:top w:val="none" w:sz="0" w:space="0" w:color="auto"/>
            <w:left w:val="none" w:sz="0" w:space="0" w:color="auto"/>
            <w:bottom w:val="none" w:sz="0" w:space="0" w:color="auto"/>
            <w:right w:val="none" w:sz="0" w:space="0" w:color="auto"/>
          </w:divBdr>
          <w:divsChild>
            <w:div w:id="1647585462">
              <w:marLeft w:val="0"/>
              <w:marRight w:val="0"/>
              <w:marTop w:val="0"/>
              <w:marBottom w:val="0"/>
              <w:divBdr>
                <w:top w:val="none" w:sz="0" w:space="0" w:color="auto"/>
                <w:left w:val="none" w:sz="0" w:space="0" w:color="auto"/>
                <w:bottom w:val="none" w:sz="0" w:space="0" w:color="auto"/>
                <w:right w:val="none" w:sz="0" w:space="0" w:color="auto"/>
              </w:divBdr>
              <w:divsChild>
                <w:div w:id="1167865952">
                  <w:marLeft w:val="0"/>
                  <w:marRight w:val="0"/>
                  <w:marTop w:val="0"/>
                  <w:marBottom w:val="0"/>
                  <w:divBdr>
                    <w:top w:val="none" w:sz="0" w:space="0" w:color="auto"/>
                    <w:left w:val="none" w:sz="0" w:space="0" w:color="auto"/>
                    <w:bottom w:val="none" w:sz="0" w:space="0" w:color="auto"/>
                    <w:right w:val="none" w:sz="0" w:space="0" w:color="auto"/>
                  </w:divBdr>
                  <w:divsChild>
                    <w:div w:id="621424552">
                      <w:marLeft w:val="0"/>
                      <w:marRight w:val="0"/>
                      <w:marTop w:val="0"/>
                      <w:marBottom w:val="0"/>
                      <w:divBdr>
                        <w:top w:val="none" w:sz="0" w:space="0" w:color="auto"/>
                        <w:left w:val="none" w:sz="0" w:space="0" w:color="auto"/>
                        <w:bottom w:val="none" w:sz="0" w:space="0" w:color="auto"/>
                        <w:right w:val="none" w:sz="0" w:space="0" w:color="auto"/>
                      </w:divBdr>
                      <w:divsChild>
                        <w:div w:id="2027823190">
                          <w:marLeft w:val="0"/>
                          <w:marRight w:val="0"/>
                          <w:marTop w:val="0"/>
                          <w:marBottom w:val="0"/>
                          <w:divBdr>
                            <w:top w:val="none" w:sz="0" w:space="0" w:color="auto"/>
                            <w:left w:val="none" w:sz="0" w:space="0" w:color="auto"/>
                            <w:bottom w:val="none" w:sz="0" w:space="0" w:color="auto"/>
                            <w:right w:val="none" w:sz="0" w:space="0" w:color="auto"/>
                          </w:divBdr>
                          <w:divsChild>
                            <w:div w:id="135379635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6532">
      <w:bodyDiv w:val="1"/>
      <w:marLeft w:val="0"/>
      <w:marRight w:val="0"/>
      <w:marTop w:val="0"/>
      <w:marBottom w:val="0"/>
      <w:divBdr>
        <w:top w:val="none" w:sz="0" w:space="0" w:color="auto"/>
        <w:left w:val="none" w:sz="0" w:space="0" w:color="auto"/>
        <w:bottom w:val="none" w:sz="0" w:space="0" w:color="auto"/>
        <w:right w:val="none" w:sz="0" w:space="0" w:color="auto"/>
      </w:divBdr>
    </w:div>
    <w:div w:id="1451124754">
      <w:bodyDiv w:val="1"/>
      <w:marLeft w:val="0"/>
      <w:marRight w:val="0"/>
      <w:marTop w:val="0"/>
      <w:marBottom w:val="0"/>
      <w:divBdr>
        <w:top w:val="none" w:sz="0" w:space="0" w:color="auto"/>
        <w:left w:val="none" w:sz="0" w:space="0" w:color="auto"/>
        <w:bottom w:val="none" w:sz="0" w:space="0" w:color="auto"/>
        <w:right w:val="none" w:sz="0" w:space="0" w:color="auto"/>
      </w:divBdr>
    </w:div>
    <w:div w:id="1510751383">
      <w:bodyDiv w:val="1"/>
      <w:marLeft w:val="0"/>
      <w:marRight w:val="0"/>
      <w:marTop w:val="0"/>
      <w:marBottom w:val="0"/>
      <w:divBdr>
        <w:top w:val="none" w:sz="0" w:space="0" w:color="auto"/>
        <w:left w:val="none" w:sz="0" w:space="0" w:color="auto"/>
        <w:bottom w:val="none" w:sz="0" w:space="0" w:color="auto"/>
        <w:right w:val="none" w:sz="0" w:space="0" w:color="auto"/>
      </w:divBdr>
      <w:divsChild>
        <w:div w:id="507260483">
          <w:marLeft w:val="0"/>
          <w:marRight w:val="0"/>
          <w:marTop w:val="0"/>
          <w:marBottom w:val="0"/>
          <w:divBdr>
            <w:top w:val="none" w:sz="0" w:space="0" w:color="auto"/>
            <w:left w:val="none" w:sz="0" w:space="0" w:color="auto"/>
            <w:bottom w:val="none" w:sz="0" w:space="0" w:color="auto"/>
            <w:right w:val="none" w:sz="0" w:space="0" w:color="auto"/>
          </w:divBdr>
          <w:divsChild>
            <w:div w:id="1603223754">
              <w:marLeft w:val="0"/>
              <w:marRight w:val="0"/>
              <w:marTop w:val="0"/>
              <w:marBottom w:val="0"/>
              <w:divBdr>
                <w:top w:val="none" w:sz="0" w:space="0" w:color="auto"/>
                <w:left w:val="none" w:sz="0" w:space="0" w:color="auto"/>
                <w:bottom w:val="none" w:sz="0" w:space="0" w:color="auto"/>
                <w:right w:val="none" w:sz="0" w:space="0" w:color="auto"/>
              </w:divBdr>
              <w:divsChild>
                <w:div w:id="1685590653">
                  <w:marLeft w:val="0"/>
                  <w:marRight w:val="0"/>
                  <w:marTop w:val="0"/>
                  <w:marBottom w:val="0"/>
                  <w:divBdr>
                    <w:top w:val="none" w:sz="0" w:space="0" w:color="auto"/>
                    <w:left w:val="none" w:sz="0" w:space="0" w:color="auto"/>
                    <w:bottom w:val="none" w:sz="0" w:space="0" w:color="auto"/>
                    <w:right w:val="none" w:sz="0" w:space="0" w:color="auto"/>
                  </w:divBdr>
                  <w:divsChild>
                    <w:div w:id="1548489255">
                      <w:marLeft w:val="0"/>
                      <w:marRight w:val="0"/>
                      <w:marTop w:val="0"/>
                      <w:marBottom w:val="0"/>
                      <w:divBdr>
                        <w:top w:val="none" w:sz="0" w:space="0" w:color="auto"/>
                        <w:left w:val="none" w:sz="0" w:space="0" w:color="auto"/>
                        <w:bottom w:val="none" w:sz="0" w:space="0" w:color="auto"/>
                        <w:right w:val="none" w:sz="0" w:space="0" w:color="auto"/>
                      </w:divBdr>
                      <w:divsChild>
                        <w:div w:id="535850008">
                          <w:marLeft w:val="0"/>
                          <w:marRight w:val="0"/>
                          <w:marTop w:val="0"/>
                          <w:marBottom w:val="0"/>
                          <w:divBdr>
                            <w:top w:val="none" w:sz="0" w:space="0" w:color="auto"/>
                            <w:left w:val="none" w:sz="0" w:space="0" w:color="auto"/>
                            <w:bottom w:val="none" w:sz="0" w:space="0" w:color="auto"/>
                            <w:right w:val="none" w:sz="0" w:space="0" w:color="auto"/>
                          </w:divBdr>
                          <w:divsChild>
                            <w:div w:id="16161326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209474">
      <w:bodyDiv w:val="1"/>
      <w:marLeft w:val="0"/>
      <w:marRight w:val="0"/>
      <w:marTop w:val="0"/>
      <w:marBottom w:val="0"/>
      <w:divBdr>
        <w:top w:val="none" w:sz="0" w:space="0" w:color="auto"/>
        <w:left w:val="none" w:sz="0" w:space="0" w:color="auto"/>
        <w:bottom w:val="none" w:sz="0" w:space="0" w:color="auto"/>
        <w:right w:val="none" w:sz="0" w:space="0" w:color="auto"/>
      </w:divBdr>
    </w:div>
    <w:div w:id="1620602591">
      <w:bodyDiv w:val="1"/>
      <w:marLeft w:val="0"/>
      <w:marRight w:val="0"/>
      <w:marTop w:val="0"/>
      <w:marBottom w:val="0"/>
      <w:divBdr>
        <w:top w:val="none" w:sz="0" w:space="0" w:color="auto"/>
        <w:left w:val="none" w:sz="0" w:space="0" w:color="auto"/>
        <w:bottom w:val="none" w:sz="0" w:space="0" w:color="auto"/>
        <w:right w:val="none" w:sz="0" w:space="0" w:color="auto"/>
      </w:divBdr>
    </w:div>
    <w:div w:id="1647976354">
      <w:bodyDiv w:val="1"/>
      <w:marLeft w:val="0"/>
      <w:marRight w:val="0"/>
      <w:marTop w:val="0"/>
      <w:marBottom w:val="0"/>
      <w:divBdr>
        <w:top w:val="none" w:sz="0" w:space="0" w:color="auto"/>
        <w:left w:val="none" w:sz="0" w:space="0" w:color="auto"/>
        <w:bottom w:val="none" w:sz="0" w:space="0" w:color="auto"/>
        <w:right w:val="none" w:sz="0" w:space="0" w:color="auto"/>
      </w:divBdr>
      <w:divsChild>
        <w:div w:id="264769770">
          <w:marLeft w:val="0"/>
          <w:marRight w:val="0"/>
          <w:marTop w:val="0"/>
          <w:marBottom w:val="0"/>
          <w:divBdr>
            <w:top w:val="none" w:sz="0" w:space="0" w:color="auto"/>
            <w:left w:val="none" w:sz="0" w:space="0" w:color="auto"/>
            <w:bottom w:val="none" w:sz="0" w:space="0" w:color="auto"/>
            <w:right w:val="none" w:sz="0" w:space="0" w:color="auto"/>
          </w:divBdr>
          <w:divsChild>
            <w:div w:id="9860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1191">
      <w:bodyDiv w:val="1"/>
      <w:marLeft w:val="0"/>
      <w:marRight w:val="0"/>
      <w:marTop w:val="0"/>
      <w:marBottom w:val="0"/>
      <w:divBdr>
        <w:top w:val="none" w:sz="0" w:space="0" w:color="auto"/>
        <w:left w:val="none" w:sz="0" w:space="0" w:color="auto"/>
        <w:bottom w:val="none" w:sz="0" w:space="0" w:color="auto"/>
        <w:right w:val="none" w:sz="0" w:space="0" w:color="auto"/>
      </w:divBdr>
    </w:div>
    <w:div w:id="1686516860">
      <w:bodyDiv w:val="1"/>
      <w:marLeft w:val="0"/>
      <w:marRight w:val="0"/>
      <w:marTop w:val="0"/>
      <w:marBottom w:val="0"/>
      <w:divBdr>
        <w:top w:val="none" w:sz="0" w:space="0" w:color="auto"/>
        <w:left w:val="none" w:sz="0" w:space="0" w:color="auto"/>
        <w:bottom w:val="none" w:sz="0" w:space="0" w:color="auto"/>
        <w:right w:val="none" w:sz="0" w:space="0" w:color="auto"/>
      </w:divBdr>
    </w:div>
    <w:div w:id="1723365972">
      <w:bodyDiv w:val="1"/>
      <w:marLeft w:val="0"/>
      <w:marRight w:val="0"/>
      <w:marTop w:val="0"/>
      <w:marBottom w:val="0"/>
      <w:divBdr>
        <w:top w:val="none" w:sz="0" w:space="0" w:color="auto"/>
        <w:left w:val="none" w:sz="0" w:space="0" w:color="auto"/>
        <w:bottom w:val="none" w:sz="0" w:space="0" w:color="auto"/>
        <w:right w:val="none" w:sz="0" w:space="0" w:color="auto"/>
      </w:divBdr>
    </w:div>
    <w:div w:id="1747146686">
      <w:bodyDiv w:val="1"/>
      <w:marLeft w:val="0"/>
      <w:marRight w:val="0"/>
      <w:marTop w:val="0"/>
      <w:marBottom w:val="0"/>
      <w:divBdr>
        <w:top w:val="none" w:sz="0" w:space="0" w:color="auto"/>
        <w:left w:val="none" w:sz="0" w:space="0" w:color="auto"/>
        <w:bottom w:val="none" w:sz="0" w:space="0" w:color="auto"/>
        <w:right w:val="none" w:sz="0" w:space="0" w:color="auto"/>
      </w:divBdr>
    </w:div>
    <w:div w:id="1832260145">
      <w:bodyDiv w:val="1"/>
      <w:marLeft w:val="0"/>
      <w:marRight w:val="0"/>
      <w:marTop w:val="0"/>
      <w:marBottom w:val="0"/>
      <w:divBdr>
        <w:top w:val="none" w:sz="0" w:space="0" w:color="auto"/>
        <w:left w:val="none" w:sz="0" w:space="0" w:color="auto"/>
        <w:bottom w:val="none" w:sz="0" w:space="0" w:color="auto"/>
        <w:right w:val="none" w:sz="0" w:space="0" w:color="auto"/>
      </w:divBdr>
    </w:div>
    <w:div w:id="1852521491">
      <w:bodyDiv w:val="1"/>
      <w:marLeft w:val="0"/>
      <w:marRight w:val="0"/>
      <w:marTop w:val="0"/>
      <w:marBottom w:val="0"/>
      <w:divBdr>
        <w:top w:val="none" w:sz="0" w:space="0" w:color="auto"/>
        <w:left w:val="none" w:sz="0" w:space="0" w:color="auto"/>
        <w:bottom w:val="none" w:sz="0" w:space="0" w:color="auto"/>
        <w:right w:val="none" w:sz="0" w:space="0" w:color="auto"/>
      </w:divBdr>
    </w:div>
    <w:div w:id="2017532238">
      <w:bodyDiv w:val="1"/>
      <w:marLeft w:val="0"/>
      <w:marRight w:val="0"/>
      <w:marTop w:val="0"/>
      <w:marBottom w:val="0"/>
      <w:divBdr>
        <w:top w:val="none" w:sz="0" w:space="0" w:color="auto"/>
        <w:left w:val="none" w:sz="0" w:space="0" w:color="auto"/>
        <w:bottom w:val="none" w:sz="0" w:space="0" w:color="auto"/>
        <w:right w:val="none" w:sz="0" w:space="0" w:color="auto"/>
      </w:divBdr>
      <w:divsChild>
        <w:div w:id="1321035910">
          <w:marLeft w:val="0"/>
          <w:marRight w:val="0"/>
          <w:marTop w:val="0"/>
          <w:marBottom w:val="0"/>
          <w:divBdr>
            <w:top w:val="none" w:sz="0" w:space="0" w:color="auto"/>
            <w:left w:val="none" w:sz="0" w:space="0" w:color="auto"/>
            <w:bottom w:val="none" w:sz="0" w:space="0" w:color="auto"/>
            <w:right w:val="none" w:sz="0" w:space="0" w:color="auto"/>
          </w:divBdr>
          <w:divsChild>
            <w:div w:id="344944997">
              <w:marLeft w:val="0"/>
              <w:marRight w:val="0"/>
              <w:marTop w:val="0"/>
              <w:marBottom w:val="0"/>
              <w:divBdr>
                <w:top w:val="none" w:sz="0" w:space="0" w:color="auto"/>
                <w:left w:val="none" w:sz="0" w:space="0" w:color="auto"/>
                <w:bottom w:val="none" w:sz="0" w:space="0" w:color="auto"/>
                <w:right w:val="none" w:sz="0" w:space="0" w:color="auto"/>
              </w:divBdr>
              <w:divsChild>
                <w:div w:id="556471525">
                  <w:marLeft w:val="0"/>
                  <w:marRight w:val="0"/>
                  <w:marTop w:val="0"/>
                  <w:marBottom w:val="0"/>
                  <w:divBdr>
                    <w:top w:val="none" w:sz="0" w:space="0" w:color="auto"/>
                    <w:left w:val="none" w:sz="0" w:space="0" w:color="auto"/>
                    <w:bottom w:val="none" w:sz="0" w:space="0" w:color="auto"/>
                    <w:right w:val="none" w:sz="0" w:space="0" w:color="auto"/>
                  </w:divBdr>
                  <w:divsChild>
                    <w:div w:id="2039088523">
                      <w:marLeft w:val="0"/>
                      <w:marRight w:val="0"/>
                      <w:marTop w:val="0"/>
                      <w:marBottom w:val="0"/>
                      <w:divBdr>
                        <w:top w:val="none" w:sz="0" w:space="0" w:color="auto"/>
                        <w:left w:val="none" w:sz="0" w:space="0" w:color="auto"/>
                        <w:bottom w:val="none" w:sz="0" w:space="0" w:color="auto"/>
                        <w:right w:val="none" w:sz="0" w:space="0" w:color="auto"/>
                      </w:divBdr>
                      <w:divsChild>
                        <w:div w:id="1852260287">
                          <w:marLeft w:val="0"/>
                          <w:marRight w:val="0"/>
                          <w:marTop w:val="0"/>
                          <w:marBottom w:val="0"/>
                          <w:divBdr>
                            <w:top w:val="none" w:sz="0" w:space="0" w:color="auto"/>
                            <w:left w:val="none" w:sz="0" w:space="0" w:color="auto"/>
                            <w:bottom w:val="none" w:sz="0" w:space="0" w:color="auto"/>
                            <w:right w:val="none" w:sz="0" w:space="0" w:color="auto"/>
                          </w:divBdr>
                          <w:divsChild>
                            <w:div w:id="7402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330087">
      <w:bodyDiv w:val="1"/>
      <w:marLeft w:val="0"/>
      <w:marRight w:val="0"/>
      <w:marTop w:val="0"/>
      <w:marBottom w:val="0"/>
      <w:divBdr>
        <w:top w:val="none" w:sz="0" w:space="0" w:color="auto"/>
        <w:left w:val="none" w:sz="0" w:space="0" w:color="auto"/>
        <w:bottom w:val="none" w:sz="0" w:space="0" w:color="auto"/>
        <w:right w:val="none" w:sz="0" w:space="0" w:color="auto"/>
      </w:divBdr>
    </w:div>
    <w:div w:id="2096128458">
      <w:bodyDiv w:val="1"/>
      <w:marLeft w:val="0"/>
      <w:marRight w:val="0"/>
      <w:marTop w:val="0"/>
      <w:marBottom w:val="0"/>
      <w:divBdr>
        <w:top w:val="none" w:sz="0" w:space="0" w:color="auto"/>
        <w:left w:val="none" w:sz="0" w:space="0" w:color="auto"/>
        <w:bottom w:val="none" w:sz="0" w:space="0" w:color="auto"/>
        <w:right w:val="none" w:sz="0" w:space="0" w:color="auto"/>
      </w:divBdr>
      <w:divsChild>
        <w:div w:id="211039706">
          <w:marLeft w:val="0"/>
          <w:marRight w:val="0"/>
          <w:marTop w:val="0"/>
          <w:marBottom w:val="0"/>
          <w:divBdr>
            <w:top w:val="none" w:sz="0" w:space="0" w:color="auto"/>
            <w:left w:val="none" w:sz="0" w:space="0" w:color="auto"/>
            <w:bottom w:val="none" w:sz="0" w:space="0" w:color="auto"/>
            <w:right w:val="none" w:sz="0" w:space="0" w:color="auto"/>
          </w:divBdr>
          <w:divsChild>
            <w:div w:id="1772436321">
              <w:marLeft w:val="0"/>
              <w:marRight w:val="0"/>
              <w:marTop w:val="0"/>
              <w:marBottom w:val="0"/>
              <w:divBdr>
                <w:top w:val="none" w:sz="0" w:space="0" w:color="auto"/>
                <w:left w:val="none" w:sz="0" w:space="0" w:color="auto"/>
                <w:bottom w:val="none" w:sz="0" w:space="0" w:color="auto"/>
                <w:right w:val="none" w:sz="0" w:space="0" w:color="auto"/>
              </w:divBdr>
              <w:divsChild>
                <w:div w:id="2076312352">
                  <w:marLeft w:val="0"/>
                  <w:marRight w:val="0"/>
                  <w:marTop w:val="0"/>
                  <w:marBottom w:val="0"/>
                  <w:divBdr>
                    <w:top w:val="none" w:sz="0" w:space="0" w:color="auto"/>
                    <w:left w:val="none" w:sz="0" w:space="0" w:color="auto"/>
                    <w:bottom w:val="none" w:sz="0" w:space="0" w:color="auto"/>
                    <w:right w:val="none" w:sz="0" w:space="0" w:color="auto"/>
                  </w:divBdr>
                  <w:divsChild>
                    <w:div w:id="1674868300">
                      <w:marLeft w:val="0"/>
                      <w:marRight w:val="0"/>
                      <w:marTop w:val="0"/>
                      <w:marBottom w:val="0"/>
                      <w:divBdr>
                        <w:top w:val="none" w:sz="0" w:space="0" w:color="auto"/>
                        <w:left w:val="none" w:sz="0" w:space="0" w:color="auto"/>
                        <w:bottom w:val="none" w:sz="0" w:space="0" w:color="auto"/>
                        <w:right w:val="none" w:sz="0" w:space="0" w:color="auto"/>
                      </w:divBdr>
                      <w:divsChild>
                        <w:div w:id="412357531">
                          <w:marLeft w:val="0"/>
                          <w:marRight w:val="0"/>
                          <w:marTop w:val="0"/>
                          <w:marBottom w:val="0"/>
                          <w:divBdr>
                            <w:top w:val="none" w:sz="0" w:space="0" w:color="auto"/>
                            <w:left w:val="none" w:sz="0" w:space="0" w:color="auto"/>
                            <w:bottom w:val="none" w:sz="0" w:space="0" w:color="auto"/>
                            <w:right w:val="none" w:sz="0" w:space="0" w:color="auto"/>
                          </w:divBdr>
                          <w:divsChild>
                            <w:div w:id="7763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B1B7-C430-4497-9C44-C75ACFCA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13322</Words>
  <Characters>7594</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2016. gada 11. oktobra noteikumos Nr. 664 "Noteikumi par valsts nodevu, kas maksājama par ierakstu izdarīšanu uzņēmumu reģistra žurnālā un komercreģistrā, kā arī iesniedzamo dokumentu reģis</vt:lpstr>
      <vt:lpstr>Ministru kabineta noteikumu projekta "Grozījumi Ministru kabineta 2002. gada 3. septembra noteikumos Nr. 401 "Ārvalstu komersantu un organizāciju pārstāvniecību un pārstāvju reģistrācijas kārtība"" sākotnējās ietekmes novērtējuma ziņojums (anotācija)</vt:lpstr>
    </vt:vector>
  </TitlesOfParts>
  <Company>Latvijas Republikas Uzņēmumu reģistrs</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11. oktobra noteikumos Nr. 664 "Noteikumi par valsts nodevu, kas maksājama par ierakstu izdarīšanu uzņēmumu reģistra žurnālā un komercreģistrā, kā arī iesniedzamo dokumentu reģistrēšanu"" sākotnējās ietekmes novērtējuma ziņojums (anotācija)</dc:title>
  <dc:subject>Anotācija</dc:subject>
  <dc:creator>Dzintra Švarca</dc:creator>
  <cp:keywords/>
  <dc:description>67031732, Dzintra.Svarca@ur.gov.lv</dc:description>
  <cp:lastModifiedBy>Dzintra Švarca</cp:lastModifiedBy>
  <cp:revision>5</cp:revision>
  <cp:lastPrinted>2019-10-21T13:31:00Z</cp:lastPrinted>
  <dcterms:created xsi:type="dcterms:W3CDTF">2021-08-06T09:21:00Z</dcterms:created>
  <dcterms:modified xsi:type="dcterms:W3CDTF">2021-08-06T11:56:00Z</dcterms:modified>
</cp:coreProperties>
</file>