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103E" w:rsidR="0018118E" w:rsidP="0018118E" w:rsidRDefault="007724B7" w14:paraId="1BE10A77" w14:textId="691F16A9">
      <w:pPr>
        <w:spacing w:after="0" w:line="240" w:lineRule="auto"/>
        <w:jc w:val="center"/>
        <w:rPr>
          <w:rFonts w:eastAsia="Times New Roman"/>
          <w:b/>
          <w:bCs/>
          <w:sz w:val="24"/>
          <w:szCs w:val="24"/>
          <w:lang w:eastAsia="lv-LV"/>
        </w:rPr>
      </w:pPr>
      <w:r w:rsidRPr="00B5103E">
        <w:rPr>
          <w:rFonts w:eastAsia="Times New Roman"/>
          <w:b/>
          <w:bCs/>
          <w:sz w:val="24"/>
          <w:szCs w:val="24"/>
          <w:lang w:eastAsia="lv-LV"/>
        </w:rPr>
        <w:t>Ministru kabineta noteikumu projekt</w:t>
      </w:r>
      <w:r w:rsidRPr="00B5103E" w:rsidR="0018118E">
        <w:rPr>
          <w:rFonts w:eastAsia="Times New Roman"/>
          <w:b/>
          <w:bCs/>
          <w:sz w:val="24"/>
          <w:szCs w:val="24"/>
          <w:lang w:eastAsia="lv-LV"/>
        </w:rPr>
        <w:t>a</w:t>
      </w:r>
      <w:r w:rsidRPr="00B5103E">
        <w:rPr>
          <w:rFonts w:eastAsia="Times New Roman"/>
          <w:b/>
          <w:bCs/>
          <w:sz w:val="24"/>
          <w:szCs w:val="24"/>
          <w:lang w:eastAsia="lv-LV"/>
        </w:rPr>
        <w:t xml:space="preserve"> "</w:t>
      </w:r>
      <w:r w:rsidRPr="00D44203" w:rsidR="00D44203">
        <w:rPr>
          <w:rFonts w:eastAsia="Times New Roman"/>
          <w:b/>
          <w:bCs/>
          <w:sz w:val="24"/>
          <w:szCs w:val="24"/>
          <w:lang w:eastAsia="lv-LV"/>
        </w:rPr>
        <w:t>Grozījum</w:t>
      </w:r>
      <w:r w:rsidR="008B7974">
        <w:rPr>
          <w:rFonts w:eastAsia="Times New Roman"/>
          <w:b/>
          <w:bCs/>
          <w:sz w:val="24"/>
          <w:szCs w:val="24"/>
          <w:lang w:eastAsia="lv-LV"/>
        </w:rPr>
        <w:t>s</w:t>
      </w:r>
      <w:r w:rsidRPr="00D44203" w:rsidR="00D44203">
        <w:rPr>
          <w:rFonts w:eastAsia="Times New Roman"/>
          <w:b/>
          <w:bCs/>
          <w:sz w:val="24"/>
          <w:szCs w:val="24"/>
          <w:lang w:eastAsia="lv-LV"/>
        </w:rPr>
        <w:t xml:space="preserve"> </w:t>
      </w:r>
      <w:bookmarkStart w:name="_Hlk69803429" w:id="0"/>
      <w:r w:rsidRPr="00D44203" w:rsidR="00D44203">
        <w:rPr>
          <w:rFonts w:eastAsia="Times New Roman"/>
          <w:b/>
          <w:bCs/>
          <w:sz w:val="24"/>
          <w:szCs w:val="24"/>
          <w:lang w:eastAsia="lv-LV"/>
        </w:rPr>
        <w:t>Ministru kabineta 2009. gada 27. oktobra noteikumos Nr. 1250 "Noteikumi par valsts nodevu par īpašuma tiesību un ķīlas tiesību nostiprināšanu zemesgrāmatā"</w:t>
      </w:r>
      <w:bookmarkEnd w:id="0"/>
      <w:r w:rsidRPr="00B5103E">
        <w:rPr>
          <w:rFonts w:eastAsia="Times New Roman"/>
          <w:b/>
          <w:bCs/>
          <w:sz w:val="24"/>
          <w:szCs w:val="24"/>
          <w:lang w:eastAsia="lv-LV"/>
        </w:rPr>
        <w:t>"</w:t>
      </w:r>
      <w:r w:rsidRPr="00B5103E" w:rsidR="0018118E">
        <w:rPr>
          <w:rFonts w:eastAsia="Times New Roman"/>
          <w:b/>
          <w:bCs/>
          <w:sz w:val="22"/>
          <w:szCs w:val="22"/>
          <w:lang w:eastAsia="lv-LV"/>
        </w:rPr>
        <w:t xml:space="preserve"> </w:t>
      </w:r>
      <w:r w:rsidRPr="00B5103E" w:rsidR="0018118E">
        <w:rPr>
          <w:rFonts w:eastAsia="Times New Roman"/>
          <w:b/>
          <w:bCs/>
          <w:sz w:val="24"/>
          <w:szCs w:val="24"/>
          <w:lang w:eastAsia="lv-LV"/>
        </w:rPr>
        <w:t>sākotnējās ietekmes novērtējuma ziņojums (anotācija)</w:t>
      </w:r>
    </w:p>
    <w:p w:rsidR="00A1552F" w:rsidP="00A978F1" w:rsidRDefault="00A1552F" w14:paraId="42AFF49E" w14:textId="4DBF6201">
      <w:pPr>
        <w:spacing w:after="0" w:line="240" w:lineRule="auto"/>
        <w:ind w:firstLine="300"/>
        <w:jc w:val="center"/>
        <w:rPr>
          <w:rFonts w:eastAsia="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RDefault="00A1552F" w14:paraId="2E3635E1" w14:textId="77777777">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Pr="002D7166" w:rsidR="00A1552F" w:rsidTr="00E9181C" w14:paraId="47F047DD" w14:textId="77777777">
        <w:trPr>
          <w:cantSplit/>
        </w:trPr>
        <w:tc>
          <w:tcPr>
            <w:tcW w:w="2830" w:type="dxa"/>
            <w:shd w:val="clear" w:color="auto" w:fill="FFFFFF"/>
            <w:hideMark/>
          </w:tcPr>
          <w:p w:rsidRPr="00A1552F" w:rsidR="00A1552F" w:rsidP="00C26E82" w:rsidRDefault="00A1552F" w14:paraId="3C58940B" w14:textId="77777777">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rsidRPr="00A1552F" w:rsidR="005E6BFF" w:rsidP="00A978F1" w:rsidRDefault="003268E2" w14:paraId="2D343C0B" w14:textId="30C21929">
            <w:pPr>
              <w:spacing w:after="0" w:line="240" w:lineRule="auto"/>
              <w:jc w:val="both"/>
              <w:rPr>
                <w:rFonts w:eastAsia="Times New Roman"/>
                <w:sz w:val="24"/>
                <w:szCs w:val="24"/>
                <w:lang w:eastAsia="lv-LV"/>
              </w:rPr>
            </w:pPr>
            <w:r>
              <w:rPr>
                <w:rFonts w:eastAsia="Times New Roman"/>
                <w:sz w:val="24"/>
                <w:szCs w:val="24"/>
                <w:lang w:eastAsia="lv-LV"/>
              </w:rPr>
              <w:t>Nav attiecināms.</w:t>
            </w:r>
          </w:p>
        </w:tc>
      </w:tr>
    </w:tbl>
    <w:p w:rsidRPr="00BC2633" w:rsidR="00A1552F" w:rsidP="00C26E82" w:rsidRDefault="00A1552F" w14:paraId="38674108" w14:textId="77777777">
      <w:pPr>
        <w:spacing w:after="0" w:line="240" w:lineRule="auto"/>
        <w:jc w:val="center"/>
        <w:rPr>
          <w:rFonts w:eastAsia="Times New Roman"/>
          <w:b/>
          <w:bCs/>
          <w:sz w:val="24"/>
          <w:szCs w:val="24"/>
          <w:lang w:eastAsia="lv-LV"/>
        </w:rPr>
      </w:pPr>
    </w:p>
    <w:tbl>
      <w:tblPr>
        <w:tblW w:w="5009"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4"/>
        <w:gridCol w:w="2756"/>
        <w:gridCol w:w="5942"/>
        <w:gridCol w:w="9"/>
      </w:tblGrid>
      <w:tr w:rsidRPr="00BC2633" w:rsidR="00BC2633" w:rsidTr="00B10027" w14:paraId="2C53EF84" w14:textId="77777777">
        <w:trPr>
          <w:gridAfter w:val="1"/>
          <w:wAfter w:w="6" w:type="pct"/>
          <w:trHeight w:val="405"/>
        </w:trPr>
        <w:tc>
          <w:tcPr>
            <w:tcW w:w="4994"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18B67FDD"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Pr="00BC2633" w:rsidR="00DA326E" w:rsidTr="000A388B" w14:paraId="22687615" w14:textId="77777777">
        <w:trPr>
          <w:gridAfter w:val="1"/>
          <w:wAfter w:w="6" w:type="pct"/>
          <w:trHeight w:val="405"/>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B187791"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51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64AFBCA2" w14:textId="77777777">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275" w:type="pct"/>
            <w:tcBorders>
              <w:top w:val="outset" w:color="414142" w:sz="6" w:space="0"/>
              <w:left w:val="outset" w:color="414142" w:sz="6" w:space="0"/>
              <w:bottom w:val="outset" w:color="414142" w:sz="6" w:space="0"/>
              <w:right w:val="outset" w:color="414142" w:sz="6" w:space="0"/>
            </w:tcBorders>
            <w:hideMark/>
          </w:tcPr>
          <w:p w:rsidRPr="00BC2633" w:rsidR="004D15A9" w:rsidP="003268E2" w:rsidRDefault="004E29A8" w14:paraId="0A3EB312" w14:textId="6027EDA8">
            <w:pPr>
              <w:spacing w:after="0" w:line="240" w:lineRule="auto"/>
              <w:jc w:val="both"/>
              <w:rPr>
                <w:rFonts w:eastAsia="Times New Roman"/>
                <w:sz w:val="24"/>
                <w:szCs w:val="24"/>
                <w:lang w:eastAsia="lv-LV"/>
              </w:rPr>
            </w:pPr>
            <w:r w:rsidRPr="004E29A8">
              <w:rPr>
                <w:rFonts w:eastAsia="Times New Roman"/>
                <w:sz w:val="24"/>
                <w:szCs w:val="24"/>
                <w:lang w:eastAsia="lv-LV"/>
              </w:rPr>
              <w:t>Ministru kabineta noteikumu projekt</w:t>
            </w:r>
            <w:r>
              <w:rPr>
                <w:rFonts w:eastAsia="Times New Roman"/>
                <w:sz w:val="24"/>
                <w:szCs w:val="24"/>
                <w:lang w:eastAsia="lv-LV"/>
              </w:rPr>
              <w:t>s</w:t>
            </w:r>
            <w:r w:rsidRPr="004E29A8">
              <w:rPr>
                <w:rFonts w:eastAsia="Times New Roman"/>
                <w:sz w:val="24"/>
                <w:szCs w:val="24"/>
                <w:lang w:eastAsia="lv-LV"/>
              </w:rPr>
              <w:t xml:space="preserve"> "Grozījums Ministru kabineta 2009.</w:t>
            </w:r>
            <w:r>
              <w:rPr>
                <w:rFonts w:eastAsia="Times New Roman"/>
                <w:sz w:val="24"/>
                <w:szCs w:val="24"/>
                <w:lang w:eastAsia="lv-LV"/>
              </w:rPr>
              <w:t> </w:t>
            </w:r>
            <w:r w:rsidRPr="004E29A8">
              <w:rPr>
                <w:rFonts w:eastAsia="Times New Roman"/>
                <w:sz w:val="24"/>
                <w:szCs w:val="24"/>
                <w:lang w:eastAsia="lv-LV"/>
              </w:rPr>
              <w:t>gada 27.</w:t>
            </w:r>
            <w:r>
              <w:rPr>
                <w:rFonts w:eastAsia="Times New Roman"/>
                <w:sz w:val="24"/>
                <w:szCs w:val="24"/>
                <w:lang w:eastAsia="lv-LV"/>
              </w:rPr>
              <w:t> </w:t>
            </w:r>
            <w:r w:rsidRPr="004E29A8">
              <w:rPr>
                <w:rFonts w:eastAsia="Times New Roman"/>
                <w:sz w:val="24"/>
                <w:szCs w:val="24"/>
                <w:lang w:eastAsia="lv-LV"/>
              </w:rPr>
              <w:t>oktobra noteikumos Nr.</w:t>
            </w:r>
            <w:r>
              <w:rPr>
                <w:rFonts w:eastAsia="Times New Roman"/>
                <w:sz w:val="24"/>
                <w:szCs w:val="24"/>
                <w:lang w:eastAsia="lv-LV"/>
              </w:rPr>
              <w:t> </w:t>
            </w:r>
            <w:r w:rsidRPr="004E29A8">
              <w:rPr>
                <w:rFonts w:eastAsia="Times New Roman"/>
                <w:sz w:val="24"/>
                <w:szCs w:val="24"/>
                <w:lang w:eastAsia="lv-LV"/>
              </w:rPr>
              <w:t xml:space="preserve">1250 "Noteikumi par valsts nodevu par īpašuma tiesību un ķīlas tiesību nostiprināšanu zemesgrāmatā"" </w:t>
            </w:r>
            <w:r>
              <w:rPr>
                <w:rFonts w:eastAsia="Times New Roman"/>
                <w:sz w:val="24"/>
                <w:szCs w:val="24"/>
                <w:lang w:eastAsia="lv-LV"/>
              </w:rPr>
              <w:t xml:space="preserve">(turpmāk – </w:t>
            </w:r>
            <w:r w:rsidR="00604312">
              <w:rPr>
                <w:rFonts w:eastAsia="Times New Roman"/>
                <w:sz w:val="24"/>
                <w:szCs w:val="24"/>
                <w:lang w:eastAsia="lv-LV"/>
              </w:rPr>
              <w:t>N</w:t>
            </w:r>
            <w:r w:rsidRPr="00D322EE" w:rsidR="00D322EE">
              <w:rPr>
                <w:rFonts w:eastAsia="Times New Roman"/>
                <w:sz w:val="24"/>
                <w:szCs w:val="24"/>
                <w:lang w:eastAsia="lv-LV"/>
              </w:rPr>
              <w:t>oteikumu projekts</w:t>
            </w:r>
            <w:r>
              <w:rPr>
                <w:rFonts w:eastAsia="Times New Roman"/>
                <w:sz w:val="24"/>
                <w:szCs w:val="24"/>
                <w:lang w:eastAsia="lv-LV"/>
              </w:rPr>
              <w:t>)</w:t>
            </w:r>
            <w:r w:rsidRPr="00B5103E" w:rsidR="00AA7184">
              <w:rPr>
                <w:rFonts w:eastAsia="Times New Roman"/>
                <w:sz w:val="24"/>
                <w:szCs w:val="24"/>
                <w:lang w:eastAsia="lv-LV"/>
              </w:rPr>
              <w:t xml:space="preserve"> </w:t>
            </w:r>
            <w:r w:rsidRPr="003F0200" w:rsidR="00AA7184">
              <w:rPr>
                <w:rFonts w:eastAsia="Times New Roman"/>
                <w:sz w:val="24"/>
                <w:szCs w:val="24"/>
                <w:lang w:eastAsia="lv-LV"/>
              </w:rPr>
              <w:t>izstrādāts</w:t>
            </w:r>
            <w:r w:rsidR="00AA7184">
              <w:rPr>
                <w:rFonts w:eastAsia="Times New Roman"/>
                <w:sz w:val="24"/>
                <w:szCs w:val="24"/>
                <w:lang w:eastAsia="lv-LV"/>
              </w:rPr>
              <w:t xml:space="preserve"> pēc Tieslietu ministrijas</w:t>
            </w:r>
            <w:r w:rsidR="008A329C">
              <w:rPr>
                <w:rFonts w:eastAsia="Times New Roman"/>
                <w:sz w:val="24"/>
                <w:szCs w:val="24"/>
                <w:lang w:eastAsia="lv-LV"/>
              </w:rPr>
              <w:t xml:space="preserve"> iniciatīvas</w:t>
            </w:r>
            <w:r w:rsidR="003268E2">
              <w:rPr>
                <w:rFonts w:eastAsia="Times New Roman"/>
                <w:sz w:val="24"/>
                <w:szCs w:val="24"/>
                <w:lang w:eastAsia="lv-LV"/>
              </w:rPr>
              <w:t>.</w:t>
            </w:r>
          </w:p>
        </w:tc>
      </w:tr>
      <w:tr w:rsidRPr="00BC2633" w:rsidR="00DA326E" w:rsidTr="000A388B" w14:paraId="5FF7B6AF" w14:textId="77777777">
        <w:trPr>
          <w:gridAfter w:val="1"/>
          <w:wAfter w:w="6" w:type="pct"/>
          <w:trHeight w:val="465"/>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C86D47B"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519" w:type="pct"/>
            <w:tcBorders>
              <w:top w:val="outset" w:color="414142" w:sz="6" w:space="0"/>
              <w:left w:val="outset" w:color="414142" w:sz="6" w:space="0"/>
              <w:bottom w:val="outset" w:color="414142" w:sz="6" w:space="0"/>
              <w:right w:val="outset" w:color="414142" w:sz="6" w:space="0"/>
            </w:tcBorders>
            <w:hideMark/>
          </w:tcPr>
          <w:p w:rsidRPr="00EB051C" w:rsidR="00EB051C" w:rsidP="007C11FB" w:rsidRDefault="004D15A9" w14:paraId="7B9225C8" w14:textId="24D5FE16">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3275" w:type="pct"/>
            <w:tcBorders>
              <w:top w:val="outset" w:color="414142" w:sz="6" w:space="0"/>
              <w:left w:val="outset" w:color="414142" w:sz="6" w:space="0"/>
              <w:bottom w:val="outset" w:color="414142" w:sz="6" w:space="0"/>
              <w:right w:val="outset" w:color="414142" w:sz="6" w:space="0"/>
            </w:tcBorders>
          </w:tcPr>
          <w:p w:rsidR="00426DFC" w:rsidP="00426DFC" w:rsidRDefault="0010310E" w14:paraId="7830F6DA" w14:textId="4089939B">
            <w:pPr>
              <w:shd w:val="clear" w:color="auto" w:fill="FFFFFF"/>
              <w:spacing w:after="0" w:line="240" w:lineRule="auto"/>
              <w:jc w:val="both"/>
              <w:rPr>
                <w:rFonts w:eastAsia="Calibri"/>
                <w:sz w:val="24"/>
                <w:szCs w:val="24"/>
              </w:rPr>
            </w:pPr>
            <w:r>
              <w:rPr>
                <w:rFonts w:eastAsia="Calibri"/>
                <w:sz w:val="24"/>
                <w:szCs w:val="24"/>
              </w:rPr>
              <w:t xml:space="preserve">Atbilstoši </w:t>
            </w:r>
            <w:r w:rsidRPr="00CB50E0" w:rsidR="00CB50E0">
              <w:rPr>
                <w:rFonts w:eastAsia="Calibri"/>
                <w:sz w:val="24"/>
                <w:szCs w:val="24"/>
              </w:rPr>
              <w:t>Ministru kabineta</w:t>
            </w:r>
            <w:r w:rsidRPr="00BA6B17" w:rsidR="00CB50E0">
              <w:rPr>
                <w:rFonts w:eastAsia="Calibri"/>
                <w:sz w:val="24"/>
                <w:szCs w:val="24"/>
              </w:rPr>
              <w:t xml:space="preserve"> 2021.</w:t>
            </w:r>
            <w:r w:rsidRPr="00CB50E0" w:rsidR="00CB50E0">
              <w:rPr>
                <w:rFonts w:eastAsia="Calibri"/>
                <w:sz w:val="24"/>
                <w:szCs w:val="24"/>
              </w:rPr>
              <w:t> </w:t>
            </w:r>
            <w:r w:rsidRPr="00BA6B17" w:rsidR="00CB50E0">
              <w:rPr>
                <w:rFonts w:eastAsia="Calibri"/>
                <w:sz w:val="24"/>
                <w:szCs w:val="24"/>
              </w:rPr>
              <w:t>gada 29.</w:t>
            </w:r>
            <w:r w:rsidRPr="00CB50E0" w:rsidR="00CB50E0">
              <w:rPr>
                <w:rFonts w:eastAsia="Calibri"/>
                <w:sz w:val="24"/>
                <w:szCs w:val="24"/>
              </w:rPr>
              <w:t> </w:t>
            </w:r>
            <w:r w:rsidRPr="00BA6B17" w:rsidR="00CB50E0">
              <w:rPr>
                <w:rFonts w:eastAsia="Calibri"/>
                <w:sz w:val="24"/>
                <w:szCs w:val="24"/>
              </w:rPr>
              <w:t>jūnij</w:t>
            </w:r>
            <w:r w:rsidRPr="00CB50E0" w:rsidR="00CB50E0">
              <w:rPr>
                <w:rFonts w:eastAsia="Calibri"/>
                <w:sz w:val="24"/>
                <w:szCs w:val="24"/>
              </w:rPr>
              <w:t>a noteikum</w:t>
            </w:r>
            <w:r w:rsidR="00CB50E0">
              <w:rPr>
                <w:rFonts w:eastAsia="Calibri"/>
                <w:sz w:val="24"/>
                <w:szCs w:val="24"/>
              </w:rPr>
              <w:t>iem</w:t>
            </w:r>
            <w:r w:rsidRPr="00CB50E0" w:rsidR="00CB50E0">
              <w:rPr>
                <w:rFonts w:eastAsia="Calibri"/>
                <w:sz w:val="24"/>
                <w:szCs w:val="24"/>
              </w:rPr>
              <w:t xml:space="preserve"> Nr. 439 "</w:t>
            </w:r>
            <w:r w:rsidRPr="00BA6B17" w:rsidR="00CB50E0">
              <w:rPr>
                <w:rFonts w:eastAsia="Calibri"/>
                <w:sz w:val="24"/>
                <w:szCs w:val="24"/>
              </w:rPr>
              <w:t>Grozījumi Ministru kabineta 2009.</w:t>
            </w:r>
            <w:r w:rsidRPr="00CB50E0" w:rsidR="00CB50E0">
              <w:rPr>
                <w:rFonts w:eastAsia="Calibri"/>
                <w:sz w:val="24"/>
                <w:szCs w:val="24"/>
              </w:rPr>
              <w:t> </w:t>
            </w:r>
            <w:r w:rsidRPr="00BA6B17" w:rsidR="00CB50E0">
              <w:rPr>
                <w:rFonts w:eastAsia="Calibri"/>
                <w:sz w:val="24"/>
                <w:szCs w:val="24"/>
              </w:rPr>
              <w:t>gada 27.</w:t>
            </w:r>
            <w:r w:rsidRPr="00CB50E0" w:rsidR="00CB50E0">
              <w:rPr>
                <w:rFonts w:eastAsia="Calibri"/>
                <w:sz w:val="24"/>
                <w:szCs w:val="24"/>
              </w:rPr>
              <w:t> </w:t>
            </w:r>
            <w:r w:rsidRPr="00BA6B17" w:rsidR="00CB50E0">
              <w:rPr>
                <w:rFonts w:eastAsia="Calibri"/>
                <w:sz w:val="24"/>
                <w:szCs w:val="24"/>
              </w:rPr>
              <w:t>oktobra noteikumos Nr.</w:t>
            </w:r>
            <w:r w:rsidRPr="00CB50E0" w:rsidR="00CB50E0">
              <w:rPr>
                <w:rFonts w:eastAsia="Calibri"/>
                <w:sz w:val="24"/>
                <w:szCs w:val="24"/>
              </w:rPr>
              <w:t> </w:t>
            </w:r>
            <w:r w:rsidRPr="00BA6B17" w:rsidR="00CB50E0">
              <w:rPr>
                <w:rFonts w:eastAsia="Calibri"/>
                <w:sz w:val="24"/>
                <w:szCs w:val="24"/>
              </w:rPr>
              <w:t>1250 "</w:t>
            </w:r>
            <w:hyperlink w:tgtFrame="_blank" w:history="1" r:id="rId8">
              <w:r w:rsidRPr="00BA6B17" w:rsidR="00CB50E0">
                <w:rPr>
                  <w:rStyle w:val="Hipersaite"/>
                  <w:rFonts w:eastAsia="Calibri"/>
                  <w:color w:val="auto"/>
                  <w:sz w:val="24"/>
                  <w:szCs w:val="24"/>
                  <w:u w:val="none"/>
                </w:rPr>
                <w:t>Noteikumi par valsts nodevu par īpašuma tiesību un ķīlas tiesību nostiprināšanu zemesgrāmatā</w:t>
              </w:r>
            </w:hyperlink>
            <w:r w:rsidRPr="00BA6B17" w:rsidR="00CB50E0">
              <w:rPr>
                <w:rFonts w:eastAsia="Calibri"/>
                <w:sz w:val="24"/>
                <w:szCs w:val="24"/>
              </w:rPr>
              <w:t>"</w:t>
            </w:r>
            <w:r w:rsidRPr="00CB50E0" w:rsidR="00CB50E0">
              <w:rPr>
                <w:rFonts w:eastAsia="Calibri"/>
                <w:sz w:val="24"/>
                <w:szCs w:val="24"/>
              </w:rPr>
              <w:t>"</w:t>
            </w:r>
            <w:r w:rsidR="00B83230">
              <w:rPr>
                <w:rFonts w:eastAsia="Calibri"/>
                <w:sz w:val="24"/>
                <w:szCs w:val="24"/>
              </w:rPr>
              <w:t xml:space="preserve"> (turpmāk – noteikumi Nr. 439)</w:t>
            </w:r>
            <w:r w:rsidR="0090437F">
              <w:rPr>
                <w:rFonts w:eastAsia="Calibri"/>
                <w:sz w:val="24"/>
                <w:szCs w:val="24"/>
              </w:rPr>
              <w:t>,</w:t>
            </w:r>
            <w:r w:rsidR="006A4999">
              <w:rPr>
                <w:rFonts w:eastAsia="Calibri"/>
                <w:sz w:val="24"/>
                <w:szCs w:val="24"/>
              </w:rPr>
              <w:t xml:space="preserve"> </w:t>
            </w:r>
            <w:r w:rsidR="00B83230">
              <w:rPr>
                <w:rFonts w:eastAsia="Times New Roman"/>
                <w:sz w:val="24"/>
                <w:szCs w:val="24"/>
                <w:lang w:eastAsia="lv-LV"/>
              </w:rPr>
              <w:t xml:space="preserve">kas stājās spēkā šī gada 1. jūlijā, </w:t>
            </w:r>
            <w:r w:rsidR="0090437F">
              <w:rPr>
                <w:rFonts w:eastAsia="Times New Roman"/>
                <w:sz w:val="24"/>
                <w:szCs w:val="24"/>
                <w:lang w:eastAsia="lv-LV"/>
              </w:rPr>
              <w:t xml:space="preserve">ir izdarīti </w:t>
            </w:r>
            <w:r>
              <w:rPr>
                <w:rFonts w:eastAsia="Calibri"/>
                <w:sz w:val="24"/>
                <w:szCs w:val="24"/>
              </w:rPr>
              <w:t xml:space="preserve">grozījumi </w:t>
            </w:r>
            <w:r w:rsidRPr="0010310E">
              <w:rPr>
                <w:rFonts w:eastAsia="Times New Roman"/>
                <w:sz w:val="24"/>
                <w:szCs w:val="24"/>
                <w:lang w:eastAsia="lv-LV"/>
              </w:rPr>
              <w:t>Ministru kabineta 2009. gada 27. oktobra noteikumos Nr. 1250 "Noteikumi par valsts nodevu par īpašuma tiesību un ķīlas tiesību nostiprināšanu zemesgrāmatā"</w:t>
            </w:r>
            <w:r>
              <w:rPr>
                <w:rFonts w:eastAsia="Times New Roman"/>
                <w:sz w:val="24"/>
                <w:szCs w:val="24"/>
                <w:lang w:eastAsia="lv-LV"/>
              </w:rPr>
              <w:t xml:space="preserve"> (turpmāk – noteikumi Nr. 1250)</w:t>
            </w:r>
            <w:r w:rsidR="00B83230">
              <w:rPr>
                <w:rFonts w:eastAsia="Times New Roman"/>
                <w:sz w:val="24"/>
                <w:szCs w:val="24"/>
                <w:lang w:eastAsia="lv-LV"/>
              </w:rPr>
              <w:t xml:space="preserve"> un</w:t>
            </w:r>
            <w:r>
              <w:rPr>
                <w:rFonts w:eastAsia="Times New Roman"/>
                <w:sz w:val="24"/>
                <w:szCs w:val="24"/>
                <w:lang w:eastAsia="lv-LV"/>
              </w:rPr>
              <w:t xml:space="preserve"> </w:t>
            </w:r>
            <w:r w:rsidR="00B155C5">
              <w:rPr>
                <w:rFonts w:eastAsia="Calibri"/>
                <w:sz w:val="24"/>
                <w:szCs w:val="24"/>
              </w:rPr>
              <w:t>samazināt</w:t>
            </w:r>
            <w:r w:rsidR="00D413E3">
              <w:rPr>
                <w:rFonts w:eastAsia="Calibri"/>
                <w:sz w:val="24"/>
                <w:szCs w:val="24"/>
              </w:rPr>
              <w:t>i</w:t>
            </w:r>
            <w:r w:rsidR="00787E5A">
              <w:rPr>
                <w:rFonts w:eastAsia="Calibri"/>
                <w:sz w:val="24"/>
                <w:szCs w:val="24"/>
              </w:rPr>
              <w:t xml:space="preserve"> valsts nodev</w:t>
            </w:r>
            <w:r w:rsidR="006D1F9C">
              <w:rPr>
                <w:rFonts w:eastAsia="Calibri"/>
                <w:sz w:val="24"/>
                <w:szCs w:val="24"/>
              </w:rPr>
              <w:t>as</w:t>
            </w:r>
            <w:r w:rsidR="00787E5A">
              <w:rPr>
                <w:rFonts w:eastAsia="Calibri"/>
                <w:sz w:val="24"/>
                <w:szCs w:val="24"/>
              </w:rPr>
              <w:t xml:space="preserve"> par īpašum</w:t>
            </w:r>
            <w:r w:rsidR="00F13415">
              <w:rPr>
                <w:rFonts w:eastAsia="Calibri"/>
                <w:sz w:val="24"/>
                <w:szCs w:val="24"/>
              </w:rPr>
              <w:t xml:space="preserve">a </w:t>
            </w:r>
            <w:r w:rsidR="00787E5A">
              <w:rPr>
                <w:rFonts w:eastAsia="Calibri"/>
                <w:sz w:val="24"/>
                <w:szCs w:val="24"/>
              </w:rPr>
              <w:t>tiesību nostiprināšanu zemesgrāmatā</w:t>
            </w:r>
            <w:r w:rsidR="00947336">
              <w:rPr>
                <w:rFonts w:eastAsia="Calibri"/>
                <w:sz w:val="24"/>
                <w:szCs w:val="24"/>
              </w:rPr>
              <w:t xml:space="preserve">, </w:t>
            </w:r>
            <w:r w:rsidR="003F4454">
              <w:rPr>
                <w:rFonts w:eastAsia="Calibri"/>
                <w:sz w:val="24"/>
                <w:szCs w:val="24"/>
              </w:rPr>
              <w:t>ja</w:t>
            </w:r>
            <w:r w:rsidRPr="00787E5A" w:rsidR="003F4454">
              <w:rPr>
                <w:rFonts w:eastAsia="Calibri"/>
                <w:sz w:val="24"/>
                <w:szCs w:val="24"/>
              </w:rPr>
              <w:t xml:space="preserve"> </w:t>
            </w:r>
            <w:r w:rsidRPr="00787E5A" w:rsidR="00787E5A">
              <w:rPr>
                <w:rFonts w:eastAsia="Calibri"/>
                <w:sz w:val="24"/>
                <w:szCs w:val="24"/>
              </w:rPr>
              <w:t>īpašum</w:t>
            </w:r>
            <w:r w:rsidR="003F4454">
              <w:rPr>
                <w:rFonts w:eastAsia="Calibri"/>
                <w:sz w:val="24"/>
                <w:szCs w:val="24"/>
              </w:rPr>
              <w:t>u</w:t>
            </w:r>
            <w:r w:rsidRPr="00787E5A" w:rsidR="00787E5A">
              <w:rPr>
                <w:rFonts w:eastAsia="Calibri"/>
                <w:sz w:val="24"/>
                <w:szCs w:val="24"/>
              </w:rPr>
              <w:t xml:space="preserve"> atsavin</w:t>
            </w:r>
            <w:r w:rsidR="003F4454">
              <w:rPr>
                <w:rFonts w:eastAsia="Calibri"/>
                <w:sz w:val="24"/>
                <w:szCs w:val="24"/>
              </w:rPr>
              <w:t>a</w:t>
            </w:r>
            <w:r w:rsidRPr="00787E5A" w:rsidR="00787E5A">
              <w:rPr>
                <w:rFonts w:eastAsia="Calibri"/>
                <w:sz w:val="24"/>
                <w:szCs w:val="24"/>
              </w:rPr>
              <w:t xml:space="preserve"> uz līguma vai tiesas lēmuma pamata par izsoles akta apstiprināšanu vai uz tiesas lēmuma pamata par nekustamā īpašuma nostiprināšanu</w:t>
            </w:r>
            <w:r w:rsidR="007E562B">
              <w:rPr>
                <w:rFonts w:eastAsia="Calibri"/>
                <w:sz w:val="24"/>
                <w:szCs w:val="24"/>
              </w:rPr>
              <w:t xml:space="preserve"> </w:t>
            </w:r>
            <w:r w:rsidRPr="007E562B" w:rsidR="007E562B">
              <w:rPr>
                <w:rFonts w:eastAsia="Calibri"/>
                <w:sz w:val="24"/>
                <w:szCs w:val="24"/>
              </w:rPr>
              <w:t>nosolītājam, līdzīpašniekam vai kreditoram</w:t>
            </w:r>
            <w:r w:rsidR="005E3366">
              <w:rPr>
                <w:rFonts w:eastAsia="Calibri"/>
                <w:sz w:val="24"/>
                <w:szCs w:val="24"/>
              </w:rPr>
              <w:t>,</w:t>
            </w:r>
            <w:r w:rsidRPr="00787E5A" w:rsidR="00787E5A">
              <w:rPr>
                <w:rFonts w:eastAsia="Calibri"/>
                <w:sz w:val="24"/>
                <w:szCs w:val="24"/>
              </w:rPr>
              <w:t xml:space="preserve"> apmēr</w:t>
            </w:r>
            <w:r w:rsidR="00D413E3">
              <w:rPr>
                <w:rFonts w:eastAsia="Calibri"/>
                <w:sz w:val="24"/>
                <w:szCs w:val="24"/>
              </w:rPr>
              <w:t>i</w:t>
            </w:r>
            <w:r w:rsidR="00787E5A">
              <w:rPr>
                <w:rFonts w:eastAsia="Calibri"/>
                <w:sz w:val="24"/>
                <w:szCs w:val="24"/>
              </w:rPr>
              <w:t xml:space="preserve">. </w:t>
            </w:r>
            <w:r w:rsidR="00D413E3">
              <w:rPr>
                <w:rFonts w:eastAsia="Calibri"/>
                <w:sz w:val="24"/>
                <w:szCs w:val="24"/>
              </w:rPr>
              <w:t>A</w:t>
            </w:r>
            <w:r w:rsidR="00426DFC">
              <w:rPr>
                <w:rFonts w:eastAsia="Calibri"/>
                <w:sz w:val="24"/>
                <w:szCs w:val="24"/>
              </w:rPr>
              <w:t xml:space="preserve">tbilstoši </w:t>
            </w:r>
            <w:r w:rsidR="00D413E3">
              <w:rPr>
                <w:rFonts w:eastAsia="Calibri"/>
                <w:sz w:val="24"/>
                <w:szCs w:val="24"/>
              </w:rPr>
              <w:t>šiem</w:t>
            </w:r>
            <w:r w:rsidR="00426DFC">
              <w:rPr>
                <w:rFonts w:eastAsia="Calibri"/>
                <w:sz w:val="24"/>
                <w:szCs w:val="24"/>
              </w:rPr>
              <w:t xml:space="preserve"> grozījumiem noteikumu Nr. 1250 5.1. apakšpunkts paredz, ka </w:t>
            </w:r>
            <w:r w:rsidR="00936E1A">
              <w:rPr>
                <w:rFonts w:eastAsia="Calibri"/>
                <w:sz w:val="24"/>
                <w:szCs w:val="24"/>
              </w:rPr>
              <w:t xml:space="preserve">valsts nodeva, ja </w:t>
            </w:r>
            <w:r w:rsidRPr="00A61C62" w:rsidR="00A61C62">
              <w:rPr>
                <w:rFonts w:eastAsia="Calibri"/>
                <w:sz w:val="24"/>
                <w:szCs w:val="24"/>
              </w:rPr>
              <w:t>īpašum</w:t>
            </w:r>
            <w:r w:rsidR="00936E1A">
              <w:rPr>
                <w:rFonts w:eastAsia="Calibri"/>
                <w:sz w:val="24"/>
                <w:szCs w:val="24"/>
              </w:rPr>
              <w:t>u</w:t>
            </w:r>
            <w:r w:rsidRPr="00A61C62" w:rsidR="00A61C62">
              <w:rPr>
                <w:rFonts w:eastAsia="Calibri"/>
                <w:sz w:val="24"/>
                <w:szCs w:val="24"/>
              </w:rPr>
              <w:t xml:space="preserve"> atsavin</w:t>
            </w:r>
            <w:r w:rsidR="00936E1A">
              <w:rPr>
                <w:rFonts w:eastAsia="Calibri"/>
                <w:sz w:val="24"/>
                <w:szCs w:val="24"/>
              </w:rPr>
              <w:t>a</w:t>
            </w:r>
            <w:r w:rsidRPr="00A61C62" w:rsidR="00A61C62">
              <w:rPr>
                <w:rFonts w:eastAsia="Calibri"/>
                <w:sz w:val="24"/>
                <w:szCs w:val="24"/>
              </w:rPr>
              <w:t xml:space="preserve"> uz līguma vai tiesas lēmuma pamata par izsoles akta apstiprināšanu vai uz tiesas lēmuma pamata par nekustamā īpašuma nostiprināšanu nosolītājam, līdzīpašniekam vai kreditoram</w:t>
            </w:r>
            <w:r w:rsidR="00936E1A">
              <w:rPr>
                <w:rFonts w:eastAsia="Calibri"/>
                <w:sz w:val="24"/>
                <w:szCs w:val="24"/>
              </w:rPr>
              <w:t>,</w:t>
            </w:r>
            <w:r w:rsidRPr="00A61C62" w:rsidR="00A61C62">
              <w:rPr>
                <w:rFonts w:eastAsia="Calibri"/>
                <w:sz w:val="24"/>
                <w:szCs w:val="24"/>
              </w:rPr>
              <w:t xml:space="preserve"> </w:t>
            </w:r>
            <w:r w:rsidR="00110CB9">
              <w:rPr>
                <w:rFonts w:eastAsia="Calibri"/>
                <w:sz w:val="24"/>
                <w:szCs w:val="24"/>
              </w:rPr>
              <w:t>ir</w:t>
            </w:r>
            <w:r w:rsidRPr="00A61C62" w:rsidR="00A61C62">
              <w:rPr>
                <w:rFonts w:eastAsia="Calibri"/>
                <w:sz w:val="24"/>
                <w:szCs w:val="24"/>
              </w:rPr>
              <w:t xml:space="preserve"> 1,5</w:t>
            </w:r>
            <w:r w:rsidR="00A61C62">
              <w:rPr>
                <w:rFonts w:eastAsia="Calibri"/>
                <w:sz w:val="24"/>
                <w:szCs w:val="24"/>
              </w:rPr>
              <w:t> </w:t>
            </w:r>
            <w:r w:rsidRPr="00A61C62" w:rsidR="00A61C62">
              <w:rPr>
                <w:rFonts w:eastAsia="Calibri"/>
                <w:sz w:val="24"/>
                <w:szCs w:val="24"/>
              </w:rPr>
              <w:t>% no nekustamā īpašuma vērtības (</w:t>
            </w:r>
            <w:r w:rsidRPr="00A61C62" w:rsidR="00A61C62">
              <w:rPr>
                <w:rFonts w:eastAsia="Calibri"/>
                <w:i/>
                <w:iCs/>
                <w:sz w:val="24"/>
                <w:szCs w:val="24"/>
              </w:rPr>
              <w:t>euro</w:t>
            </w:r>
            <w:r w:rsidRPr="00A61C62" w:rsidR="00A61C62">
              <w:rPr>
                <w:rFonts w:eastAsia="Calibri"/>
                <w:sz w:val="24"/>
                <w:szCs w:val="24"/>
              </w:rPr>
              <w:t>), ja īpašuma tiesības iegūst fiziska persona</w:t>
            </w:r>
            <w:r w:rsidR="00A61C62">
              <w:rPr>
                <w:rFonts w:eastAsia="Calibri"/>
                <w:sz w:val="24"/>
                <w:szCs w:val="24"/>
              </w:rPr>
              <w:t>.</w:t>
            </w:r>
          </w:p>
          <w:p w:rsidR="0097455D" w:rsidP="00426DFC" w:rsidRDefault="00A61C62" w14:paraId="1BCD27C9" w14:textId="4CADC22E">
            <w:pPr>
              <w:shd w:val="clear" w:color="auto" w:fill="FFFFFF"/>
              <w:spacing w:after="0" w:line="240" w:lineRule="auto"/>
              <w:jc w:val="both"/>
              <w:rPr>
                <w:rFonts w:eastAsia="Calibri"/>
                <w:sz w:val="24"/>
                <w:szCs w:val="24"/>
              </w:rPr>
            </w:pPr>
            <w:r>
              <w:rPr>
                <w:rFonts w:eastAsia="Calibri"/>
                <w:sz w:val="24"/>
                <w:szCs w:val="24"/>
              </w:rPr>
              <w:t xml:space="preserve">Vienlaikus noteikumu </w:t>
            </w:r>
            <w:r w:rsidR="00987726">
              <w:rPr>
                <w:rFonts w:eastAsia="Calibri"/>
                <w:sz w:val="24"/>
                <w:szCs w:val="24"/>
              </w:rPr>
              <w:t xml:space="preserve">Nr. 1250 </w:t>
            </w:r>
            <w:r w:rsidRPr="0097455D" w:rsidR="0097455D">
              <w:rPr>
                <w:rFonts w:eastAsia="Calibri"/>
                <w:sz w:val="24"/>
                <w:szCs w:val="24"/>
              </w:rPr>
              <w:t>7.</w:t>
            </w:r>
            <w:r w:rsidRPr="0097455D" w:rsidR="0097455D">
              <w:rPr>
                <w:rFonts w:eastAsia="Calibri"/>
                <w:sz w:val="24"/>
                <w:szCs w:val="24"/>
                <w:vertAlign w:val="superscript"/>
              </w:rPr>
              <w:t>1</w:t>
            </w:r>
            <w:r w:rsidRPr="00AE4745" w:rsidR="0097455D">
              <w:rPr>
                <w:rFonts w:eastAsia="Calibri"/>
                <w:sz w:val="24"/>
                <w:szCs w:val="24"/>
              </w:rPr>
              <w:t> </w:t>
            </w:r>
            <w:r w:rsidRPr="0097455D" w:rsidR="0097455D">
              <w:rPr>
                <w:rFonts w:eastAsia="Calibri"/>
                <w:sz w:val="24"/>
                <w:szCs w:val="24"/>
              </w:rPr>
              <w:t>punktā</w:t>
            </w:r>
            <w:r w:rsidR="0097455D">
              <w:rPr>
                <w:rFonts w:eastAsia="Calibri"/>
                <w:sz w:val="24"/>
                <w:szCs w:val="24"/>
              </w:rPr>
              <w:t xml:space="preserve"> noteikts, ka p</w:t>
            </w:r>
            <w:r w:rsidRPr="0097455D" w:rsidR="0097455D">
              <w:rPr>
                <w:rFonts w:eastAsia="Calibri"/>
                <w:sz w:val="24"/>
                <w:szCs w:val="24"/>
              </w:rPr>
              <w:t>ersonai, kas nekustamo īpašumu iegūst, izmantojot normatīvajos aktos noteikto valsts sniegto palīdzību dzīvojamās telpas iegādei vai būvniecībai, valsts nodevu par īpašuma tiesību uz nekustamo īpašumu nostiprināšanu zemesgrāmatā šo noteikumu 5.1.</w:t>
            </w:r>
            <w:r w:rsidR="0097455D">
              <w:rPr>
                <w:rFonts w:eastAsia="Calibri"/>
                <w:sz w:val="24"/>
                <w:szCs w:val="24"/>
              </w:rPr>
              <w:t> </w:t>
            </w:r>
            <w:r w:rsidRPr="0097455D" w:rsidR="0097455D">
              <w:rPr>
                <w:rFonts w:eastAsia="Calibri"/>
                <w:sz w:val="24"/>
                <w:szCs w:val="24"/>
              </w:rPr>
              <w:t>apakšpunktā minētajos gadījumos nosaka šādā apmērā:</w:t>
            </w:r>
          </w:p>
          <w:p w:rsidRPr="005C229A" w:rsidR="005C229A" w:rsidP="005C229A" w:rsidRDefault="005C229A" w14:paraId="47E71F6F" w14:textId="1BC17888">
            <w:pPr>
              <w:shd w:val="clear" w:color="auto" w:fill="FFFFFF"/>
              <w:spacing w:after="0" w:line="240" w:lineRule="auto"/>
              <w:jc w:val="both"/>
              <w:rPr>
                <w:rFonts w:eastAsia="Calibri"/>
                <w:sz w:val="24"/>
                <w:szCs w:val="24"/>
              </w:rPr>
            </w:pPr>
            <w:r>
              <w:rPr>
                <w:rFonts w:eastAsia="Calibri"/>
                <w:sz w:val="24"/>
                <w:szCs w:val="24"/>
              </w:rPr>
              <w:t>1) </w:t>
            </w:r>
            <w:r w:rsidRPr="005C229A">
              <w:rPr>
                <w:rFonts w:eastAsia="Calibri"/>
                <w:sz w:val="24"/>
                <w:szCs w:val="24"/>
              </w:rPr>
              <w:t>0,5</w:t>
            </w:r>
            <w:r w:rsidR="007E562B">
              <w:rPr>
                <w:rFonts w:eastAsia="Calibri"/>
                <w:sz w:val="24"/>
                <w:szCs w:val="24"/>
              </w:rPr>
              <w:t> </w:t>
            </w:r>
            <w:r w:rsidRPr="005C229A">
              <w:rPr>
                <w:rFonts w:eastAsia="Calibri"/>
                <w:sz w:val="24"/>
                <w:szCs w:val="24"/>
              </w:rPr>
              <w:t>% no nekustamā īpašuma vērtības (</w:t>
            </w:r>
            <w:r w:rsidRPr="00110CB9">
              <w:rPr>
                <w:rFonts w:eastAsia="Calibri"/>
                <w:i/>
                <w:iCs/>
                <w:sz w:val="24"/>
                <w:szCs w:val="24"/>
              </w:rPr>
              <w:t>euro</w:t>
            </w:r>
            <w:r w:rsidRPr="005C229A">
              <w:rPr>
                <w:rFonts w:eastAsia="Calibri"/>
                <w:sz w:val="24"/>
                <w:szCs w:val="24"/>
              </w:rPr>
              <w:t>), ja nekustamā īpašuma vērtība nepārsniedz 100</w:t>
            </w:r>
            <w:r w:rsidR="007E562B">
              <w:rPr>
                <w:rFonts w:eastAsia="Calibri"/>
                <w:sz w:val="24"/>
                <w:szCs w:val="24"/>
              </w:rPr>
              <w:t> </w:t>
            </w:r>
            <w:r w:rsidRPr="005C229A">
              <w:rPr>
                <w:rFonts w:eastAsia="Calibri"/>
                <w:sz w:val="24"/>
                <w:szCs w:val="24"/>
              </w:rPr>
              <w:t>000</w:t>
            </w:r>
            <w:r w:rsidR="00BE5F96">
              <w:rPr>
                <w:rFonts w:eastAsia="Calibri"/>
                <w:sz w:val="24"/>
                <w:szCs w:val="24"/>
              </w:rPr>
              <w:t> </w:t>
            </w:r>
            <w:r w:rsidRPr="00BE5F96">
              <w:rPr>
                <w:rFonts w:eastAsia="Calibri"/>
                <w:i/>
                <w:iCs/>
                <w:sz w:val="24"/>
                <w:szCs w:val="24"/>
              </w:rPr>
              <w:t>euro</w:t>
            </w:r>
            <w:r w:rsidRPr="005C229A">
              <w:rPr>
                <w:rFonts w:eastAsia="Calibri"/>
                <w:sz w:val="24"/>
                <w:szCs w:val="24"/>
              </w:rPr>
              <w:t>;</w:t>
            </w:r>
          </w:p>
          <w:p w:rsidR="005C229A" w:rsidP="005C229A" w:rsidRDefault="005C229A" w14:paraId="3B84B5BC" w14:textId="0BE2FB26">
            <w:pPr>
              <w:shd w:val="clear" w:color="auto" w:fill="FFFFFF"/>
              <w:spacing w:after="0" w:line="240" w:lineRule="auto"/>
              <w:jc w:val="both"/>
              <w:rPr>
                <w:rFonts w:eastAsia="Calibri"/>
                <w:sz w:val="24"/>
                <w:szCs w:val="24"/>
              </w:rPr>
            </w:pPr>
            <w:r>
              <w:rPr>
                <w:rFonts w:eastAsia="Calibri"/>
                <w:sz w:val="24"/>
                <w:szCs w:val="24"/>
              </w:rPr>
              <w:lastRenderedPageBreak/>
              <w:t>2) </w:t>
            </w:r>
            <w:r w:rsidRPr="005C229A">
              <w:rPr>
                <w:rFonts w:eastAsia="Calibri"/>
                <w:sz w:val="24"/>
                <w:szCs w:val="24"/>
              </w:rPr>
              <w:t>500</w:t>
            </w:r>
            <w:r w:rsidR="00BE5F96">
              <w:rPr>
                <w:rFonts w:eastAsia="Calibri"/>
                <w:sz w:val="24"/>
                <w:szCs w:val="24"/>
              </w:rPr>
              <w:t> </w:t>
            </w:r>
            <w:r w:rsidRPr="00110CB9">
              <w:rPr>
                <w:rFonts w:eastAsia="Calibri"/>
                <w:i/>
                <w:iCs/>
                <w:sz w:val="24"/>
                <w:szCs w:val="24"/>
              </w:rPr>
              <w:t>euro</w:t>
            </w:r>
            <w:r w:rsidRPr="005C229A">
              <w:rPr>
                <w:rFonts w:eastAsia="Calibri"/>
                <w:sz w:val="24"/>
                <w:szCs w:val="24"/>
              </w:rPr>
              <w:t xml:space="preserve"> plus 2</w:t>
            </w:r>
            <w:r w:rsidR="00FE149A">
              <w:rPr>
                <w:rFonts w:eastAsia="Calibri"/>
                <w:sz w:val="24"/>
                <w:szCs w:val="24"/>
              </w:rPr>
              <w:t> </w:t>
            </w:r>
            <w:r w:rsidRPr="005C229A">
              <w:rPr>
                <w:rFonts w:eastAsia="Calibri"/>
                <w:sz w:val="24"/>
                <w:szCs w:val="24"/>
              </w:rPr>
              <w:t>% no nekustamā īpašuma vērtības, kas pārsniedz 100</w:t>
            </w:r>
            <w:r w:rsidR="007E562B">
              <w:rPr>
                <w:rFonts w:eastAsia="Calibri"/>
                <w:sz w:val="24"/>
                <w:szCs w:val="24"/>
              </w:rPr>
              <w:t> </w:t>
            </w:r>
            <w:r w:rsidRPr="005C229A">
              <w:rPr>
                <w:rFonts w:eastAsia="Calibri"/>
                <w:sz w:val="24"/>
                <w:szCs w:val="24"/>
              </w:rPr>
              <w:t>000</w:t>
            </w:r>
            <w:r w:rsidR="007E562B">
              <w:rPr>
                <w:rFonts w:eastAsia="Calibri"/>
                <w:sz w:val="24"/>
                <w:szCs w:val="24"/>
              </w:rPr>
              <w:t> </w:t>
            </w:r>
            <w:r w:rsidRPr="00BE5F96">
              <w:rPr>
                <w:rFonts w:eastAsia="Calibri"/>
                <w:i/>
                <w:iCs/>
                <w:sz w:val="24"/>
                <w:szCs w:val="24"/>
              </w:rPr>
              <w:t>euro</w:t>
            </w:r>
            <w:r w:rsidRPr="005C229A">
              <w:rPr>
                <w:rFonts w:eastAsia="Calibri"/>
                <w:sz w:val="24"/>
                <w:szCs w:val="24"/>
              </w:rPr>
              <w:t>.</w:t>
            </w:r>
          </w:p>
          <w:p w:rsidR="00FE149A" w:rsidP="00426DFC" w:rsidRDefault="005C229A" w14:paraId="087DF675" w14:textId="10DCCCC3">
            <w:pPr>
              <w:shd w:val="clear" w:color="auto" w:fill="FFFFFF"/>
              <w:spacing w:after="0" w:line="240" w:lineRule="auto"/>
              <w:jc w:val="both"/>
              <w:rPr>
                <w:rFonts w:eastAsia="Calibri"/>
                <w:sz w:val="24"/>
                <w:szCs w:val="24"/>
              </w:rPr>
            </w:pPr>
            <w:r>
              <w:rPr>
                <w:rFonts w:eastAsia="Calibri"/>
                <w:sz w:val="24"/>
                <w:szCs w:val="24"/>
              </w:rPr>
              <w:t xml:space="preserve">Tādējādi noteikumu Nr. 1250 </w:t>
            </w:r>
            <w:r w:rsidRPr="00423083" w:rsidR="00423083">
              <w:rPr>
                <w:rFonts w:eastAsia="Calibri"/>
                <w:sz w:val="24"/>
                <w:szCs w:val="24"/>
              </w:rPr>
              <w:t>7.</w:t>
            </w:r>
            <w:r w:rsidRPr="00423083" w:rsidR="00423083">
              <w:rPr>
                <w:rFonts w:eastAsia="Calibri"/>
                <w:sz w:val="24"/>
                <w:szCs w:val="24"/>
                <w:vertAlign w:val="superscript"/>
              </w:rPr>
              <w:t>1</w:t>
            </w:r>
            <w:r w:rsidRPr="00AE4745" w:rsidR="00423083">
              <w:rPr>
                <w:rFonts w:eastAsia="Calibri"/>
                <w:sz w:val="24"/>
                <w:szCs w:val="24"/>
              </w:rPr>
              <w:t> </w:t>
            </w:r>
            <w:r w:rsidRPr="00423083" w:rsidR="00423083">
              <w:rPr>
                <w:rFonts w:eastAsia="Calibri"/>
                <w:sz w:val="24"/>
                <w:szCs w:val="24"/>
              </w:rPr>
              <w:t>punktā</w:t>
            </w:r>
            <w:r w:rsidR="00423083">
              <w:rPr>
                <w:rFonts w:eastAsia="Calibri"/>
                <w:sz w:val="24"/>
                <w:szCs w:val="24"/>
              </w:rPr>
              <w:t xml:space="preserve"> ir atsauce uz 5.1. apakšpunktu, kurā </w:t>
            </w:r>
            <w:r w:rsidR="00A8728C">
              <w:rPr>
                <w:rFonts w:eastAsia="Calibri"/>
                <w:sz w:val="24"/>
                <w:szCs w:val="24"/>
              </w:rPr>
              <w:t xml:space="preserve">valsts </w:t>
            </w:r>
            <w:r w:rsidR="00423083">
              <w:rPr>
                <w:rFonts w:eastAsia="Calibri"/>
                <w:sz w:val="24"/>
                <w:szCs w:val="24"/>
              </w:rPr>
              <w:t>nodevas likme noteikta 1</w:t>
            </w:r>
            <w:r w:rsidR="00062AFE">
              <w:rPr>
                <w:rFonts w:eastAsia="Calibri"/>
                <w:sz w:val="24"/>
                <w:szCs w:val="24"/>
              </w:rPr>
              <w:t>,</w:t>
            </w:r>
            <w:r w:rsidR="00423083">
              <w:rPr>
                <w:rFonts w:eastAsia="Calibri"/>
                <w:sz w:val="24"/>
                <w:szCs w:val="24"/>
              </w:rPr>
              <w:t>5</w:t>
            </w:r>
            <w:r w:rsidR="00062AFE">
              <w:rPr>
                <w:rFonts w:eastAsia="Calibri"/>
                <w:sz w:val="24"/>
                <w:szCs w:val="24"/>
              </w:rPr>
              <w:t xml:space="preserve"> % apmērā, bet </w:t>
            </w:r>
            <w:r w:rsidRPr="00E32BE2" w:rsidR="00E32BE2">
              <w:rPr>
                <w:rFonts w:eastAsia="Calibri"/>
                <w:sz w:val="24"/>
                <w:szCs w:val="24"/>
              </w:rPr>
              <w:t>7.</w:t>
            </w:r>
            <w:r w:rsidRPr="00E32BE2" w:rsidR="00E32BE2">
              <w:rPr>
                <w:rFonts w:eastAsia="Calibri"/>
                <w:sz w:val="24"/>
                <w:szCs w:val="24"/>
                <w:vertAlign w:val="superscript"/>
              </w:rPr>
              <w:t>1</w:t>
            </w:r>
            <w:r w:rsidRPr="00E32BE2" w:rsidR="00E32BE2">
              <w:rPr>
                <w:rFonts w:eastAsia="Calibri"/>
                <w:sz w:val="24"/>
                <w:szCs w:val="24"/>
              </w:rPr>
              <w:t> 2. apakšpunktā</w:t>
            </w:r>
            <w:r w:rsidR="00FE149A">
              <w:rPr>
                <w:rFonts w:eastAsia="Calibri"/>
                <w:sz w:val="24"/>
                <w:szCs w:val="24"/>
              </w:rPr>
              <w:t xml:space="preserve"> norādīt</w:t>
            </w:r>
            <w:r w:rsidR="00C302D3">
              <w:rPr>
                <w:rFonts w:eastAsia="Calibri"/>
                <w:sz w:val="24"/>
                <w:szCs w:val="24"/>
              </w:rPr>
              <w:t>ā</w:t>
            </w:r>
            <w:r w:rsidR="00FE149A">
              <w:rPr>
                <w:rFonts w:eastAsia="Calibri"/>
                <w:sz w:val="24"/>
                <w:szCs w:val="24"/>
              </w:rPr>
              <w:t xml:space="preserve"> </w:t>
            </w:r>
            <w:r w:rsidR="00A8728C">
              <w:rPr>
                <w:rFonts w:eastAsia="Calibri"/>
                <w:sz w:val="24"/>
                <w:szCs w:val="24"/>
              </w:rPr>
              <w:t xml:space="preserve">valsts </w:t>
            </w:r>
            <w:r w:rsidR="00FE149A">
              <w:rPr>
                <w:rFonts w:eastAsia="Calibri"/>
                <w:sz w:val="24"/>
                <w:szCs w:val="24"/>
              </w:rPr>
              <w:t xml:space="preserve">nodevas likme </w:t>
            </w:r>
            <w:r w:rsidR="00062AFE">
              <w:rPr>
                <w:rFonts w:eastAsia="Calibri"/>
                <w:sz w:val="24"/>
                <w:szCs w:val="24"/>
              </w:rPr>
              <w:t>ir palikusi 2 % apmērā.</w:t>
            </w:r>
          </w:p>
          <w:p w:rsidRPr="006E1F40" w:rsidR="006E1F40" w:rsidP="006E1F40" w:rsidRDefault="0020179D" w14:paraId="49D56D57" w14:textId="01C5D566">
            <w:pPr>
              <w:shd w:val="clear" w:color="auto" w:fill="FFFFFF"/>
              <w:spacing w:after="0" w:line="240" w:lineRule="auto"/>
              <w:jc w:val="both"/>
              <w:rPr>
                <w:rFonts w:eastAsia="Calibri"/>
                <w:sz w:val="24"/>
                <w:szCs w:val="24"/>
              </w:rPr>
            </w:pPr>
            <w:r>
              <w:rPr>
                <w:rFonts w:eastAsia="Calibri"/>
                <w:sz w:val="24"/>
                <w:szCs w:val="24"/>
              </w:rPr>
              <w:t xml:space="preserve">Norādāms, ka </w:t>
            </w:r>
            <w:r w:rsidRPr="00D148F3" w:rsidR="00D148F3">
              <w:rPr>
                <w:rFonts w:eastAsia="Calibri"/>
                <w:sz w:val="24"/>
                <w:szCs w:val="24"/>
              </w:rPr>
              <w:t xml:space="preserve">noteikumu Nr. 439 </w:t>
            </w:r>
            <w:r w:rsidR="0090437F">
              <w:rPr>
                <w:rFonts w:eastAsia="Calibri"/>
                <w:sz w:val="24"/>
                <w:szCs w:val="24"/>
              </w:rPr>
              <w:t>sākotnējās ietekmes novērtējuma ziņojumā (</w:t>
            </w:r>
            <w:r w:rsidRPr="006E1F40" w:rsidR="006E1F40">
              <w:rPr>
                <w:rFonts w:eastAsia="Calibri"/>
                <w:sz w:val="24"/>
                <w:szCs w:val="24"/>
              </w:rPr>
              <w:t>anotācijā</w:t>
            </w:r>
            <w:r w:rsidR="0090437F">
              <w:rPr>
                <w:rFonts w:eastAsia="Calibri"/>
                <w:sz w:val="24"/>
                <w:szCs w:val="24"/>
              </w:rPr>
              <w:t>)</w:t>
            </w:r>
            <w:r w:rsidRPr="006E1F40" w:rsidR="006E1F40">
              <w:rPr>
                <w:rFonts w:eastAsia="Calibri"/>
                <w:sz w:val="24"/>
                <w:szCs w:val="24"/>
              </w:rPr>
              <w:t xml:space="preserve"> ir vairākkārt uzsvērts, ka "</w:t>
            </w:r>
            <w:r w:rsidRPr="006E1F40" w:rsidR="006E1F40">
              <w:rPr>
                <w:rFonts w:eastAsia="Calibri"/>
                <w:i/>
                <w:iCs/>
                <w:sz w:val="24"/>
                <w:szCs w:val="24"/>
              </w:rPr>
              <w:t>ar priekšlikumu paredzēts tos (valsts nodevas apmērus) samazināt, proti, valsts nodevas apmēru fiziskai personai no šobrīd noteiktajiem 2</w:t>
            </w:r>
            <w:r w:rsidR="0090437F">
              <w:rPr>
                <w:rFonts w:eastAsia="Calibri"/>
                <w:i/>
                <w:iCs/>
                <w:sz w:val="24"/>
                <w:szCs w:val="24"/>
              </w:rPr>
              <w:t> </w:t>
            </w:r>
            <w:r w:rsidRPr="006E1F40" w:rsidR="006E1F40">
              <w:rPr>
                <w:rFonts w:eastAsia="Calibri"/>
                <w:i/>
                <w:iCs/>
                <w:sz w:val="24"/>
                <w:szCs w:val="24"/>
              </w:rPr>
              <w:t>% samazināt uz 1,5</w:t>
            </w:r>
            <w:r w:rsidR="0090437F">
              <w:rPr>
                <w:rFonts w:eastAsia="Calibri"/>
                <w:i/>
                <w:iCs/>
                <w:sz w:val="24"/>
                <w:szCs w:val="24"/>
              </w:rPr>
              <w:t> </w:t>
            </w:r>
            <w:r w:rsidRPr="006E1F40" w:rsidR="006E1F40">
              <w:rPr>
                <w:rFonts w:eastAsia="Calibri"/>
                <w:i/>
                <w:iCs/>
                <w:sz w:val="24"/>
                <w:szCs w:val="24"/>
              </w:rPr>
              <w:t xml:space="preserve">% no īpašuma vērtības", </w:t>
            </w:r>
            <w:r w:rsidRPr="006E1F40" w:rsidR="006E1F40">
              <w:rPr>
                <w:rFonts w:eastAsia="Calibri"/>
                <w:sz w:val="24"/>
                <w:szCs w:val="24"/>
              </w:rPr>
              <w:t>uzsverot, ka</w:t>
            </w:r>
            <w:r w:rsidRPr="006E1F40" w:rsidR="006E1F40">
              <w:rPr>
                <w:rFonts w:eastAsia="Calibri"/>
                <w:i/>
                <w:iCs/>
                <w:sz w:val="24"/>
                <w:szCs w:val="24"/>
              </w:rPr>
              <w:t xml:space="preserve"> "noteikumu projekts attieksies uz ikvienu fizisku un juridisku personu, kura nākotnē vēlēsies nostiprināt īpašuma tiesības, pamatojoties uz īpašuma atsavināšanu uz līguma vai tiesas lēmuma pamata par izsoles akta apstiprināšanu vai uz tiesas lēmuma pamata par nekustamā īpašuma nostiprināšanu, jo tiek samazināts valsts nodevas apmērs par īpašuma tiesību nostiprināšanu zemesgrāmatā minētajos gadījumos</w:t>
            </w:r>
            <w:r w:rsidRPr="006E1F40" w:rsidR="006E1F40">
              <w:rPr>
                <w:rFonts w:eastAsia="Calibri"/>
                <w:sz w:val="24"/>
                <w:szCs w:val="24"/>
              </w:rPr>
              <w:t xml:space="preserve">". </w:t>
            </w:r>
            <w:r w:rsidR="00620907">
              <w:rPr>
                <w:rFonts w:eastAsia="Calibri"/>
                <w:sz w:val="24"/>
                <w:szCs w:val="24"/>
              </w:rPr>
              <w:t>Tādējādi</w:t>
            </w:r>
            <w:r w:rsidRPr="006E1F40" w:rsidR="006E1F40">
              <w:rPr>
                <w:rFonts w:eastAsia="Calibri"/>
                <w:sz w:val="24"/>
                <w:szCs w:val="24"/>
              </w:rPr>
              <w:t xml:space="preserve"> secināms, ka </w:t>
            </w:r>
            <w:r w:rsidR="001D0C08">
              <w:rPr>
                <w:rFonts w:eastAsia="Calibri"/>
                <w:sz w:val="24"/>
                <w:szCs w:val="24"/>
              </w:rPr>
              <w:t>n</w:t>
            </w:r>
            <w:r w:rsidRPr="006E1F40" w:rsidR="006E1F40">
              <w:rPr>
                <w:rFonts w:eastAsia="Calibri"/>
                <w:sz w:val="24"/>
                <w:szCs w:val="24"/>
              </w:rPr>
              <w:t>oteikumu Nr. 1250 7.</w:t>
            </w:r>
            <w:r w:rsidRPr="006E1F40" w:rsidR="006E1F40">
              <w:rPr>
                <w:rFonts w:eastAsia="Calibri"/>
                <w:sz w:val="24"/>
                <w:szCs w:val="24"/>
                <w:vertAlign w:val="superscript"/>
              </w:rPr>
              <w:t>1</w:t>
            </w:r>
            <w:r w:rsidRPr="006E1F40" w:rsidR="006E1F40">
              <w:rPr>
                <w:rFonts w:eastAsia="Calibri"/>
                <w:sz w:val="24"/>
                <w:szCs w:val="24"/>
              </w:rPr>
              <w:t> 2.</w:t>
            </w:r>
            <w:r w:rsidR="00620907">
              <w:rPr>
                <w:rFonts w:eastAsia="Calibri"/>
                <w:sz w:val="24"/>
                <w:szCs w:val="24"/>
              </w:rPr>
              <w:t> </w:t>
            </w:r>
            <w:r w:rsidRPr="006E1F40" w:rsidR="006E1F40">
              <w:rPr>
                <w:rFonts w:eastAsia="Calibri"/>
                <w:sz w:val="24"/>
                <w:szCs w:val="24"/>
              </w:rPr>
              <w:t>apakšpunktā ietvertā atsauce uz valsts nodevas procentuālo likmi 2</w:t>
            </w:r>
            <w:r w:rsidR="00620907">
              <w:rPr>
                <w:rFonts w:eastAsia="Calibri"/>
                <w:sz w:val="24"/>
                <w:szCs w:val="24"/>
              </w:rPr>
              <w:t> </w:t>
            </w:r>
            <w:r w:rsidRPr="006E1F40" w:rsidR="006E1F40">
              <w:rPr>
                <w:rFonts w:eastAsia="Calibri"/>
                <w:sz w:val="24"/>
                <w:szCs w:val="24"/>
              </w:rPr>
              <w:t xml:space="preserve">% apmērā neatbilst likumdevēja dotajam deleģējumam un </w:t>
            </w:r>
            <w:r w:rsidR="00FE3FBF">
              <w:rPr>
                <w:rFonts w:eastAsia="Calibri"/>
                <w:sz w:val="24"/>
                <w:szCs w:val="24"/>
              </w:rPr>
              <w:t>n</w:t>
            </w:r>
            <w:r w:rsidRPr="006E1F40" w:rsidR="006E1F40">
              <w:rPr>
                <w:rFonts w:eastAsia="Calibri"/>
                <w:sz w:val="24"/>
                <w:szCs w:val="24"/>
              </w:rPr>
              <w:t>oteikumu Nr. 439 mērķim. Ievērojot minēto, ja personai tiek nostiprinātas īpašuma tiesības uz nekustamo īpašumu, kura vērtība pārsniedz 100</w:t>
            </w:r>
            <w:r w:rsidR="00D35118">
              <w:rPr>
                <w:rFonts w:eastAsia="Calibri"/>
                <w:sz w:val="24"/>
                <w:szCs w:val="24"/>
              </w:rPr>
              <w:t> </w:t>
            </w:r>
            <w:r w:rsidRPr="006E1F40" w:rsidR="006E1F40">
              <w:rPr>
                <w:rFonts w:eastAsia="Calibri"/>
                <w:sz w:val="24"/>
                <w:szCs w:val="24"/>
              </w:rPr>
              <w:t>000</w:t>
            </w:r>
            <w:r w:rsidR="00D35118">
              <w:rPr>
                <w:rFonts w:eastAsia="Calibri"/>
                <w:sz w:val="24"/>
                <w:szCs w:val="24"/>
              </w:rPr>
              <w:t> </w:t>
            </w:r>
            <w:r w:rsidRPr="006E1F40" w:rsidR="006E1F40">
              <w:rPr>
                <w:rFonts w:eastAsia="Calibri"/>
                <w:i/>
                <w:iCs/>
                <w:sz w:val="24"/>
                <w:szCs w:val="24"/>
              </w:rPr>
              <w:t>euro</w:t>
            </w:r>
            <w:r w:rsidRPr="006E1F40" w:rsidR="006E1F40">
              <w:rPr>
                <w:rFonts w:eastAsia="Calibri"/>
                <w:sz w:val="24"/>
                <w:szCs w:val="24"/>
              </w:rPr>
              <w:t>, un nekustamo īpašumu tā iegūst, izmantojot normatīvajos aktos noteikto valsts sniegto palīdzību dzīvojamās telpas iegādei vai būvniecībai</w:t>
            </w:r>
            <w:r w:rsidR="00D35118">
              <w:rPr>
                <w:rFonts w:eastAsia="Calibri"/>
                <w:sz w:val="24"/>
                <w:szCs w:val="24"/>
              </w:rPr>
              <w:t xml:space="preserve">, </w:t>
            </w:r>
            <w:r w:rsidRPr="006E1F40" w:rsidR="006E1F40">
              <w:rPr>
                <w:rFonts w:eastAsia="Calibri"/>
                <w:sz w:val="24"/>
                <w:szCs w:val="24"/>
              </w:rPr>
              <w:t xml:space="preserve">par īpašuma tiesību uz nekustamo īpašumu nostiprināšanu zemesgrāmatā </w:t>
            </w:r>
            <w:r w:rsidR="00644234">
              <w:rPr>
                <w:rFonts w:eastAsia="Calibri"/>
                <w:sz w:val="24"/>
                <w:szCs w:val="24"/>
              </w:rPr>
              <w:t>maksājama</w:t>
            </w:r>
            <w:r w:rsidRPr="006E1F40" w:rsidR="006E1F40">
              <w:rPr>
                <w:rFonts w:eastAsia="Calibri"/>
                <w:sz w:val="24"/>
                <w:szCs w:val="24"/>
              </w:rPr>
              <w:t xml:space="preserve"> valsts nodeva 500</w:t>
            </w:r>
            <w:r w:rsidR="00644234">
              <w:rPr>
                <w:rFonts w:eastAsia="Calibri"/>
                <w:sz w:val="24"/>
                <w:szCs w:val="24"/>
              </w:rPr>
              <w:t> </w:t>
            </w:r>
            <w:r w:rsidRPr="00C9193B" w:rsidR="006E1F40">
              <w:rPr>
                <w:rFonts w:eastAsia="Calibri"/>
                <w:i/>
                <w:iCs/>
                <w:sz w:val="24"/>
                <w:szCs w:val="24"/>
              </w:rPr>
              <w:t>euro</w:t>
            </w:r>
            <w:r w:rsidRPr="006E1F40" w:rsidR="006E1F40">
              <w:rPr>
                <w:rFonts w:eastAsia="Calibri"/>
                <w:sz w:val="24"/>
                <w:szCs w:val="24"/>
              </w:rPr>
              <w:t xml:space="preserve"> plus 1,5</w:t>
            </w:r>
            <w:r w:rsidR="00644234">
              <w:rPr>
                <w:rFonts w:eastAsia="Calibri"/>
                <w:sz w:val="24"/>
                <w:szCs w:val="24"/>
              </w:rPr>
              <w:t> </w:t>
            </w:r>
            <w:r w:rsidRPr="006E1F40" w:rsidR="006E1F40">
              <w:rPr>
                <w:rFonts w:eastAsia="Calibri"/>
                <w:sz w:val="24"/>
                <w:szCs w:val="24"/>
              </w:rPr>
              <w:t>% no nekustamā īpašuma vērtības, kas pārsniedz 100</w:t>
            </w:r>
            <w:r w:rsidR="00644234">
              <w:rPr>
                <w:rFonts w:eastAsia="Calibri"/>
                <w:sz w:val="24"/>
                <w:szCs w:val="24"/>
              </w:rPr>
              <w:t> </w:t>
            </w:r>
            <w:r w:rsidRPr="006E1F40" w:rsidR="006E1F40">
              <w:rPr>
                <w:rFonts w:eastAsia="Calibri"/>
                <w:sz w:val="24"/>
                <w:szCs w:val="24"/>
              </w:rPr>
              <w:t>000</w:t>
            </w:r>
            <w:r w:rsidR="00644234">
              <w:rPr>
                <w:rFonts w:eastAsia="Calibri"/>
                <w:sz w:val="24"/>
                <w:szCs w:val="24"/>
              </w:rPr>
              <w:t> </w:t>
            </w:r>
            <w:r w:rsidRPr="006E1F40" w:rsidR="006E1F40">
              <w:rPr>
                <w:rFonts w:eastAsia="Calibri"/>
                <w:i/>
                <w:iCs/>
                <w:sz w:val="24"/>
                <w:szCs w:val="24"/>
              </w:rPr>
              <w:t>euro</w:t>
            </w:r>
            <w:r w:rsidRPr="006E1F40" w:rsidR="006E1F40">
              <w:rPr>
                <w:rFonts w:eastAsia="Calibri"/>
                <w:sz w:val="24"/>
                <w:szCs w:val="24"/>
              </w:rPr>
              <w:t xml:space="preserve">. </w:t>
            </w:r>
          </w:p>
          <w:p w:rsidRPr="008F3B78" w:rsidR="008F3B78" w:rsidP="008F3B78" w:rsidRDefault="00644234" w14:paraId="647E71BB" w14:textId="5A635DB9">
            <w:pPr>
              <w:shd w:val="clear" w:color="auto" w:fill="FFFFFF"/>
              <w:spacing w:after="0" w:line="240" w:lineRule="auto"/>
              <w:jc w:val="both"/>
              <w:rPr>
                <w:rFonts w:eastAsia="Calibri"/>
                <w:sz w:val="24"/>
                <w:szCs w:val="24"/>
              </w:rPr>
            </w:pPr>
            <w:r>
              <w:rPr>
                <w:rFonts w:eastAsia="Calibri"/>
                <w:sz w:val="24"/>
                <w:szCs w:val="24"/>
              </w:rPr>
              <w:t>Vienlaikus, l</w:t>
            </w:r>
            <w:r w:rsidR="00062AFE">
              <w:rPr>
                <w:rFonts w:eastAsia="Calibri"/>
                <w:sz w:val="24"/>
                <w:szCs w:val="24"/>
              </w:rPr>
              <w:t>ai ikvienam tiesību normas piem</w:t>
            </w:r>
            <w:r w:rsidR="00227A74">
              <w:rPr>
                <w:rFonts w:eastAsia="Calibri"/>
                <w:sz w:val="24"/>
                <w:szCs w:val="24"/>
              </w:rPr>
              <w:t>ēr</w:t>
            </w:r>
            <w:r w:rsidR="00062AFE">
              <w:rPr>
                <w:rFonts w:eastAsia="Calibri"/>
                <w:sz w:val="24"/>
                <w:szCs w:val="24"/>
              </w:rPr>
              <w:t xml:space="preserve">otājam būtu nepārprotami skaidrs </w:t>
            </w:r>
            <w:r w:rsidR="00734290">
              <w:rPr>
                <w:rFonts w:eastAsia="Calibri"/>
                <w:sz w:val="24"/>
                <w:szCs w:val="24"/>
              </w:rPr>
              <w:t>šīs normas</w:t>
            </w:r>
            <w:r w:rsidR="00267252">
              <w:rPr>
                <w:rFonts w:eastAsia="Calibri"/>
                <w:sz w:val="24"/>
                <w:szCs w:val="24"/>
              </w:rPr>
              <w:t xml:space="preserve"> mērķis</w:t>
            </w:r>
            <w:r w:rsidR="00FE3FBF">
              <w:rPr>
                <w:rFonts w:eastAsia="Calibri"/>
                <w:sz w:val="24"/>
                <w:szCs w:val="24"/>
              </w:rPr>
              <w:t xml:space="preserve"> un tās piemērošana</w:t>
            </w:r>
            <w:r w:rsidR="00227A74">
              <w:rPr>
                <w:rFonts w:eastAsia="Calibri"/>
                <w:sz w:val="24"/>
                <w:szCs w:val="24"/>
              </w:rPr>
              <w:t xml:space="preserve">, izstrādāts </w:t>
            </w:r>
            <w:r w:rsidR="004E29A8">
              <w:rPr>
                <w:rFonts w:eastAsia="Calibri"/>
                <w:sz w:val="24"/>
                <w:szCs w:val="24"/>
              </w:rPr>
              <w:t>N</w:t>
            </w:r>
            <w:r w:rsidR="00227A74">
              <w:rPr>
                <w:rFonts w:eastAsia="Calibri"/>
                <w:sz w:val="24"/>
                <w:szCs w:val="24"/>
              </w:rPr>
              <w:t>oteikumu projekts, kas paredz tehnisku grozījumu</w:t>
            </w:r>
            <w:r w:rsidR="00A8728C">
              <w:rPr>
                <w:rFonts w:eastAsia="Calibri"/>
                <w:sz w:val="24"/>
                <w:szCs w:val="24"/>
              </w:rPr>
              <w:t>,</w:t>
            </w:r>
            <w:r w:rsidR="00227A74">
              <w:rPr>
                <w:rFonts w:eastAsia="Calibri"/>
                <w:sz w:val="24"/>
                <w:szCs w:val="24"/>
              </w:rPr>
              <w:t xml:space="preserve"> </w:t>
            </w:r>
            <w:r w:rsidR="008F3B78">
              <w:rPr>
                <w:rFonts w:eastAsia="Calibri"/>
                <w:sz w:val="24"/>
                <w:szCs w:val="24"/>
              </w:rPr>
              <w:t>aizstājot</w:t>
            </w:r>
            <w:r w:rsidRPr="008F3B78" w:rsidR="008F3B78">
              <w:rPr>
                <w:rFonts w:eastAsia="Calibri"/>
                <w:sz w:val="24"/>
                <w:szCs w:val="24"/>
              </w:rPr>
              <w:t xml:space="preserve"> skaitli </w:t>
            </w:r>
            <w:r w:rsidR="00CE78E9">
              <w:rPr>
                <w:rFonts w:eastAsia="Calibri"/>
                <w:sz w:val="24"/>
                <w:szCs w:val="24"/>
              </w:rPr>
              <w:t xml:space="preserve">un simbolu </w:t>
            </w:r>
            <w:r w:rsidRPr="008F3B78" w:rsidR="008F3B78">
              <w:rPr>
                <w:rFonts w:eastAsia="Calibri"/>
                <w:sz w:val="24"/>
                <w:szCs w:val="24"/>
              </w:rPr>
              <w:t xml:space="preserve">"2 %" ar skaitli </w:t>
            </w:r>
            <w:r w:rsidR="00CE78E9">
              <w:rPr>
                <w:rFonts w:eastAsia="Calibri"/>
                <w:sz w:val="24"/>
                <w:szCs w:val="24"/>
              </w:rPr>
              <w:t xml:space="preserve">un simbolu </w:t>
            </w:r>
            <w:r w:rsidRPr="008F3B78" w:rsidR="008F3B78">
              <w:rPr>
                <w:rFonts w:eastAsia="Calibri"/>
                <w:sz w:val="24"/>
                <w:szCs w:val="24"/>
              </w:rPr>
              <w:t>"1,5 %".</w:t>
            </w:r>
          </w:p>
          <w:p w:rsidRPr="00A35A64" w:rsidR="00065F7D" w:rsidP="00507063" w:rsidRDefault="005B36BA" w14:paraId="30C06537" w14:textId="7FBFB288">
            <w:pPr>
              <w:spacing w:after="0" w:line="240" w:lineRule="auto"/>
              <w:jc w:val="both"/>
              <w:rPr>
                <w:rFonts w:eastAsia="Times New Roman"/>
                <w:bCs/>
                <w:sz w:val="24"/>
                <w:szCs w:val="24"/>
                <w:lang w:eastAsia="lv-LV"/>
              </w:rPr>
            </w:pPr>
            <w:r>
              <w:rPr>
                <w:rFonts w:eastAsia="Calibri"/>
                <w:sz w:val="24"/>
                <w:szCs w:val="24"/>
              </w:rPr>
              <w:t>Noteikumu projektā noteikta</w:t>
            </w:r>
            <w:r w:rsidR="000A0C52">
              <w:rPr>
                <w:rFonts w:eastAsia="Calibri"/>
                <w:sz w:val="24"/>
                <w:szCs w:val="24"/>
              </w:rPr>
              <w:t>jam</w:t>
            </w:r>
            <w:r>
              <w:rPr>
                <w:rFonts w:eastAsia="Calibri"/>
                <w:sz w:val="24"/>
                <w:szCs w:val="24"/>
              </w:rPr>
              <w:t xml:space="preserve"> regulējuma</w:t>
            </w:r>
            <w:r w:rsidR="00596CCC">
              <w:rPr>
                <w:rFonts w:eastAsia="Calibri"/>
                <w:sz w:val="24"/>
                <w:szCs w:val="24"/>
              </w:rPr>
              <w:t>m</w:t>
            </w:r>
            <w:r>
              <w:rPr>
                <w:rFonts w:eastAsia="Calibri"/>
                <w:sz w:val="24"/>
                <w:szCs w:val="24"/>
              </w:rPr>
              <w:t xml:space="preserve"> paredzēta spēkā stāšanās </w:t>
            </w:r>
            <w:r w:rsidR="000A0C52">
              <w:rPr>
                <w:rFonts w:eastAsia="Calibri"/>
                <w:sz w:val="24"/>
                <w:szCs w:val="24"/>
              </w:rPr>
              <w:t>vispārējā kārtībā.</w:t>
            </w:r>
            <w:r w:rsidRPr="00704CBF" w:rsidR="00704CBF">
              <w:rPr>
                <w:rFonts w:eastAsia="Calibri"/>
                <w:sz w:val="24"/>
                <w:szCs w:val="24"/>
              </w:rPr>
              <w:t xml:space="preserve"> </w:t>
            </w:r>
          </w:p>
        </w:tc>
      </w:tr>
      <w:tr w:rsidRPr="00BC2633" w:rsidR="00DA326E" w:rsidTr="000A388B" w14:paraId="1AA028D9" w14:textId="77777777">
        <w:trPr>
          <w:gridAfter w:val="1"/>
          <w:wAfter w:w="6" w:type="pct"/>
          <w:trHeight w:val="465"/>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D285142"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51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EC22A37" w14:textId="51CE741F">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Pr="00A1552F" w:rsidR="00A1552F">
              <w:rPr>
                <w:rFonts w:eastAsia="Times New Roman"/>
                <w:sz w:val="24"/>
                <w:szCs w:val="24"/>
                <w:lang w:eastAsia="lv-LV"/>
              </w:rPr>
              <w:t>un publiskas personas kapitālsabiedrības</w:t>
            </w:r>
          </w:p>
        </w:tc>
        <w:tc>
          <w:tcPr>
            <w:tcW w:w="3275"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EE46B0" w14:paraId="09DA66A3" w14:textId="6969E19E">
            <w:pPr>
              <w:spacing w:after="0" w:line="240" w:lineRule="auto"/>
              <w:jc w:val="both"/>
              <w:rPr>
                <w:rFonts w:eastAsia="Times New Roman"/>
                <w:sz w:val="24"/>
                <w:szCs w:val="24"/>
                <w:lang w:eastAsia="lv-LV"/>
              </w:rPr>
            </w:pPr>
            <w:r>
              <w:rPr>
                <w:rFonts w:eastAsia="Times New Roman"/>
                <w:sz w:val="24"/>
                <w:szCs w:val="24"/>
                <w:lang w:eastAsia="lv-LV"/>
              </w:rPr>
              <w:t>Tieslietu ministrija</w:t>
            </w:r>
            <w:r w:rsidRPr="00197F8F">
              <w:rPr>
                <w:rFonts w:eastAsia="Times New Roman"/>
                <w:sz w:val="24"/>
                <w:szCs w:val="24"/>
                <w:lang w:eastAsia="lv-LV"/>
              </w:rPr>
              <w:t>.</w:t>
            </w:r>
          </w:p>
        </w:tc>
      </w:tr>
      <w:tr w:rsidRPr="00BC2633" w:rsidR="00DA326E" w:rsidTr="000A388B" w14:paraId="4416C82A" w14:textId="77777777">
        <w:trPr>
          <w:gridAfter w:val="1"/>
          <w:wAfter w:w="6" w:type="pct"/>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D4BD810" w14:textId="77777777">
            <w:pPr>
              <w:spacing w:after="0" w:line="240" w:lineRule="auto"/>
              <w:rPr>
                <w:rFonts w:eastAsia="Times New Roman"/>
                <w:sz w:val="24"/>
                <w:szCs w:val="24"/>
                <w:lang w:eastAsia="lv-LV"/>
              </w:rPr>
            </w:pPr>
            <w:r w:rsidRPr="00BC2633">
              <w:rPr>
                <w:rFonts w:eastAsia="Times New Roman"/>
                <w:sz w:val="24"/>
                <w:szCs w:val="24"/>
                <w:lang w:eastAsia="lv-LV"/>
              </w:rPr>
              <w:t>4.</w:t>
            </w:r>
          </w:p>
        </w:tc>
        <w:tc>
          <w:tcPr>
            <w:tcW w:w="151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1AC9F60"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75"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EE46B0" w14:paraId="1182056C" w14:textId="4E935B09">
            <w:pPr>
              <w:spacing w:after="0" w:line="240" w:lineRule="auto"/>
              <w:jc w:val="both"/>
              <w:rPr>
                <w:rFonts w:eastAsia="Times New Roman"/>
                <w:sz w:val="24"/>
                <w:szCs w:val="24"/>
                <w:lang w:eastAsia="lv-LV"/>
              </w:rPr>
            </w:pPr>
            <w:r>
              <w:rPr>
                <w:rFonts w:eastAsia="Times New Roman"/>
                <w:sz w:val="24"/>
                <w:szCs w:val="24"/>
                <w:lang w:eastAsia="lv-LV"/>
              </w:rPr>
              <w:t>Nav.</w:t>
            </w:r>
          </w:p>
        </w:tc>
      </w:tr>
      <w:tr w:rsidRPr="00BC2633" w:rsidR="005D4E8A" w:rsidTr="00B10027" w14:paraId="4A35F0EC" w14:textId="77777777">
        <w:trPr>
          <w:gridAfter w:val="1"/>
          <w:wAfter w:w="6" w:type="pct"/>
          <w:trHeight w:val="128"/>
        </w:trPr>
        <w:tc>
          <w:tcPr>
            <w:tcW w:w="4994" w:type="pct"/>
            <w:gridSpan w:val="3"/>
            <w:tcBorders>
              <w:top w:val="outset" w:color="414142" w:sz="6" w:space="0"/>
              <w:left w:val="nil"/>
              <w:bottom w:val="outset" w:color="414142" w:sz="6" w:space="0"/>
              <w:right w:val="nil"/>
            </w:tcBorders>
          </w:tcPr>
          <w:p w:rsidRPr="00BC2633" w:rsidR="00031256" w:rsidP="00C26E82" w:rsidRDefault="0081203F" w14:paraId="3909DB7C" w14:textId="77777777">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Pr="00BC2633" w:rsidR="00BC2633" w:rsidTr="00B10027" w14:paraId="231B55F5" w14:textId="77777777">
        <w:trPr>
          <w:gridAfter w:val="1"/>
          <w:wAfter w:w="6" w:type="pct"/>
          <w:trHeight w:val="555"/>
        </w:trPr>
        <w:tc>
          <w:tcPr>
            <w:tcW w:w="4994" w:type="pct"/>
            <w:gridSpan w:val="3"/>
            <w:tcBorders>
              <w:top w:val="nil"/>
              <w:left w:val="outset" w:color="414142" w:sz="6" w:space="0"/>
              <w:bottom w:val="outset" w:color="414142" w:sz="6" w:space="0"/>
              <w:right w:val="outset" w:color="414142" w:sz="6" w:space="0"/>
            </w:tcBorders>
            <w:vAlign w:val="center"/>
            <w:hideMark/>
          </w:tcPr>
          <w:p w:rsidRPr="00BC2633" w:rsidR="004D15A9" w:rsidP="00C26E82" w:rsidRDefault="004D15A9" w14:paraId="4C70EC05"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Pr="00BC2633" w:rsidR="00DA326E" w:rsidTr="000A388B" w14:paraId="2C9F3255" w14:textId="77777777">
        <w:trPr>
          <w:gridAfter w:val="1"/>
          <w:wAfter w:w="6" w:type="pct"/>
          <w:trHeight w:val="465"/>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6ABD5F2F"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51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DF97D57" w14:textId="77777777">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3275" w:type="pct"/>
            <w:tcBorders>
              <w:top w:val="outset" w:color="414142" w:sz="6" w:space="0"/>
              <w:left w:val="outset" w:color="414142" w:sz="6" w:space="0"/>
              <w:bottom w:val="outset" w:color="414142" w:sz="6" w:space="0"/>
              <w:right w:val="outset" w:color="414142" w:sz="6" w:space="0"/>
            </w:tcBorders>
            <w:hideMark/>
          </w:tcPr>
          <w:p w:rsidRPr="00BC2633" w:rsidR="00FD1D37" w:rsidP="0051773C" w:rsidRDefault="004A265E" w14:paraId="674A68B1" w14:textId="6852BBCD">
            <w:pPr>
              <w:spacing w:after="0" w:line="240" w:lineRule="auto"/>
              <w:jc w:val="both"/>
              <w:rPr>
                <w:rFonts w:eastAsia="Times New Roman"/>
                <w:sz w:val="24"/>
                <w:szCs w:val="24"/>
                <w:lang w:eastAsia="lv-LV"/>
              </w:rPr>
            </w:pPr>
            <w:r w:rsidRPr="004A265E">
              <w:rPr>
                <w:rFonts w:eastAsia="Times New Roman"/>
                <w:sz w:val="24"/>
                <w:szCs w:val="24"/>
                <w:lang w:eastAsia="lv-LV"/>
              </w:rPr>
              <w:t xml:space="preserve">Sabiedrības mērķgrupas kopējo skaitlisko apmēru noteikt nav iespējams. Noteikumu projekts </w:t>
            </w:r>
            <w:r w:rsidR="009B4604">
              <w:rPr>
                <w:rFonts w:eastAsia="Times New Roman"/>
                <w:sz w:val="24"/>
                <w:szCs w:val="24"/>
                <w:lang w:eastAsia="lv-LV"/>
              </w:rPr>
              <w:t>attieksies</w:t>
            </w:r>
            <w:r w:rsidR="00D50DDA">
              <w:rPr>
                <w:rFonts w:eastAsia="Times New Roman"/>
                <w:sz w:val="24"/>
                <w:szCs w:val="24"/>
                <w:lang w:eastAsia="lv-LV"/>
              </w:rPr>
              <w:t xml:space="preserve"> uz</w:t>
            </w:r>
            <w:r w:rsidRPr="00D50DDA" w:rsidR="00D50DDA">
              <w:rPr>
                <w:rFonts w:eastAsia="Times New Roman"/>
                <w:sz w:val="24"/>
                <w:szCs w:val="24"/>
                <w:lang w:eastAsia="lv-LV"/>
              </w:rPr>
              <w:t xml:space="preserve"> </w:t>
            </w:r>
            <w:r w:rsidR="001B1E02">
              <w:rPr>
                <w:rFonts w:eastAsia="Times New Roman"/>
                <w:sz w:val="24"/>
                <w:szCs w:val="24"/>
                <w:lang w:eastAsia="lv-LV"/>
              </w:rPr>
              <w:t xml:space="preserve">ikvienu fizisku </w:t>
            </w:r>
            <w:r w:rsidR="009B4604">
              <w:rPr>
                <w:rFonts w:eastAsia="Times New Roman"/>
                <w:sz w:val="24"/>
                <w:szCs w:val="24"/>
                <w:lang w:eastAsia="lv-LV"/>
              </w:rPr>
              <w:t>personu</w:t>
            </w:r>
            <w:r w:rsidRPr="004A265E">
              <w:rPr>
                <w:rFonts w:eastAsia="Times New Roman"/>
                <w:sz w:val="24"/>
                <w:szCs w:val="24"/>
                <w:lang w:eastAsia="lv-LV"/>
              </w:rPr>
              <w:t xml:space="preserve">, kura </w:t>
            </w:r>
            <w:r w:rsidRPr="009F1AE3" w:rsidR="009F1AE3">
              <w:rPr>
                <w:rFonts w:eastAsia="Times New Roman"/>
                <w:sz w:val="24"/>
                <w:szCs w:val="24"/>
                <w:lang w:eastAsia="lv-LV"/>
              </w:rPr>
              <w:t>nekustamo īpašumu iegūs, izmantojot normatīvajos aktos noteikto valsts sniegto palīdzību dzīvojamās telpas iegādei vai būvniecībai</w:t>
            </w:r>
            <w:r w:rsidR="009F1AE3">
              <w:rPr>
                <w:rFonts w:eastAsia="Times New Roman"/>
                <w:sz w:val="24"/>
                <w:szCs w:val="24"/>
                <w:lang w:eastAsia="lv-LV"/>
              </w:rPr>
              <w:t>.</w:t>
            </w:r>
          </w:p>
        </w:tc>
      </w:tr>
      <w:tr w:rsidRPr="00BC2633" w:rsidR="00DA326E" w:rsidTr="000A388B" w14:paraId="135FDA25" w14:textId="77777777">
        <w:trPr>
          <w:gridAfter w:val="1"/>
          <w:wAfter w:w="6" w:type="pct"/>
          <w:trHeight w:val="510"/>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25AAD29" w14:textId="77777777">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51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BB1E646" w14:textId="77777777">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275" w:type="pct"/>
            <w:tcBorders>
              <w:top w:val="outset" w:color="414142" w:sz="6" w:space="0"/>
              <w:left w:val="outset" w:color="414142" w:sz="6" w:space="0"/>
              <w:bottom w:val="outset" w:color="414142" w:sz="6" w:space="0"/>
              <w:right w:val="outset" w:color="414142" w:sz="6" w:space="0"/>
            </w:tcBorders>
            <w:hideMark/>
          </w:tcPr>
          <w:p w:rsidRPr="00BC2633" w:rsidR="00703120" w:rsidP="003333C4" w:rsidRDefault="004C5F2C" w14:paraId="12DBBFF5" w14:textId="41CA1FE4">
            <w:pPr>
              <w:spacing w:after="0" w:line="240" w:lineRule="auto"/>
              <w:jc w:val="both"/>
              <w:rPr>
                <w:rFonts w:eastAsia="Times New Roman"/>
                <w:sz w:val="24"/>
                <w:szCs w:val="24"/>
                <w:lang w:eastAsia="lv-LV"/>
              </w:rPr>
            </w:pPr>
            <w:r w:rsidRPr="004C5F2C">
              <w:rPr>
                <w:rFonts w:eastAsia="Times New Roman"/>
                <w:sz w:val="24"/>
                <w:szCs w:val="24"/>
                <w:lang w:eastAsia="lv-LV"/>
              </w:rPr>
              <w:t>Noteikumu projekts šo jomu neskar.</w:t>
            </w:r>
          </w:p>
        </w:tc>
      </w:tr>
      <w:tr w:rsidRPr="00BC2633" w:rsidR="00DA326E" w:rsidTr="000A388B" w14:paraId="5245BA7A" w14:textId="77777777">
        <w:trPr>
          <w:gridAfter w:val="1"/>
          <w:wAfter w:w="6" w:type="pct"/>
          <w:trHeight w:val="510"/>
        </w:trPr>
        <w:tc>
          <w:tcPr>
            <w:tcW w:w="201"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F40837F"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519"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90198F8" w14:textId="77777777">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275" w:type="pct"/>
            <w:tcBorders>
              <w:top w:val="outset" w:color="414142" w:sz="6" w:space="0"/>
              <w:left w:val="outset" w:color="414142" w:sz="6" w:space="0"/>
              <w:bottom w:val="outset" w:color="414142" w:sz="6" w:space="0"/>
              <w:right w:val="outset" w:color="414142" w:sz="6" w:space="0"/>
            </w:tcBorders>
            <w:hideMark/>
          </w:tcPr>
          <w:p w:rsidRPr="00BC2633" w:rsidR="00201B6E" w:rsidP="00C26E82" w:rsidRDefault="00B03D26" w14:paraId="5D564945" w14:textId="552B9A68">
            <w:pPr>
              <w:spacing w:after="0" w:line="240" w:lineRule="auto"/>
              <w:jc w:val="both"/>
              <w:rPr>
                <w:rFonts w:eastAsia="Times New Roman"/>
                <w:sz w:val="24"/>
                <w:szCs w:val="24"/>
                <w:lang w:eastAsia="lv-LV"/>
              </w:rPr>
            </w:pPr>
            <w:r>
              <w:rPr>
                <w:rFonts w:eastAsia="Times New Roman"/>
                <w:sz w:val="24"/>
                <w:szCs w:val="24"/>
                <w:lang w:eastAsia="lv-LV"/>
              </w:rPr>
              <w:t>Noteikumu projekts šo jomu neskar.</w:t>
            </w:r>
            <w:r w:rsidR="007A4A34">
              <w:rPr>
                <w:rFonts w:eastAsia="Times New Roman"/>
                <w:sz w:val="24"/>
                <w:szCs w:val="24"/>
                <w:lang w:eastAsia="lv-LV"/>
              </w:rPr>
              <w:t xml:space="preserve"> </w:t>
            </w:r>
          </w:p>
        </w:tc>
      </w:tr>
      <w:tr w:rsidRPr="00BC2633" w:rsidR="00DA326E" w:rsidTr="000A388B" w14:paraId="2C02878A" w14:textId="77777777">
        <w:trPr>
          <w:gridAfter w:val="1"/>
          <w:wAfter w:w="6" w:type="pct"/>
          <w:trHeight w:val="510"/>
        </w:trPr>
        <w:tc>
          <w:tcPr>
            <w:tcW w:w="201" w:type="pct"/>
            <w:tcBorders>
              <w:top w:val="outset" w:color="414142" w:sz="6" w:space="0"/>
              <w:left w:val="outset" w:color="414142" w:sz="6" w:space="0"/>
              <w:bottom w:val="outset" w:color="414142" w:sz="6" w:space="0"/>
              <w:right w:val="outset" w:color="414142" w:sz="6" w:space="0"/>
            </w:tcBorders>
          </w:tcPr>
          <w:p w:rsidRPr="00604C73" w:rsidR="00A1552F" w:rsidP="00C26E82" w:rsidRDefault="00A1552F" w14:paraId="5745159C" w14:textId="017EBBC8">
            <w:pPr>
              <w:spacing w:after="0" w:line="240" w:lineRule="auto"/>
              <w:rPr>
                <w:rFonts w:eastAsia="Times New Roman"/>
                <w:sz w:val="24"/>
                <w:szCs w:val="24"/>
                <w:lang w:eastAsia="lv-LV"/>
              </w:rPr>
            </w:pPr>
            <w:r w:rsidRPr="00604C73">
              <w:rPr>
                <w:rFonts w:eastAsia="Times New Roman"/>
                <w:sz w:val="24"/>
                <w:szCs w:val="24"/>
                <w:lang w:eastAsia="lv-LV"/>
              </w:rPr>
              <w:t>4.</w:t>
            </w:r>
          </w:p>
        </w:tc>
        <w:tc>
          <w:tcPr>
            <w:tcW w:w="1519" w:type="pct"/>
            <w:tcBorders>
              <w:top w:val="outset" w:color="414142" w:sz="6" w:space="0"/>
              <w:left w:val="outset" w:color="414142" w:sz="6" w:space="0"/>
              <w:bottom w:val="outset" w:color="414142" w:sz="6" w:space="0"/>
              <w:right w:val="outset" w:color="414142" w:sz="6" w:space="0"/>
            </w:tcBorders>
          </w:tcPr>
          <w:p w:rsidRPr="00604C73" w:rsidR="00A1552F" w:rsidP="00C26E82" w:rsidRDefault="00A1552F" w14:paraId="105AF451" w14:textId="0BBD80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275" w:type="pct"/>
            <w:tcBorders>
              <w:top w:val="outset" w:color="414142" w:sz="6" w:space="0"/>
              <w:left w:val="outset" w:color="414142" w:sz="6" w:space="0"/>
              <w:bottom w:val="outset" w:color="414142" w:sz="6" w:space="0"/>
              <w:right w:val="outset" w:color="414142" w:sz="6" w:space="0"/>
            </w:tcBorders>
          </w:tcPr>
          <w:p w:rsidRPr="00604C73" w:rsidR="00201B6E" w:rsidP="00C26E82" w:rsidRDefault="00B946ED" w14:paraId="0C5B7775" w14:textId="0541036D">
            <w:pPr>
              <w:spacing w:after="0" w:line="240" w:lineRule="auto"/>
              <w:jc w:val="both"/>
              <w:rPr>
                <w:rFonts w:eastAsia="Times New Roman"/>
                <w:sz w:val="24"/>
                <w:szCs w:val="24"/>
                <w:lang w:eastAsia="lv-LV"/>
              </w:rPr>
            </w:pPr>
            <w:r>
              <w:rPr>
                <w:rFonts w:eastAsia="Times New Roman"/>
                <w:sz w:val="24"/>
                <w:szCs w:val="24"/>
                <w:lang w:eastAsia="lv-LV"/>
              </w:rPr>
              <w:t xml:space="preserve">Noteikumu </w:t>
            </w:r>
            <w:r w:rsidRPr="00A957CD" w:rsidR="00A957CD">
              <w:rPr>
                <w:rFonts w:eastAsia="Times New Roman"/>
                <w:sz w:val="24"/>
                <w:szCs w:val="24"/>
                <w:lang w:eastAsia="lv-LV"/>
              </w:rPr>
              <w:t>projekts šo jomu neskar.</w:t>
            </w:r>
          </w:p>
        </w:tc>
      </w:tr>
      <w:tr w:rsidRPr="00BC2633" w:rsidR="00B03D26" w:rsidTr="000A388B" w14:paraId="058C8E07" w14:textId="77777777">
        <w:trPr>
          <w:gridAfter w:val="1"/>
          <w:wAfter w:w="6" w:type="pct"/>
          <w:trHeight w:val="345"/>
        </w:trPr>
        <w:tc>
          <w:tcPr>
            <w:tcW w:w="201" w:type="pct"/>
            <w:tcBorders>
              <w:top w:val="outset" w:color="414142" w:sz="6" w:space="0"/>
              <w:left w:val="outset" w:color="414142" w:sz="6" w:space="0"/>
              <w:bottom w:val="single" w:color="auto" w:sz="4" w:space="0"/>
              <w:right w:val="outset" w:color="414142" w:sz="6" w:space="0"/>
            </w:tcBorders>
            <w:hideMark/>
          </w:tcPr>
          <w:p w:rsidRPr="00BC2633" w:rsidR="00B03D26" w:rsidP="00B03D26" w:rsidRDefault="00B03D26" w14:paraId="580FAF10" w14:textId="4634BFC2">
            <w:pPr>
              <w:spacing w:after="0" w:line="240" w:lineRule="auto"/>
              <w:rPr>
                <w:rFonts w:eastAsia="Times New Roman"/>
                <w:sz w:val="24"/>
                <w:szCs w:val="24"/>
                <w:lang w:eastAsia="lv-LV"/>
              </w:rPr>
            </w:pPr>
            <w:r>
              <w:rPr>
                <w:rFonts w:eastAsia="Times New Roman"/>
                <w:sz w:val="24"/>
                <w:szCs w:val="24"/>
                <w:lang w:eastAsia="lv-LV"/>
              </w:rPr>
              <w:t>5</w:t>
            </w:r>
            <w:r w:rsidRPr="00BC2633">
              <w:rPr>
                <w:rFonts w:eastAsia="Times New Roman"/>
                <w:sz w:val="24"/>
                <w:szCs w:val="24"/>
                <w:lang w:eastAsia="lv-LV"/>
              </w:rPr>
              <w:t>.</w:t>
            </w:r>
          </w:p>
        </w:tc>
        <w:tc>
          <w:tcPr>
            <w:tcW w:w="1519" w:type="pct"/>
            <w:tcBorders>
              <w:top w:val="outset" w:color="414142" w:sz="6" w:space="0"/>
              <w:left w:val="outset" w:color="414142" w:sz="6" w:space="0"/>
              <w:bottom w:val="single" w:color="auto" w:sz="4" w:space="0"/>
              <w:right w:val="outset" w:color="414142" w:sz="6" w:space="0"/>
            </w:tcBorders>
            <w:hideMark/>
          </w:tcPr>
          <w:p w:rsidRPr="00BC2633" w:rsidR="00B03D26" w:rsidP="00B03D26" w:rsidRDefault="00B03D26" w14:paraId="6CBBE35C"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75" w:type="pct"/>
            <w:tcBorders>
              <w:top w:val="outset" w:color="414142" w:sz="6" w:space="0"/>
              <w:left w:val="outset" w:color="414142" w:sz="6" w:space="0"/>
              <w:bottom w:val="single" w:color="auto" w:sz="4" w:space="0"/>
              <w:right w:val="outset" w:color="414142" w:sz="6" w:space="0"/>
            </w:tcBorders>
            <w:hideMark/>
          </w:tcPr>
          <w:p w:rsidRPr="00BC2633" w:rsidR="00B03D26" w:rsidP="00B03D26" w:rsidRDefault="00BA3588" w14:paraId="5CC17AB0" w14:textId="20CBFBEE">
            <w:pPr>
              <w:spacing w:after="0" w:line="240" w:lineRule="auto"/>
              <w:jc w:val="both"/>
              <w:rPr>
                <w:rFonts w:eastAsia="Times New Roman"/>
                <w:sz w:val="24"/>
                <w:szCs w:val="24"/>
                <w:lang w:eastAsia="lv-LV"/>
              </w:rPr>
            </w:pPr>
            <w:r>
              <w:rPr>
                <w:rFonts w:eastAsia="Times New Roman"/>
                <w:sz w:val="24"/>
                <w:szCs w:val="24"/>
                <w:lang w:eastAsia="lv-LV"/>
              </w:rPr>
              <w:t>Nav.</w:t>
            </w:r>
            <w:r w:rsidR="00B03D26">
              <w:rPr>
                <w:rFonts w:eastAsia="Times New Roman"/>
                <w:sz w:val="24"/>
                <w:szCs w:val="24"/>
                <w:lang w:eastAsia="lv-LV"/>
              </w:rPr>
              <w:t xml:space="preserve"> </w:t>
            </w:r>
          </w:p>
        </w:tc>
      </w:tr>
      <w:tr w:rsidRPr="00BC2633" w:rsidR="00B03D26" w:rsidTr="00B10027" w14:paraId="347A5AC7" w14:textId="77777777">
        <w:trPr>
          <w:gridAfter w:val="1"/>
          <w:wAfter w:w="6" w:type="pct"/>
          <w:trHeight w:val="360"/>
        </w:trPr>
        <w:tc>
          <w:tcPr>
            <w:tcW w:w="4994" w:type="pct"/>
            <w:gridSpan w:val="3"/>
            <w:tcBorders>
              <w:top w:val="single" w:color="auto" w:sz="4" w:space="0"/>
              <w:left w:val="nil"/>
              <w:bottom w:val="nil"/>
              <w:right w:val="nil"/>
            </w:tcBorders>
            <w:vAlign w:val="center"/>
          </w:tcPr>
          <w:p w:rsidR="00B03D26" w:rsidP="00B03D26" w:rsidRDefault="00B03D26" w14:paraId="541E9657" w14:textId="77777777">
            <w:pPr>
              <w:spacing w:after="0" w:line="240" w:lineRule="auto"/>
              <w:ind w:firstLine="300"/>
              <w:jc w:val="center"/>
              <w:rPr>
                <w:rFonts w:eastAsia="Times New Roman"/>
                <w:b/>
                <w:bCs/>
                <w:sz w:val="24"/>
                <w:szCs w:val="24"/>
                <w:lang w:eastAsia="lv-LV"/>
              </w:rPr>
            </w:pPr>
          </w:p>
        </w:tc>
      </w:tr>
      <w:tr w:rsidRPr="00B10027" w:rsidR="00B10027" w:rsidTr="00B10027" w14:paraId="0A4403D5" w14:textId="77777777">
        <w:trPr>
          <w:trHeight w:val="360"/>
        </w:trPr>
        <w:tc>
          <w:tcPr>
            <w:tcW w:w="5000" w:type="pct"/>
            <w:gridSpan w:val="4"/>
            <w:tcBorders>
              <w:top w:val="single" w:color="auto" w:sz="4" w:space="0"/>
              <w:left w:val="outset" w:color="414142" w:sz="6" w:space="0"/>
              <w:bottom w:val="outset" w:color="414142" w:sz="6" w:space="0"/>
              <w:right w:val="outset" w:color="414142" w:sz="6" w:space="0"/>
            </w:tcBorders>
            <w:vAlign w:val="center"/>
            <w:hideMark/>
          </w:tcPr>
          <w:p w:rsidRPr="00B10027" w:rsidR="00B10027" w:rsidP="00B10027" w:rsidRDefault="00B10027" w14:paraId="0B244A53" w14:textId="77777777">
            <w:pPr>
              <w:spacing w:after="0" w:line="240" w:lineRule="auto"/>
              <w:jc w:val="center"/>
              <w:rPr>
                <w:rFonts w:eastAsia="Times New Roman"/>
                <w:b/>
                <w:bCs/>
                <w:sz w:val="24"/>
                <w:szCs w:val="24"/>
                <w:lang w:eastAsia="lv-LV"/>
              </w:rPr>
            </w:pPr>
            <w:r w:rsidRPr="00B10027">
              <w:rPr>
                <w:rFonts w:eastAsia="Times New Roman"/>
                <w:b/>
                <w:bCs/>
                <w:sz w:val="24"/>
                <w:szCs w:val="24"/>
                <w:lang w:eastAsia="lv-LV"/>
              </w:rPr>
              <w:t>III. Tiesību akta projekta ietekme uz valsts budžetu un pašvaldību budžetiem</w:t>
            </w:r>
          </w:p>
        </w:tc>
      </w:tr>
      <w:tr w:rsidRPr="00B10027" w:rsidR="000A0C52" w:rsidTr="000A0C52" w14:paraId="1BAAE88D" w14:textId="77777777">
        <w:trPr>
          <w:cantSplit/>
        </w:trPr>
        <w:tc>
          <w:tcPr>
            <w:tcW w:w="5000" w:type="pct"/>
            <w:gridSpan w:val="4"/>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tcPr>
          <w:p w:rsidRPr="00B10027" w:rsidR="000A0C52" w:rsidP="00B10027" w:rsidRDefault="000A0C52" w14:paraId="63826007" w14:textId="604BBFBB">
            <w:pPr>
              <w:spacing w:after="0" w:line="240" w:lineRule="auto"/>
              <w:jc w:val="center"/>
              <w:rPr>
                <w:rFonts w:eastAsia="Times New Roman"/>
                <w:sz w:val="24"/>
                <w:szCs w:val="24"/>
                <w:lang w:eastAsia="lv-LV"/>
              </w:rPr>
            </w:pPr>
            <w:r w:rsidRPr="000A0C52">
              <w:rPr>
                <w:rFonts w:eastAsia="Times New Roman"/>
                <w:sz w:val="24"/>
                <w:szCs w:val="24"/>
                <w:lang w:eastAsia="lv-LV"/>
              </w:rPr>
              <w:t>Noteikumu projekts šo jomu neskar.</w:t>
            </w:r>
          </w:p>
        </w:tc>
      </w:tr>
    </w:tbl>
    <w:p w:rsidR="00B72D55" w:rsidP="00C26E82" w:rsidRDefault="00B72D55" w14:paraId="2BA857CE" w14:textId="53B22899">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F1085E" w:rsidR="00F1085E" w:rsidTr="00F255DD" w14:paraId="117514EC"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F1085E" w:rsidR="00F1085E" w:rsidP="00F1085E" w:rsidRDefault="00F1085E" w14:paraId="5DFEC269" w14:textId="77777777">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Pr="00F1085E" w:rsidR="00894B05" w:rsidTr="00F255DD" w14:paraId="27871FC4"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894B05" w:rsidR="00894B05" w:rsidP="00F1085E" w:rsidRDefault="00894B05" w14:paraId="67FB1CA7" w14:textId="05DA67AA">
            <w:pPr>
              <w:spacing w:after="0" w:line="240" w:lineRule="auto"/>
              <w:jc w:val="center"/>
              <w:rPr>
                <w:rFonts w:eastAsia="Times New Roman"/>
                <w:sz w:val="24"/>
                <w:szCs w:val="24"/>
                <w:lang w:eastAsia="lv-LV"/>
              </w:rPr>
            </w:pPr>
            <w:r w:rsidRPr="00894B05">
              <w:rPr>
                <w:rFonts w:eastAsia="Times New Roman"/>
                <w:sz w:val="24"/>
                <w:szCs w:val="24"/>
                <w:lang w:eastAsia="lv-LV"/>
              </w:rPr>
              <w:t>Noteikumu projekts šo jomu neskar.</w:t>
            </w:r>
          </w:p>
        </w:tc>
      </w:tr>
    </w:tbl>
    <w:p w:rsidRPr="00BC2633" w:rsidR="00F1085E" w:rsidP="00C26E82" w:rsidRDefault="00F1085E" w14:paraId="21033F54"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225405"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2C233676"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Pr="00225405" w:rsidR="00225405" w:rsidTr="00D66296" w14:paraId="3E811E86" w14:textId="77777777">
        <w:trPr>
          <w:trHeight w:val="360"/>
        </w:trPr>
        <w:tc>
          <w:tcPr>
            <w:tcW w:w="5000" w:type="pct"/>
            <w:tcBorders>
              <w:top w:val="single" w:color="auto" w:sz="4" w:space="0"/>
              <w:left w:val="outset" w:color="414142" w:sz="6" w:space="0"/>
              <w:bottom w:val="outset" w:color="414142" w:sz="6" w:space="0"/>
              <w:right w:val="outset" w:color="414142" w:sz="6" w:space="0"/>
            </w:tcBorders>
            <w:vAlign w:val="center"/>
          </w:tcPr>
          <w:p w:rsidRPr="00225405" w:rsidR="00225405" w:rsidP="00C26E82" w:rsidRDefault="00B64371" w14:paraId="57A70BEB" w14:textId="5653DA18">
            <w:pPr>
              <w:spacing w:after="0" w:line="240" w:lineRule="auto"/>
              <w:ind w:firstLine="300"/>
              <w:jc w:val="center"/>
              <w:rPr>
                <w:rFonts w:eastAsia="Times New Roman"/>
                <w:bCs/>
                <w:sz w:val="24"/>
                <w:szCs w:val="24"/>
                <w:lang w:eastAsia="lv-LV"/>
              </w:rPr>
            </w:pPr>
            <w:r w:rsidRPr="00B64371">
              <w:rPr>
                <w:rFonts w:eastAsia="Times New Roman"/>
                <w:bCs/>
                <w:sz w:val="24"/>
                <w:szCs w:val="24"/>
                <w:lang w:eastAsia="lv-LV"/>
              </w:rPr>
              <w:t>Noteikumu projekts šo jomu neskar.</w:t>
            </w:r>
            <w:r w:rsidR="00225405">
              <w:rPr>
                <w:rFonts w:eastAsia="Times New Roman"/>
                <w:bCs/>
                <w:sz w:val="24"/>
                <w:szCs w:val="24"/>
                <w:lang w:eastAsia="lv-LV"/>
              </w:rPr>
              <w:t xml:space="preserve"> </w:t>
            </w:r>
          </w:p>
        </w:tc>
      </w:tr>
    </w:tbl>
    <w:p w:rsidRPr="00BC2633" w:rsidR="004D15A9" w:rsidP="00C26E82" w:rsidRDefault="004D15A9" w14:paraId="63E4FCA9"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800"/>
        <w:gridCol w:w="5802"/>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62BDDC73"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Pr="00BC2633" w:rsidR="00BC2633" w:rsidTr="000A388B"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4396B198"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546"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727F913" w14:textId="77777777">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204" w:type="pct"/>
            <w:tcBorders>
              <w:top w:val="outset" w:color="414142" w:sz="6" w:space="0"/>
              <w:left w:val="outset" w:color="414142" w:sz="6" w:space="0"/>
              <w:bottom w:val="outset" w:color="414142" w:sz="6" w:space="0"/>
              <w:right w:val="outset" w:color="414142" w:sz="6" w:space="0"/>
            </w:tcBorders>
            <w:hideMark/>
          </w:tcPr>
          <w:p w:rsidRPr="00562BAE" w:rsidR="001C5969" w:rsidP="0051773C" w:rsidRDefault="005057A5" w14:paraId="298F5795" w14:textId="5A39AE7B">
            <w:pPr>
              <w:spacing w:after="0" w:line="240" w:lineRule="auto"/>
              <w:jc w:val="both"/>
              <w:rPr>
                <w:rFonts w:eastAsia="Times New Roman"/>
                <w:sz w:val="24"/>
                <w:szCs w:val="24"/>
                <w:lang w:eastAsia="lv-LV"/>
              </w:rPr>
            </w:pPr>
            <w:r w:rsidRPr="005057A5">
              <w:rPr>
                <w:rFonts w:eastAsia="Times New Roman"/>
                <w:sz w:val="24"/>
                <w:szCs w:val="24"/>
                <w:lang w:eastAsia="lv-LV"/>
              </w:rPr>
              <w:t xml:space="preserve">Noteikumu projekts paredz grozījumu </w:t>
            </w:r>
            <w:r w:rsidR="00A8728C">
              <w:rPr>
                <w:rFonts w:eastAsia="Times New Roman"/>
                <w:sz w:val="24"/>
                <w:szCs w:val="24"/>
                <w:lang w:eastAsia="lv-LV"/>
              </w:rPr>
              <w:t xml:space="preserve">valsts </w:t>
            </w:r>
            <w:r>
              <w:rPr>
                <w:rFonts w:eastAsia="Times New Roman"/>
                <w:sz w:val="24"/>
                <w:szCs w:val="24"/>
                <w:lang w:eastAsia="lv-LV"/>
              </w:rPr>
              <w:t>nodevas likmē</w:t>
            </w:r>
            <w:r w:rsidRPr="005057A5">
              <w:rPr>
                <w:rFonts w:eastAsia="Times New Roman"/>
                <w:sz w:val="24"/>
                <w:szCs w:val="24"/>
                <w:lang w:eastAsia="lv-LV"/>
              </w:rPr>
              <w:t xml:space="preserve"> atbilstoši </w:t>
            </w:r>
            <w:r w:rsidRPr="005057A5">
              <w:rPr>
                <w:rFonts w:eastAsia="Times New Roman"/>
                <w:bCs/>
                <w:sz w:val="24"/>
                <w:szCs w:val="24"/>
                <w:lang w:eastAsia="lv-LV"/>
              </w:rPr>
              <w:t>grozījumiem</w:t>
            </w:r>
            <w:r w:rsidR="0010310E">
              <w:rPr>
                <w:rFonts w:eastAsia="Times New Roman"/>
                <w:bCs/>
                <w:sz w:val="24"/>
                <w:szCs w:val="24"/>
                <w:lang w:eastAsia="lv-LV"/>
              </w:rPr>
              <w:t xml:space="preserve"> noteikumos Nr. 1250</w:t>
            </w:r>
            <w:r w:rsidRPr="005057A5">
              <w:rPr>
                <w:rFonts w:eastAsia="Times New Roman"/>
                <w:sz w:val="24"/>
                <w:szCs w:val="24"/>
                <w:lang w:eastAsia="lv-LV"/>
              </w:rPr>
              <w:t>,</w:t>
            </w:r>
            <w:r>
              <w:rPr>
                <w:rFonts w:eastAsia="Times New Roman"/>
                <w:sz w:val="24"/>
                <w:szCs w:val="24"/>
                <w:lang w:eastAsia="lv-LV"/>
              </w:rPr>
              <w:t xml:space="preserve"> kas stājās spēkā</w:t>
            </w:r>
            <w:r w:rsidR="00BA3588">
              <w:rPr>
                <w:rFonts w:eastAsia="Times New Roman"/>
                <w:sz w:val="24"/>
                <w:szCs w:val="24"/>
                <w:lang w:eastAsia="lv-LV"/>
              </w:rPr>
              <w:t xml:space="preserve"> 2021. gada 1. jūlijā,</w:t>
            </w:r>
            <w:r w:rsidRPr="005057A5">
              <w:rPr>
                <w:rFonts w:eastAsia="Times New Roman"/>
                <w:sz w:val="24"/>
                <w:szCs w:val="24"/>
                <w:lang w:eastAsia="lv-LV"/>
              </w:rPr>
              <w:t xml:space="preserve"> un ir tehniska rakstura, līdz ar to sabiedrības </w:t>
            </w:r>
            <w:r w:rsidR="00FE35EC">
              <w:rPr>
                <w:rFonts w:eastAsia="Times New Roman"/>
                <w:sz w:val="24"/>
                <w:szCs w:val="24"/>
                <w:lang w:eastAsia="lv-LV"/>
              </w:rPr>
              <w:t>informēšana</w:t>
            </w:r>
            <w:r w:rsidRPr="005057A5">
              <w:rPr>
                <w:rFonts w:eastAsia="Times New Roman"/>
                <w:sz w:val="24"/>
                <w:szCs w:val="24"/>
                <w:lang w:eastAsia="lv-LV"/>
              </w:rPr>
              <w:t xml:space="preserve"> nav nepieciešama.</w:t>
            </w:r>
          </w:p>
        </w:tc>
      </w:tr>
      <w:tr w:rsidRPr="00BC2633" w:rsidR="00BC2633" w:rsidTr="000A388B"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8715D31"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546"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010C84B" w14:textId="77777777">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204" w:type="pct"/>
            <w:tcBorders>
              <w:top w:val="outset" w:color="414142" w:sz="6" w:space="0"/>
              <w:left w:val="outset" w:color="414142" w:sz="6" w:space="0"/>
              <w:bottom w:val="outset" w:color="414142" w:sz="6" w:space="0"/>
              <w:right w:val="outset" w:color="414142" w:sz="6" w:space="0"/>
            </w:tcBorders>
            <w:hideMark/>
          </w:tcPr>
          <w:p w:rsidRPr="00D933F5" w:rsidR="004D15A9" w:rsidP="00FC0B4B" w:rsidRDefault="00AF05E9" w14:paraId="1EE08E29" w14:textId="6C8B2E6F">
            <w:pPr>
              <w:spacing w:after="0" w:line="240" w:lineRule="auto"/>
              <w:jc w:val="both"/>
              <w:rPr>
                <w:rFonts w:eastAsia="Times New Roman"/>
                <w:sz w:val="24"/>
                <w:szCs w:val="24"/>
                <w:lang w:eastAsia="lv-LV"/>
              </w:rPr>
            </w:pPr>
            <w:r w:rsidRPr="00AF05E9">
              <w:rPr>
                <w:rFonts w:eastAsia="Times New Roman"/>
                <w:bCs/>
                <w:sz w:val="24"/>
                <w:szCs w:val="24"/>
                <w:lang w:eastAsia="lv-LV"/>
              </w:rPr>
              <w:t>Sabiedrības līdzdalību Noteikumu projekta izstrādē nebija nepieciešams nodrošināt.</w:t>
            </w:r>
          </w:p>
        </w:tc>
      </w:tr>
      <w:tr w:rsidRPr="00BC2633" w:rsidR="00BC2633" w:rsidTr="000A388B"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372BC62F"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546"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55EBB17" w14:textId="77777777">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204" w:type="pct"/>
            <w:tcBorders>
              <w:top w:val="outset" w:color="414142" w:sz="6" w:space="0"/>
              <w:left w:val="outset" w:color="414142" w:sz="6" w:space="0"/>
              <w:bottom w:val="outset" w:color="414142" w:sz="6" w:space="0"/>
              <w:right w:val="outset" w:color="414142" w:sz="6" w:space="0"/>
            </w:tcBorders>
          </w:tcPr>
          <w:p w:rsidRPr="00D933F5" w:rsidR="004D15A9" w:rsidP="001B648C" w:rsidRDefault="009E0B44" w14:paraId="3E3C15CE" w14:textId="42D280F3">
            <w:pPr>
              <w:spacing w:after="0" w:line="240" w:lineRule="auto"/>
              <w:jc w:val="both"/>
              <w:rPr>
                <w:rFonts w:eastAsia="Times New Roman"/>
                <w:sz w:val="24"/>
                <w:szCs w:val="24"/>
                <w:lang w:eastAsia="lv-LV"/>
              </w:rPr>
            </w:pPr>
            <w:r w:rsidRPr="009E0B44">
              <w:rPr>
                <w:rFonts w:eastAsia="Times New Roman"/>
                <w:bCs/>
                <w:sz w:val="24"/>
                <w:szCs w:val="24"/>
                <w:lang w:eastAsia="lv-LV"/>
              </w:rPr>
              <w:t>Noteikumu projekts šo jomu neskar.</w:t>
            </w:r>
          </w:p>
        </w:tc>
      </w:tr>
      <w:tr w:rsidRPr="00BC2633" w:rsidR="004D15A9" w:rsidTr="000A388B"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BE089B0" w14:textId="77777777">
            <w:pPr>
              <w:spacing w:after="0" w:line="240" w:lineRule="auto"/>
              <w:rPr>
                <w:rFonts w:eastAsia="Times New Roman"/>
                <w:sz w:val="24"/>
                <w:szCs w:val="24"/>
                <w:lang w:eastAsia="lv-LV"/>
              </w:rPr>
            </w:pPr>
            <w:r w:rsidRPr="00BC2633">
              <w:rPr>
                <w:rFonts w:eastAsia="Times New Roman"/>
                <w:sz w:val="24"/>
                <w:szCs w:val="24"/>
                <w:lang w:eastAsia="lv-LV"/>
              </w:rPr>
              <w:t>4.</w:t>
            </w:r>
          </w:p>
        </w:tc>
        <w:tc>
          <w:tcPr>
            <w:tcW w:w="1546"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00F1E65"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04" w:type="pct"/>
            <w:tcBorders>
              <w:top w:val="outset" w:color="414142" w:sz="6" w:space="0"/>
              <w:left w:val="outset" w:color="414142" w:sz="6" w:space="0"/>
              <w:bottom w:val="outset" w:color="414142" w:sz="6" w:space="0"/>
              <w:right w:val="outset" w:color="414142" w:sz="6" w:space="0"/>
            </w:tcBorders>
            <w:hideMark/>
          </w:tcPr>
          <w:p w:rsidRPr="00CE3196" w:rsidR="004D15A9" w:rsidP="00C26E82" w:rsidRDefault="005B3873" w14:paraId="053F0FFC" w14:textId="797A686C">
            <w:pPr>
              <w:spacing w:after="0" w:line="240" w:lineRule="auto"/>
              <w:jc w:val="both"/>
              <w:rPr>
                <w:rFonts w:eastAsia="Times New Roman"/>
                <w:sz w:val="24"/>
                <w:szCs w:val="24"/>
                <w:lang w:eastAsia="lv-LV"/>
              </w:rPr>
            </w:pPr>
            <w:r w:rsidRPr="00CE3196">
              <w:rPr>
                <w:rFonts w:eastAsia="Calibri"/>
                <w:sz w:val="24"/>
                <w:szCs w:val="24"/>
                <w:lang w:eastAsia="lv-LV"/>
              </w:rPr>
              <w:t xml:space="preserve">Ministru kabineta noteikumus pēc to pieņemšanas Ministru kabinetā izsludina, publicējot </w:t>
            </w:r>
            <w:r w:rsidRPr="00CE3196">
              <w:rPr>
                <w:rFonts w:eastAsia="Calibri"/>
                <w:sz w:val="24"/>
                <w:szCs w:val="24"/>
              </w:rPr>
              <w:t>oficiālajā izdevumā "Latvijas Vēstnesis"</w:t>
            </w:r>
            <w:r w:rsidR="00CE3196">
              <w:rPr>
                <w:rFonts w:eastAsia="Calibri"/>
                <w:sz w:val="24"/>
                <w:szCs w:val="24"/>
              </w:rPr>
              <w:t xml:space="preserve"> </w:t>
            </w:r>
            <w:proofErr w:type="gramStart"/>
            <w:r w:rsidR="00CE3196">
              <w:rPr>
                <w:rFonts w:eastAsia="Calibri"/>
                <w:sz w:val="24"/>
                <w:szCs w:val="24"/>
              </w:rPr>
              <w:t>(</w:t>
            </w:r>
            <w:proofErr w:type="gramEnd"/>
            <w:r w:rsidR="00AB46D7">
              <w:fldChar w:fldCharType="begin"/>
            </w:r>
            <w:r w:rsidR="00AB46D7">
              <w:instrText xml:space="preserve"> HYPERLINK "http://www.vestnesis.lv" </w:instrText>
            </w:r>
            <w:r w:rsidR="00AB46D7">
              <w:fldChar w:fldCharType="separate"/>
            </w:r>
            <w:r w:rsidRPr="00257D20" w:rsidR="00CE3196">
              <w:rPr>
                <w:rStyle w:val="Hipersaite"/>
                <w:rFonts w:eastAsia="Calibri"/>
                <w:sz w:val="24"/>
                <w:szCs w:val="24"/>
              </w:rPr>
              <w:t>www.vestnesis.lv</w:t>
            </w:r>
            <w:r w:rsidR="00AB46D7">
              <w:rPr>
                <w:rStyle w:val="Hipersaite"/>
                <w:rFonts w:eastAsia="Calibri"/>
                <w:sz w:val="24"/>
                <w:szCs w:val="24"/>
              </w:rPr>
              <w:fldChar w:fldCharType="end"/>
            </w:r>
            <w:r w:rsidRPr="00CE3196">
              <w:rPr>
                <w:rFonts w:eastAsia="Calibri"/>
                <w:sz w:val="24"/>
                <w:szCs w:val="24"/>
              </w:rPr>
              <w:t xml:space="preserve">), kā arī tie ir pieejami sistematizēti vortālā </w:t>
            </w:r>
            <w:proofErr w:type="spellStart"/>
            <w:r w:rsidRPr="00CE3196">
              <w:rPr>
                <w:rFonts w:eastAsia="Calibri"/>
                <w:sz w:val="24"/>
                <w:szCs w:val="24"/>
              </w:rPr>
              <w:t>Likumi.lv</w:t>
            </w:r>
            <w:proofErr w:type="spellEnd"/>
            <w:r w:rsidRPr="00CE3196">
              <w:rPr>
                <w:rFonts w:eastAsia="Calibri"/>
                <w:sz w:val="24"/>
                <w:szCs w:val="24"/>
              </w:rPr>
              <w:t xml:space="preserve"> </w:t>
            </w:r>
            <w:proofErr w:type="gramStart"/>
            <w:r w:rsidR="00433E9C">
              <w:rPr>
                <w:rFonts w:eastAsia="Calibri"/>
                <w:sz w:val="24"/>
                <w:szCs w:val="24"/>
              </w:rPr>
              <w:t>(</w:t>
            </w:r>
            <w:proofErr w:type="gramEnd"/>
            <w:hyperlink w:history="1" r:id="rId9">
              <w:r w:rsidRPr="00257D20" w:rsidR="00433E9C">
                <w:rPr>
                  <w:rStyle w:val="Hipersaite"/>
                  <w:rFonts w:eastAsia="Calibri"/>
                  <w:sz w:val="24"/>
                  <w:szCs w:val="24"/>
                </w:rPr>
                <w:t>www.likumi.lv</w:t>
              </w:r>
            </w:hyperlink>
            <w:r w:rsidR="00CE3196">
              <w:rPr>
                <w:rFonts w:eastAsia="Calibri"/>
                <w:sz w:val="24"/>
                <w:szCs w:val="24"/>
              </w:rPr>
              <w:t>)</w:t>
            </w:r>
            <w:r w:rsidRPr="00CE3196">
              <w:rPr>
                <w:rFonts w:eastAsia="Calibri"/>
                <w:sz w:val="24"/>
                <w:szCs w:val="24"/>
              </w:rPr>
              <w:t>.</w:t>
            </w:r>
          </w:p>
        </w:tc>
      </w:tr>
    </w:tbl>
    <w:p w:rsidRPr="00BC2633" w:rsidR="004D15A9" w:rsidP="00C26E82" w:rsidRDefault="004D15A9" w14:paraId="569A45C0" w14:textId="77777777">
      <w:pPr>
        <w:spacing w:after="0" w:line="240" w:lineRule="auto"/>
        <w:rPr>
          <w:rFonts w:eastAsia="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C26E82" w:rsidRDefault="004D15A9" w14:paraId="7772ABA4" w14:textId="77777777">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Pr="00BC2633" w:rsidR="00BC2633" w:rsidTr="000A388B"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0C261A7" w14:textId="77777777">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0C28F92C" w14:textId="77777777">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DB49BA" w:rsidR="000C3E92" w:rsidP="00C26E82" w:rsidRDefault="00B03D26" w14:paraId="1AEBB4A0" w14:textId="1B38B3D8">
            <w:pPr>
              <w:spacing w:after="0" w:line="240" w:lineRule="auto"/>
              <w:jc w:val="both"/>
              <w:rPr>
                <w:rFonts w:eastAsia="Times New Roman"/>
                <w:sz w:val="24"/>
                <w:szCs w:val="24"/>
                <w:highlight w:val="yellow"/>
                <w:lang w:eastAsia="lv-LV"/>
              </w:rPr>
            </w:pPr>
            <w:r>
              <w:rPr>
                <w:rFonts w:eastAsia="Times New Roman"/>
                <w:sz w:val="24"/>
                <w:szCs w:val="24"/>
                <w:lang w:eastAsia="lv-LV"/>
              </w:rPr>
              <w:t xml:space="preserve">Rajona (pilsētas) tiesa, zvērināti notāri, </w:t>
            </w:r>
            <w:r w:rsidRPr="0026052B" w:rsidR="000C3E92">
              <w:rPr>
                <w:rFonts w:eastAsia="Times New Roman"/>
                <w:sz w:val="24"/>
                <w:szCs w:val="24"/>
                <w:lang w:eastAsia="lv-LV"/>
              </w:rPr>
              <w:t>Tieslietu ministrija.</w:t>
            </w:r>
          </w:p>
        </w:tc>
      </w:tr>
      <w:tr w:rsidRPr="00BC2633" w:rsidR="00BC2633" w:rsidTr="000A388B"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5C9A6CCC" w14:textId="77777777">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2B4CADDF" w14:textId="77777777">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rsidRPr="00BC2633" w:rsidR="004D15A9" w:rsidP="00C26E82" w:rsidRDefault="004D15A9" w14:paraId="37B6FCBC" w14:textId="77777777">
            <w:pPr>
              <w:spacing w:after="0" w:line="240" w:lineRule="auto"/>
              <w:rPr>
                <w:rFonts w:eastAsia="Times New Roman"/>
                <w:sz w:val="24"/>
                <w:szCs w:val="24"/>
                <w:lang w:eastAsia="lv-LV"/>
              </w:rPr>
            </w:pPr>
            <w:r w:rsidRPr="00BC2633">
              <w:rPr>
                <w:rFonts w:eastAsia="Times New Roman"/>
                <w:sz w:val="24"/>
                <w:szCs w:val="24"/>
                <w:lang w:eastAsia="lv-LV"/>
              </w:rPr>
              <w:t xml:space="preserve">Jaunu institūciju izveide, esošu institūciju likvidācija vai reorganizācija, to ietekme </w:t>
            </w:r>
            <w:r w:rsidRPr="00BC2633">
              <w:rPr>
                <w:rFonts w:eastAsia="Times New Roman"/>
                <w:sz w:val="24"/>
                <w:szCs w:val="24"/>
                <w:lang w:eastAsia="lv-LV"/>
              </w:rPr>
              <w:lastRenderedPageBreak/>
              <w:t>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416236" w:rsidRDefault="00B64371" w14:paraId="020A7F09" w14:textId="134833E6">
            <w:pPr>
              <w:spacing w:after="0" w:line="240" w:lineRule="auto"/>
              <w:jc w:val="both"/>
              <w:rPr>
                <w:rFonts w:eastAsia="Times New Roman"/>
                <w:sz w:val="24"/>
                <w:szCs w:val="24"/>
                <w:lang w:eastAsia="lv-LV"/>
              </w:rPr>
            </w:pPr>
            <w:r w:rsidRPr="00B64371">
              <w:rPr>
                <w:rFonts w:eastAsia="Times New Roman"/>
                <w:bCs/>
                <w:sz w:val="24"/>
                <w:szCs w:val="24"/>
                <w:lang w:eastAsia="lv-LV"/>
              </w:rPr>
              <w:lastRenderedPageBreak/>
              <w:t>Noteikumu projekt</w:t>
            </w:r>
            <w:r>
              <w:rPr>
                <w:rFonts w:eastAsia="Times New Roman"/>
                <w:bCs/>
                <w:sz w:val="24"/>
                <w:szCs w:val="24"/>
                <w:lang w:eastAsia="lv-LV"/>
              </w:rPr>
              <w:t>a</w:t>
            </w:r>
            <w:r w:rsidR="00F51892">
              <w:rPr>
                <w:rFonts w:eastAsia="Times New Roman"/>
                <w:sz w:val="24"/>
                <w:szCs w:val="24"/>
                <w:lang w:eastAsia="lv-LV"/>
              </w:rPr>
              <w:t xml:space="preserve"> izpilde nerada ietekmi uz pārvaldes funkcijām un institucionālo struktūru. </w:t>
            </w:r>
            <w:r w:rsidR="00DB49BA">
              <w:rPr>
                <w:rFonts w:eastAsia="Times New Roman"/>
                <w:sz w:val="24"/>
                <w:szCs w:val="24"/>
                <w:lang w:eastAsia="lv-LV"/>
              </w:rPr>
              <w:t>Nav nepieciešama j</w:t>
            </w:r>
            <w:r w:rsidR="00F51892">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Pr="00BC2633" w:rsidR="004D15A9" w:rsidTr="000A388B"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1CFEA73D" w14:textId="77777777">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4D15A9" w14:paraId="7062A194" w14:textId="77777777">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C26E82" w:rsidRDefault="000C3E92" w14:paraId="5BD54AC6" w14:textId="6CE7E31A">
            <w:pPr>
              <w:spacing w:after="0" w:line="240" w:lineRule="auto"/>
              <w:jc w:val="both"/>
              <w:rPr>
                <w:rFonts w:eastAsia="Times New Roman"/>
                <w:sz w:val="24"/>
                <w:szCs w:val="24"/>
                <w:lang w:eastAsia="lv-LV"/>
              </w:rPr>
            </w:pPr>
            <w:r>
              <w:rPr>
                <w:rFonts w:eastAsia="Times New Roman"/>
                <w:sz w:val="24"/>
                <w:szCs w:val="24"/>
                <w:lang w:eastAsia="lv-LV"/>
              </w:rPr>
              <w:t>Nav.</w:t>
            </w:r>
          </w:p>
        </w:tc>
      </w:tr>
    </w:tbl>
    <w:p w:rsidR="005D055B" w:rsidP="00C26E82" w:rsidRDefault="005D055B" w14:paraId="46DAB489" w14:textId="77777777">
      <w:pPr>
        <w:pStyle w:val="StyleRight"/>
        <w:spacing w:after="0"/>
        <w:ind w:firstLine="0"/>
        <w:jc w:val="both"/>
        <w:rPr>
          <w:sz w:val="24"/>
          <w:szCs w:val="24"/>
        </w:rPr>
      </w:pPr>
    </w:p>
    <w:p w:rsidRPr="00BC2633" w:rsidR="004D15A9" w:rsidP="00C26E82" w:rsidRDefault="004D15A9" w14:paraId="09601154" w14:textId="09ACB126">
      <w:pPr>
        <w:pStyle w:val="StyleRight"/>
        <w:spacing w:after="0"/>
        <w:ind w:firstLine="0"/>
        <w:jc w:val="both"/>
        <w:rPr>
          <w:sz w:val="24"/>
          <w:szCs w:val="24"/>
        </w:rPr>
      </w:pPr>
      <w:r w:rsidRPr="00BC2633">
        <w:rPr>
          <w:sz w:val="24"/>
          <w:szCs w:val="24"/>
        </w:rPr>
        <w:t>Iesniedzējs:</w:t>
      </w:r>
    </w:p>
    <w:p w:rsidRPr="00AE4745" w:rsidR="00AE4745" w:rsidP="00AE4745" w:rsidRDefault="00AE4745" w14:paraId="7194BF68" w14:textId="77777777">
      <w:pPr>
        <w:spacing w:after="0" w:line="240" w:lineRule="auto"/>
        <w:rPr>
          <w:rFonts w:eastAsia="Times New Roman"/>
          <w:sz w:val="24"/>
          <w:szCs w:val="24"/>
          <w:lang w:eastAsia="lv-LV"/>
        </w:rPr>
      </w:pPr>
      <w:r w:rsidRPr="00AE4745">
        <w:rPr>
          <w:rFonts w:eastAsia="Times New Roman"/>
          <w:sz w:val="24"/>
          <w:szCs w:val="24"/>
          <w:lang w:eastAsia="lv-LV"/>
        </w:rPr>
        <w:t>Ministru prezidenta biedra,</w:t>
      </w:r>
    </w:p>
    <w:p w:rsidRPr="00AE4745" w:rsidR="00AE4745" w:rsidP="00AE4745" w:rsidRDefault="00AE4745" w14:paraId="727FE6EC" w14:textId="78F06C02">
      <w:pPr>
        <w:spacing w:after="0" w:line="240" w:lineRule="auto"/>
        <w:rPr>
          <w:rFonts w:eastAsia="Times New Roman"/>
          <w:sz w:val="24"/>
          <w:szCs w:val="24"/>
          <w:lang w:eastAsia="lv-LV"/>
        </w:rPr>
      </w:pPr>
      <w:r w:rsidRPr="00AE4745">
        <w:rPr>
          <w:rFonts w:eastAsia="Times New Roman"/>
          <w:sz w:val="24"/>
          <w:szCs w:val="24"/>
          <w:lang w:eastAsia="lv-LV"/>
        </w:rPr>
        <w:t xml:space="preserve">tieslietu ministra </w:t>
      </w:r>
      <w:proofErr w:type="spellStart"/>
      <w:r w:rsidR="003F4454">
        <w:rPr>
          <w:rFonts w:eastAsia="Times New Roman"/>
          <w:sz w:val="24"/>
          <w:szCs w:val="24"/>
          <w:lang w:eastAsia="lv-LV"/>
        </w:rPr>
        <w:t>p.i</w:t>
      </w:r>
      <w:proofErr w:type="spellEnd"/>
      <w:r w:rsidR="003F4454">
        <w:rPr>
          <w:rFonts w:eastAsia="Times New Roman"/>
          <w:sz w:val="24"/>
          <w:szCs w:val="24"/>
          <w:lang w:eastAsia="lv-LV"/>
        </w:rPr>
        <w:t>.</w:t>
      </w:r>
      <w:r w:rsidRPr="00AE4745" w:rsidR="003F4454">
        <w:rPr>
          <w:rFonts w:eastAsia="Times New Roman"/>
          <w:sz w:val="24"/>
          <w:szCs w:val="24"/>
          <w:lang w:eastAsia="lv-LV"/>
        </w:rPr>
        <w:t xml:space="preserve"> </w:t>
      </w:r>
    </w:p>
    <w:p w:rsidRPr="00C45B3E" w:rsidR="00C45B3E" w:rsidP="00AE4745" w:rsidRDefault="00AE4745" w14:paraId="06DE6F77" w14:textId="3A6C8C9A">
      <w:pPr>
        <w:spacing w:after="0" w:line="240" w:lineRule="auto"/>
        <w:rPr>
          <w:rFonts w:eastAsia="Times New Roman"/>
          <w:sz w:val="24"/>
          <w:szCs w:val="24"/>
          <w:lang w:eastAsia="lv-LV"/>
        </w:rPr>
      </w:pPr>
      <w:r w:rsidRPr="00AE4745">
        <w:rPr>
          <w:rFonts w:eastAsia="Times New Roman"/>
          <w:sz w:val="24"/>
          <w:szCs w:val="24"/>
          <w:lang w:eastAsia="lv-LV"/>
        </w:rPr>
        <w:t xml:space="preserve">labklājības ministrs </w:t>
      </w:r>
      <w:r w:rsidRPr="00AE4745">
        <w:rPr>
          <w:rFonts w:eastAsia="Times New Roman"/>
          <w:sz w:val="24"/>
          <w:szCs w:val="24"/>
          <w:lang w:eastAsia="lv-LV"/>
        </w:rPr>
        <w:tab/>
      </w:r>
      <w:r w:rsidRPr="00AE4745">
        <w:rPr>
          <w:rFonts w:eastAsia="Times New Roman"/>
          <w:sz w:val="24"/>
          <w:szCs w:val="24"/>
          <w:lang w:eastAsia="lv-LV"/>
        </w:rPr>
        <w:tab/>
      </w:r>
      <w:r w:rsidRPr="00AE4745">
        <w:rPr>
          <w:rFonts w:eastAsia="Times New Roman"/>
          <w:sz w:val="24"/>
          <w:szCs w:val="24"/>
          <w:lang w:eastAsia="lv-LV"/>
        </w:rPr>
        <w:tab/>
      </w:r>
      <w:r w:rsidRPr="00AE4745">
        <w:rPr>
          <w:rFonts w:eastAsia="Times New Roman"/>
          <w:sz w:val="24"/>
          <w:szCs w:val="24"/>
          <w:lang w:eastAsia="lv-LV"/>
        </w:rPr>
        <w:tab/>
      </w:r>
      <w:r w:rsidRPr="00AE4745">
        <w:rPr>
          <w:rFonts w:eastAsia="Times New Roman"/>
          <w:sz w:val="24"/>
          <w:szCs w:val="24"/>
          <w:lang w:eastAsia="lv-LV"/>
        </w:rPr>
        <w:tab/>
      </w:r>
      <w:r w:rsidRPr="00AE4745">
        <w:rPr>
          <w:rFonts w:eastAsia="Times New Roman"/>
          <w:sz w:val="24"/>
          <w:szCs w:val="24"/>
          <w:lang w:eastAsia="lv-LV"/>
        </w:rPr>
        <w:tab/>
      </w:r>
      <w:r w:rsidRPr="00AE4745">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sidRPr="00AE4745">
        <w:rPr>
          <w:rFonts w:eastAsia="Times New Roman"/>
          <w:sz w:val="24"/>
          <w:szCs w:val="24"/>
          <w:lang w:eastAsia="lv-LV"/>
        </w:rPr>
        <w:t>G. Eglītis</w:t>
      </w:r>
    </w:p>
    <w:p w:rsidR="008219C9" w:rsidP="006D1CD9" w:rsidRDefault="008219C9" w14:paraId="41F4504F" w14:textId="07DBAEC0">
      <w:pPr>
        <w:spacing w:after="0" w:line="240" w:lineRule="auto"/>
        <w:rPr>
          <w:szCs w:val="22"/>
        </w:rPr>
      </w:pPr>
    </w:p>
    <w:p w:rsidR="00630FB4" w:rsidP="006D1CD9" w:rsidRDefault="00630FB4" w14:paraId="11CBAFE7" w14:textId="77777777">
      <w:pPr>
        <w:spacing w:after="0" w:line="240" w:lineRule="auto"/>
        <w:rPr>
          <w:szCs w:val="22"/>
        </w:rPr>
      </w:pPr>
    </w:p>
    <w:p w:rsidRPr="006D1CD9" w:rsidR="006D1CD9" w:rsidP="006D1CD9" w:rsidRDefault="006D1CD9" w14:paraId="058DDE9A" w14:textId="39F332E5">
      <w:pPr>
        <w:spacing w:after="0" w:line="240" w:lineRule="auto"/>
        <w:rPr>
          <w:szCs w:val="22"/>
        </w:rPr>
      </w:pPr>
      <w:r w:rsidRPr="006D1CD9">
        <w:rPr>
          <w:szCs w:val="22"/>
        </w:rPr>
        <w:t>Alberinga 67036835</w:t>
      </w:r>
    </w:p>
    <w:p w:rsidRPr="006A1C25" w:rsidR="00C34576" w:rsidP="006D1CD9" w:rsidRDefault="000A388B" w14:paraId="02451915" w14:textId="39C015DD">
      <w:pPr>
        <w:spacing w:after="0" w:line="240" w:lineRule="auto"/>
        <w:rPr>
          <w:i/>
        </w:rPr>
      </w:pPr>
      <w:hyperlink w:history="1" r:id="rId10">
        <w:r w:rsidRPr="006D1CD9" w:rsidR="006D1CD9">
          <w:rPr>
            <w:color w:val="0000FF" w:themeColor="hyperlink"/>
            <w:szCs w:val="22"/>
            <w:u w:val="single"/>
          </w:rPr>
          <w:t>Kristine.Alberinga@tm.gov.lv</w:t>
        </w:r>
      </w:hyperlink>
      <w:r w:rsidRPr="006D1CD9" w:rsidR="006D1CD9">
        <w:rPr>
          <w:szCs w:val="22"/>
        </w:rPr>
        <w:t xml:space="preserve"> </w:t>
      </w:r>
    </w:p>
    <w:sectPr w:rsidRPr="006A1C25" w:rsidR="00C34576"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2D733" w14:textId="77777777" w:rsidR="00AB46D7" w:rsidRDefault="00AB46D7" w:rsidP="004D15A9">
      <w:pPr>
        <w:spacing w:after="0" w:line="240" w:lineRule="auto"/>
      </w:pPr>
      <w:r>
        <w:separator/>
      </w:r>
    </w:p>
  </w:endnote>
  <w:endnote w:type="continuationSeparator" w:id="0">
    <w:p w14:paraId="5FCDAB8C" w14:textId="77777777" w:rsidR="00AB46D7" w:rsidRDefault="00AB46D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45DF" w14:textId="77777777" w:rsidR="00C65605" w:rsidRPr="00C65605" w:rsidRDefault="00C65605" w:rsidP="00C65605">
    <w:pPr>
      <w:pStyle w:val="Kjene"/>
      <w:jc w:val="center"/>
      <w:rPr>
        <w:i/>
      </w:rPr>
    </w:pPr>
  </w:p>
  <w:p w14:paraId="6A190106" w14:textId="06B6DF72" w:rsidR="004D15A9" w:rsidRPr="0042645D" w:rsidRDefault="00AB46D7" w:rsidP="0042645D">
    <w:pPr>
      <w:pStyle w:val="Kjene"/>
    </w:pPr>
    <w:fldSimple w:instr=" FILENAME   \* MERGEFORMAT ">
      <w:r w:rsidR="007E562B">
        <w:rPr>
          <w:noProof/>
        </w:rPr>
        <w:t>TMAnot_</w:t>
      </w:r>
      <w:r w:rsidR="00107708">
        <w:rPr>
          <w:noProof/>
        </w:rPr>
        <w:t>20</w:t>
      </w:r>
      <w:r w:rsidR="007E562B">
        <w:rPr>
          <w:noProof/>
        </w:rPr>
        <w:t>0721_nodevas</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533166CD" w:rsidR="004D15A9" w:rsidRPr="0042645D" w:rsidRDefault="00AB46D7" w:rsidP="0042645D">
    <w:pPr>
      <w:pStyle w:val="Kjene"/>
    </w:pPr>
    <w:fldSimple w:instr=" FILENAME   \* MERGEFORMAT ">
      <w:r w:rsidR="007E562B">
        <w:rPr>
          <w:noProof/>
        </w:rPr>
        <w:t>TMAnot_</w:t>
      </w:r>
      <w:r w:rsidR="00107708">
        <w:rPr>
          <w:noProof/>
        </w:rPr>
        <w:t>20</w:t>
      </w:r>
      <w:r w:rsidR="007E562B">
        <w:rPr>
          <w:noProof/>
        </w:rPr>
        <w:t>0721_nodevas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4B40" w14:textId="77777777" w:rsidR="00AB46D7" w:rsidRDefault="00AB46D7" w:rsidP="004D15A9">
      <w:pPr>
        <w:spacing w:after="0" w:line="240" w:lineRule="auto"/>
      </w:pPr>
      <w:r>
        <w:separator/>
      </w:r>
    </w:p>
  </w:footnote>
  <w:footnote w:type="continuationSeparator" w:id="0">
    <w:p w14:paraId="0893D4CA" w14:textId="77777777" w:rsidR="00AB46D7" w:rsidRDefault="00AB46D7"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sz w:val="24"/>
        <w:szCs w:val="24"/>
      </w:rPr>
    </w:sdtEndPr>
    <w:sdtContent>
      <w:p w:rsidRPr="004D15A9" w:rsidR="004D15A9" w:rsidRDefault="004D15A9" w14:paraId="3D63889F" w14:textId="7964063A">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B6BF1"/>
    <w:multiLevelType w:val="multilevel"/>
    <w:tmpl w:val="B16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640D10"/>
    <w:multiLevelType w:val="hybridMultilevel"/>
    <w:tmpl w:val="9DCE565E"/>
    <w:lvl w:ilvl="0" w:tplc="E1227852">
      <w:start w:val="1"/>
      <w:numFmt w:val="bullet"/>
      <w:lvlText w:val=""/>
      <w:lvlJc w:val="left"/>
      <w:pPr>
        <w:tabs>
          <w:tab w:val="num" w:pos="720"/>
        </w:tabs>
        <w:ind w:left="720" w:hanging="360"/>
      </w:pPr>
      <w:rPr>
        <w:rFonts w:ascii="Wingdings" w:hAnsi="Wingdings" w:hint="default"/>
      </w:rPr>
    </w:lvl>
    <w:lvl w:ilvl="1" w:tplc="6DCCC5C0" w:tentative="1">
      <w:start w:val="1"/>
      <w:numFmt w:val="bullet"/>
      <w:lvlText w:val=""/>
      <w:lvlJc w:val="left"/>
      <w:pPr>
        <w:tabs>
          <w:tab w:val="num" w:pos="1440"/>
        </w:tabs>
        <w:ind w:left="1440" w:hanging="360"/>
      </w:pPr>
      <w:rPr>
        <w:rFonts w:ascii="Wingdings" w:hAnsi="Wingdings" w:hint="default"/>
      </w:rPr>
    </w:lvl>
    <w:lvl w:ilvl="2" w:tplc="CABAEBAC" w:tentative="1">
      <w:start w:val="1"/>
      <w:numFmt w:val="bullet"/>
      <w:lvlText w:val=""/>
      <w:lvlJc w:val="left"/>
      <w:pPr>
        <w:tabs>
          <w:tab w:val="num" w:pos="2160"/>
        </w:tabs>
        <w:ind w:left="2160" w:hanging="360"/>
      </w:pPr>
      <w:rPr>
        <w:rFonts w:ascii="Wingdings" w:hAnsi="Wingdings" w:hint="default"/>
      </w:rPr>
    </w:lvl>
    <w:lvl w:ilvl="3" w:tplc="C4B626B4" w:tentative="1">
      <w:start w:val="1"/>
      <w:numFmt w:val="bullet"/>
      <w:lvlText w:val=""/>
      <w:lvlJc w:val="left"/>
      <w:pPr>
        <w:tabs>
          <w:tab w:val="num" w:pos="2880"/>
        </w:tabs>
        <w:ind w:left="2880" w:hanging="360"/>
      </w:pPr>
      <w:rPr>
        <w:rFonts w:ascii="Wingdings" w:hAnsi="Wingdings" w:hint="default"/>
      </w:rPr>
    </w:lvl>
    <w:lvl w:ilvl="4" w:tplc="46BC1EAA" w:tentative="1">
      <w:start w:val="1"/>
      <w:numFmt w:val="bullet"/>
      <w:lvlText w:val=""/>
      <w:lvlJc w:val="left"/>
      <w:pPr>
        <w:tabs>
          <w:tab w:val="num" w:pos="3600"/>
        </w:tabs>
        <w:ind w:left="3600" w:hanging="360"/>
      </w:pPr>
      <w:rPr>
        <w:rFonts w:ascii="Wingdings" w:hAnsi="Wingdings" w:hint="default"/>
      </w:rPr>
    </w:lvl>
    <w:lvl w:ilvl="5" w:tplc="D102E3C0" w:tentative="1">
      <w:start w:val="1"/>
      <w:numFmt w:val="bullet"/>
      <w:lvlText w:val=""/>
      <w:lvlJc w:val="left"/>
      <w:pPr>
        <w:tabs>
          <w:tab w:val="num" w:pos="4320"/>
        </w:tabs>
        <w:ind w:left="4320" w:hanging="360"/>
      </w:pPr>
      <w:rPr>
        <w:rFonts w:ascii="Wingdings" w:hAnsi="Wingdings" w:hint="default"/>
      </w:rPr>
    </w:lvl>
    <w:lvl w:ilvl="6" w:tplc="DBEA1D86" w:tentative="1">
      <w:start w:val="1"/>
      <w:numFmt w:val="bullet"/>
      <w:lvlText w:val=""/>
      <w:lvlJc w:val="left"/>
      <w:pPr>
        <w:tabs>
          <w:tab w:val="num" w:pos="5040"/>
        </w:tabs>
        <w:ind w:left="5040" w:hanging="360"/>
      </w:pPr>
      <w:rPr>
        <w:rFonts w:ascii="Wingdings" w:hAnsi="Wingdings" w:hint="default"/>
      </w:rPr>
    </w:lvl>
    <w:lvl w:ilvl="7" w:tplc="F6104810" w:tentative="1">
      <w:start w:val="1"/>
      <w:numFmt w:val="bullet"/>
      <w:lvlText w:val=""/>
      <w:lvlJc w:val="left"/>
      <w:pPr>
        <w:tabs>
          <w:tab w:val="num" w:pos="5760"/>
        </w:tabs>
        <w:ind w:left="5760" w:hanging="360"/>
      </w:pPr>
      <w:rPr>
        <w:rFonts w:ascii="Wingdings" w:hAnsi="Wingdings" w:hint="default"/>
      </w:rPr>
    </w:lvl>
    <w:lvl w:ilvl="8" w:tplc="1F00CA4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FE65F01"/>
    <w:multiLevelType w:val="hybridMultilevel"/>
    <w:tmpl w:val="D2524F14"/>
    <w:lvl w:ilvl="0" w:tplc="42CCE39C">
      <w:start w:val="1"/>
      <w:numFmt w:val="bullet"/>
      <w:lvlText w:val=""/>
      <w:lvlJc w:val="left"/>
      <w:pPr>
        <w:tabs>
          <w:tab w:val="num" w:pos="720"/>
        </w:tabs>
        <w:ind w:left="720" w:hanging="360"/>
      </w:pPr>
      <w:rPr>
        <w:rFonts w:ascii="Wingdings" w:hAnsi="Wingdings" w:hint="default"/>
      </w:rPr>
    </w:lvl>
    <w:lvl w:ilvl="1" w:tplc="6B08A8AA" w:tentative="1">
      <w:start w:val="1"/>
      <w:numFmt w:val="bullet"/>
      <w:lvlText w:val=""/>
      <w:lvlJc w:val="left"/>
      <w:pPr>
        <w:tabs>
          <w:tab w:val="num" w:pos="1440"/>
        </w:tabs>
        <w:ind w:left="1440" w:hanging="360"/>
      </w:pPr>
      <w:rPr>
        <w:rFonts w:ascii="Wingdings" w:hAnsi="Wingdings" w:hint="default"/>
      </w:rPr>
    </w:lvl>
    <w:lvl w:ilvl="2" w:tplc="F0103248" w:tentative="1">
      <w:start w:val="1"/>
      <w:numFmt w:val="bullet"/>
      <w:lvlText w:val=""/>
      <w:lvlJc w:val="left"/>
      <w:pPr>
        <w:tabs>
          <w:tab w:val="num" w:pos="2160"/>
        </w:tabs>
        <w:ind w:left="2160" w:hanging="360"/>
      </w:pPr>
      <w:rPr>
        <w:rFonts w:ascii="Wingdings" w:hAnsi="Wingdings" w:hint="default"/>
      </w:rPr>
    </w:lvl>
    <w:lvl w:ilvl="3" w:tplc="808A9A5C" w:tentative="1">
      <w:start w:val="1"/>
      <w:numFmt w:val="bullet"/>
      <w:lvlText w:val=""/>
      <w:lvlJc w:val="left"/>
      <w:pPr>
        <w:tabs>
          <w:tab w:val="num" w:pos="2880"/>
        </w:tabs>
        <w:ind w:left="2880" w:hanging="360"/>
      </w:pPr>
      <w:rPr>
        <w:rFonts w:ascii="Wingdings" w:hAnsi="Wingdings" w:hint="default"/>
      </w:rPr>
    </w:lvl>
    <w:lvl w:ilvl="4" w:tplc="2B4A11CA" w:tentative="1">
      <w:start w:val="1"/>
      <w:numFmt w:val="bullet"/>
      <w:lvlText w:val=""/>
      <w:lvlJc w:val="left"/>
      <w:pPr>
        <w:tabs>
          <w:tab w:val="num" w:pos="3600"/>
        </w:tabs>
        <w:ind w:left="3600" w:hanging="360"/>
      </w:pPr>
      <w:rPr>
        <w:rFonts w:ascii="Wingdings" w:hAnsi="Wingdings" w:hint="default"/>
      </w:rPr>
    </w:lvl>
    <w:lvl w:ilvl="5" w:tplc="E23E2854" w:tentative="1">
      <w:start w:val="1"/>
      <w:numFmt w:val="bullet"/>
      <w:lvlText w:val=""/>
      <w:lvlJc w:val="left"/>
      <w:pPr>
        <w:tabs>
          <w:tab w:val="num" w:pos="4320"/>
        </w:tabs>
        <w:ind w:left="4320" w:hanging="360"/>
      </w:pPr>
      <w:rPr>
        <w:rFonts w:ascii="Wingdings" w:hAnsi="Wingdings" w:hint="default"/>
      </w:rPr>
    </w:lvl>
    <w:lvl w:ilvl="6" w:tplc="99061888" w:tentative="1">
      <w:start w:val="1"/>
      <w:numFmt w:val="bullet"/>
      <w:lvlText w:val=""/>
      <w:lvlJc w:val="left"/>
      <w:pPr>
        <w:tabs>
          <w:tab w:val="num" w:pos="5040"/>
        </w:tabs>
        <w:ind w:left="5040" w:hanging="360"/>
      </w:pPr>
      <w:rPr>
        <w:rFonts w:ascii="Wingdings" w:hAnsi="Wingdings" w:hint="default"/>
      </w:rPr>
    </w:lvl>
    <w:lvl w:ilvl="7" w:tplc="9A5088F6" w:tentative="1">
      <w:start w:val="1"/>
      <w:numFmt w:val="bullet"/>
      <w:lvlText w:val=""/>
      <w:lvlJc w:val="left"/>
      <w:pPr>
        <w:tabs>
          <w:tab w:val="num" w:pos="5760"/>
        </w:tabs>
        <w:ind w:left="5760" w:hanging="360"/>
      </w:pPr>
      <w:rPr>
        <w:rFonts w:ascii="Wingdings" w:hAnsi="Wingdings" w:hint="default"/>
      </w:rPr>
    </w:lvl>
    <w:lvl w:ilvl="8" w:tplc="D87E055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2"/>
  </w:num>
  <w:num w:numId="4">
    <w:abstractNumId w:val="7"/>
  </w:num>
  <w:num w:numId="5">
    <w:abstractNumId w:val="0"/>
  </w:num>
  <w:num w:numId="6">
    <w:abstractNumId w:val="8"/>
  </w:num>
  <w:num w:numId="7">
    <w:abstractNumId w:val="10"/>
  </w:num>
  <w:num w:numId="8">
    <w:abstractNumId w:val="12"/>
  </w:num>
  <w:num w:numId="9">
    <w:abstractNumId w:val="3"/>
  </w:num>
  <w:num w:numId="10">
    <w:abstractNumId w:val="4"/>
  </w:num>
  <w:num w:numId="11">
    <w:abstractNumId w:val="5"/>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35B6"/>
    <w:rsid w:val="00005C22"/>
    <w:rsid w:val="000060E8"/>
    <w:rsid w:val="000151F4"/>
    <w:rsid w:val="00015DC5"/>
    <w:rsid w:val="00015E7B"/>
    <w:rsid w:val="000210B3"/>
    <w:rsid w:val="0002301A"/>
    <w:rsid w:val="00025A34"/>
    <w:rsid w:val="000272B2"/>
    <w:rsid w:val="00027F67"/>
    <w:rsid w:val="000303DF"/>
    <w:rsid w:val="00031256"/>
    <w:rsid w:val="0003254B"/>
    <w:rsid w:val="0004110C"/>
    <w:rsid w:val="00042AA0"/>
    <w:rsid w:val="00042D3A"/>
    <w:rsid w:val="000440D8"/>
    <w:rsid w:val="0004433C"/>
    <w:rsid w:val="000501E8"/>
    <w:rsid w:val="00050207"/>
    <w:rsid w:val="0005188D"/>
    <w:rsid w:val="000572D2"/>
    <w:rsid w:val="00060A95"/>
    <w:rsid w:val="000616DD"/>
    <w:rsid w:val="00062072"/>
    <w:rsid w:val="00062AFE"/>
    <w:rsid w:val="0006434B"/>
    <w:rsid w:val="00065F7D"/>
    <w:rsid w:val="000665EF"/>
    <w:rsid w:val="0007062D"/>
    <w:rsid w:val="00072AA5"/>
    <w:rsid w:val="00072DF8"/>
    <w:rsid w:val="00077E96"/>
    <w:rsid w:val="00080A74"/>
    <w:rsid w:val="00082C64"/>
    <w:rsid w:val="00084207"/>
    <w:rsid w:val="00084E75"/>
    <w:rsid w:val="00087AFA"/>
    <w:rsid w:val="00091668"/>
    <w:rsid w:val="0009277A"/>
    <w:rsid w:val="00097BB0"/>
    <w:rsid w:val="00097DCA"/>
    <w:rsid w:val="000A0C52"/>
    <w:rsid w:val="000A33B6"/>
    <w:rsid w:val="000A388B"/>
    <w:rsid w:val="000A38E3"/>
    <w:rsid w:val="000A5550"/>
    <w:rsid w:val="000A55E6"/>
    <w:rsid w:val="000A609C"/>
    <w:rsid w:val="000A7A76"/>
    <w:rsid w:val="000B0238"/>
    <w:rsid w:val="000B115C"/>
    <w:rsid w:val="000B2630"/>
    <w:rsid w:val="000B31E1"/>
    <w:rsid w:val="000B576E"/>
    <w:rsid w:val="000B5A3E"/>
    <w:rsid w:val="000B6B03"/>
    <w:rsid w:val="000C19CF"/>
    <w:rsid w:val="000C3E92"/>
    <w:rsid w:val="000C405C"/>
    <w:rsid w:val="000C494C"/>
    <w:rsid w:val="000C5013"/>
    <w:rsid w:val="000C63DF"/>
    <w:rsid w:val="000C6B53"/>
    <w:rsid w:val="000C75B4"/>
    <w:rsid w:val="000D0C5C"/>
    <w:rsid w:val="000D18BF"/>
    <w:rsid w:val="000D1CB9"/>
    <w:rsid w:val="000D28B1"/>
    <w:rsid w:val="000D303B"/>
    <w:rsid w:val="000D3242"/>
    <w:rsid w:val="000E0FB0"/>
    <w:rsid w:val="000E3461"/>
    <w:rsid w:val="000E42FD"/>
    <w:rsid w:val="000E4390"/>
    <w:rsid w:val="000E4D50"/>
    <w:rsid w:val="000E67EB"/>
    <w:rsid w:val="000E7B1E"/>
    <w:rsid w:val="000F35A2"/>
    <w:rsid w:val="000F6B26"/>
    <w:rsid w:val="00101CD5"/>
    <w:rsid w:val="0010310E"/>
    <w:rsid w:val="00107708"/>
    <w:rsid w:val="00107FC6"/>
    <w:rsid w:val="00110CB9"/>
    <w:rsid w:val="00116C74"/>
    <w:rsid w:val="00117B39"/>
    <w:rsid w:val="00120F7B"/>
    <w:rsid w:val="00127330"/>
    <w:rsid w:val="001379C1"/>
    <w:rsid w:val="00142E23"/>
    <w:rsid w:val="00144A23"/>
    <w:rsid w:val="00144C01"/>
    <w:rsid w:val="001507F5"/>
    <w:rsid w:val="00151371"/>
    <w:rsid w:val="00153790"/>
    <w:rsid w:val="001605E3"/>
    <w:rsid w:val="00160DBA"/>
    <w:rsid w:val="00160DC4"/>
    <w:rsid w:val="00161A44"/>
    <w:rsid w:val="00167EFD"/>
    <w:rsid w:val="00172923"/>
    <w:rsid w:val="00173B4D"/>
    <w:rsid w:val="00174960"/>
    <w:rsid w:val="001751D0"/>
    <w:rsid w:val="001752F9"/>
    <w:rsid w:val="0018103F"/>
    <w:rsid w:val="0018118E"/>
    <w:rsid w:val="00184A60"/>
    <w:rsid w:val="00197F8F"/>
    <w:rsid w:val="001A1157"/>
    <w:rsid w:val="001A5855"/>
    <w:rsid w:val="001A7149"/>
    <w:rsid w:val="001B1624"/>
    <w:rsid w:val="001B1829"/>
    <w:rsid w:val="001B1E02"/>
    <w:rsid w:val="001B38FC"/>
    <w:rsid w:val="001B39C0"/>
    <w:rsid w:val="001B59E1"/>
    <w:rsid w:val="001B5A85"/>
    <w:rsid w:val="001B648C"/>
    <w:rsid w:val="001B7B1B"/>
    <w:rsid w:val="001B7D38"/>
    <w:rsid w:val="001C0553"/>
    <w:rsid w:val="001C1482"/>
    <w:rsid w:val="001C1884"/>
    <w:rsid w:val="001C4360"/>
    <w:rsid w:val="001C5969"/>
    <w:rsid w:val="001C7839"/>
    <w:rsid w:val="001D0AE7"/>
    <w:rsid w:val="001D0C08"/>
    <w:rsid w:val="001D0EFC"/>
    <w:rsid w:val="001D19DF"/>
    <w:rsid w:val="001D32B6"/>
    <w:rsid w:val="001D50C6"/>
    <w:rsid w:val="001D50D8"/>
    <w:rsid w:val="001E0F01"/>
    <w:rsid w:val="001E4903"/>
    <w:rsid w:val="001E4BC8"/>
    <w:rsid w:val="001E5316"/>
    <w:rsid w:val="001E7268"/>
    <w:rsid w:val="001F0687"/>
    <w:rsid w:val="001F68D7"/>
    <w:rsid w:val="001F7D46"/>
    <w:rsid w:val="00200468"/>
    <w:rsid w:val="0020179D"/>
    <w:rsid w:val="00201B6E"/>
    <w:rsid w:val="00203E87"/>
    <w:rsid w:val="00206EEC"/>
    <w:rsid w:val="00217349"/>
    <w:rsid w:val="00217F09"/>
    <w:rsid w:val="00220682"/>
    <w:rsid w:val="002219FE"/>
    <w:rsid w:val="00221D78"/>
    <w:rsid w:val="00222099"/>
    <w:rsid w:val="0022314A"/>
    <w:rsid w:val="00224976"/>
    <w:rsid w:val="00224FC8"/>
    <w:rsid w:val="00225405"/>
    <w:rsid w:val="00225A65"/>
    <w:rsid w:val="0022661D"/>
    <w:rsid w:val="00227A74"/>
    <w:rsid w:val="00230251"/>
    <w:rsid w:val="00233568"/>
    <w:rsid w:val="002352E3"/>
    <w:rsid w:val="0025108C"/>
    <w:rsid w:val="0025379E"/>
    <w:rsid w:val="00256715"/>
    <w:rsid w:val="00256C4F"/>
    <w:rsid w:val="002578A5"/>
    <w:rsid w:val="0026052B"/>
    <w:rsid w:val="00267252"/>
    <w:rsid w:val="002677F9"/>
    <w:rsid w:val="00270BD8"/>
    <w:rsid w:val="00272799"/>
    <w:rsid w:val="00277D1C"/>
    <w:rsid w:val="00280C10"/>
    <w:rsid w:val="002814D2"/>
    <w:rsid w:val="00281786"/>
    <w:rsid w:val="002851A9"/>
    <w:rsid w:val="00285791"/>
    <w:rsid w:val="00286C5F"/>
    <w:rsid w:val="00287B5E"/>
    <w:rsid w:val="00293C91"/>
    <w:rsid w:val="002A0C5D"/>
    <w:rsid w:val="002A3A8A"/>
    <w:rsid w:val="002A69C1"/>
    <w:rsid w:val="002A7B59"/>
    <w:rsid w:val="002B00ED"/>
    <w:rsid w:val="002B0414"/>
    <w:rsid w:val="002C0409"/>
    <w:rsid w:val="002C14F5"/>
    <w:rsid w:val="002C43AF"/>
    <w:rsid w:val="002C50B4"/>
    <w:rsid w:val="002C544B"/>
    <w:rsid w:val="002C570A"/>
    <w:rsid w:val="002C6AE9"/>
    <w:rsid w:val="002D1E43"/>
    <w:rsid w:val="002D3BE2"/>
    <w:rsid w:val="002D430F"/>
    <w:rsid w:val="002D4D7E"/>
    <w:rsid w:val="002D5AA7"/>
    <w:rsid w:val="002D6770"/>
    <w:rsid w:val="002D74F8"/>
    <w:rsid w:val="002E067D"/>
    <w:rsid w:val="002E36BC"/>
    <w:rsid w:val="002E41CA"/>
    <w:rsid w:val="002E602A"/>
    <w:rsid w:val="002E6E03"/>
    <w:rsid w:val="002F01EC"/>
    <w:rsid w:val="002F3CE4"/>
    <w:rsid w:val="002F4F22"/>
    <w:rsid w:val="002F526C"/>
    <w:rsid w:val="002F54F0"/>
    <w:rsid w:val="00310C24"/>
    <w:rsid w:val="00312A70"/>
    <w:rsid w:val="003146B5"/>
    <w:rsid w:val="00316E46"/>
    <w:rsid w:val="00321E43"/>
    <w:rsid w:val="0032356B"/>
    <w:rsid w:val="0032459B"/>
    <w:rsid w:val="003268E2"/>
    <w:rsid w:val="003276D5"/>
    <w:rsid w:val="00332D50"/>
    <w:rsid w:val="003333C4"/>
    <w:rsid w:val="0034062D"/>
    <w:rsid w:val="00340A9E"/>
    <w:rsid w:val="00340C98"/>
    <w:rsid w:val="003417F9"/>
    <w:rsid w:val="0034391E"/>
    <w:rsid w:val="00345CC1"/>
    <w:rsid w:val="00347C74"/>
    <w:rsid w:val="00347D11"/>
    <w:rsid w:val="00350FE2"/>
    <w:rsid w:val="00352445"/>
    <w:rsid w:val="00354948"/>
    <w:rsid w:val="003615CF"/>
    <w:rsid w:val="003643DC"/>
    <w:rsid w:val="00370500"/>
    <w:rsid w:val="00371F7E"/>
    <w:rsid w:val="00374648"/>
    <w:rsid w:val="00375343"/>
    <w:rsid w:val="003773BE"/>
    <w:rsid w:val="003803BC"/>
    <w:rsid w:val="00381011"/>
    <w:rsid w:val="00382AC5"/>
    <w:rsid w:val="00383658"/>
    <w:rsid w:val="0038378D"/>
    <w:rsid w:val="00385ADC"/>
    <w:rsid w:val="00391BB9"/>
    <w:rsid w:val="003922B0"/>
    <w:rsid w:val="00392BCA"/>
    <w:rsid w:val="00394543"/>
    <w:rsid w:val="0039577E"/>
    <w:rsid w:val="00397D36"/>
    <w:rsid w:val="003A003C"/>
    <w:rsid w:val="003A07B9"/>
    <w:rsid w:val="003A1D52"/>
    <w:rsid w:val="003A1E04"/>
    <w:rsid w:val="003A2A0B"/>
    <w:rsid w:val="003A50E0"/>
    <w:rsid w:val="003A6668"/>
    <w:rsid w:val="003B2BDA"/>
    <w:rsid w:val="003B4242"/>
    <w:rsid w:val="003B5F87"/>
    <w:rsid w:val="003B68AF"/>
    <w:rsid w:val="003B6A30"/>
    <w:rsid w:val="003B6BF2"/>
    <w:rsid w:val="003B6C2A"/>
    <w:rsid w:val="003B74D3"/>
    <w:rsid w:val="003C25C0"/>
    <w:rsid w:val="003C2E42"/>
    <w:rsid w:val="003C5739"/>
    <w:rsid w:val="003C649D"/>
    <w:rsid w:val="003C6D41"/>
    <w:rsid w:val="003C6EE7"/>
    <w:rsid w:val="003D0A44"/>
    <w:rsid w:val="003D17BF"/>
    <w:rsid w:val="003D1C22"/>
    <w:rsid w:val="003D2599"/>
    <w:rsid w:val="003D3693"/>
    <w:rsid w:val="003D5534"/>
    <w:rsid w:val="003D5E88"/>
    <w:rsid w:val="003D64AA"/>
    <w:rsid w:val="003D692D"/>
    <w:rsid w:val="003E2B52"/>
    <w:rsid w:val="003E7CDD"/>
    <w:rsid w:val="003F0200"/>
    <w:rsid w:val="003F03F6"/>
    <w:rsid w:val="003F0FBA"/>
    <w:rsid w:val="003F27B3"/>
    <w:rsid w:val="003F332C"/>
    <w:rsid w:val="003F4454"/>
    <w:rsid w:val="003F4C55"/>
    <w:rsid w:val="003F538C"/>
    <w:rsid w:val="003F5AA5"/>
    <w:rsid w:val="00400ADC"/>
    <w:rsid w:val="00400EDB"/>
    <w:rsid w:val="00404142"/>
    <w:rsid w:val="00406909"/>
    <w:rsid w:val="00407285"/>
    <w:rsid w:val="00407580"/>
    <w:rsid w:val="0041023D"/>
    <w:rsid w:val="00411C30"/>
    <w:rsid w:val="00413E1B"/>
    <w:rsid w:val="004142F1"/>
    <w:rsid w:val="00416236"/>
    <w:rsid w:val="00416D4C"/>
    <w:rsid w:val="00417AFC"/>
    <w:rsid w:val="00423083"/>
    <w:rsid w:val="0042395F"/>
    <w:rsid w:val="0042645D"/>
    <w:rsid w:val="00426DFC"/>
    <w:rsid w:val="00430411"/>
    <w:rsid w:val="00433E9C"/>
    <w:rsid w:val="0043541A"/>
    <w:rsid w:val="00436343"/>
    <w:rsid w:val="00440546"/>
    <w:rsid w:val="004409CD"/>
    <w:rsid w:val="00446E73"/>
    <w:rsid w:val="00447833"/>
    <w:rsid w:val="00454B1A"/>
    <w:rsid w:val="00461275"/>
    <w:rsid w:val="004615D7"/>
    <w:rsid w:val="00462CC7"/>
    <w:rsid w:val="004659D4"/>
    <w:rsid w:val="00467EE6"/>
    <w:rsid w:val="00471A64"/>
    <w:rsid w:val="00471C06"/>
    <w:rsid w:val="004754EC"/>
    <w:rsid w:val="004802C3"/>
    <w:rsid w:val="00481EF5"/>
    <w:rsid w:val="00484136"/>
    <w:rsid w:val="00485500"/>
    <w:rsid w:val="00485CBC"/>
    <w:rsid w:val="00486C0A"/>
    <w:rsid w:val="004879F4"/>
    <w:rsid w:val="00487C6D"/>
    <w:rsid w:val="004906DF"/>
    <w:rsid w:val="00490B0E"/>
    <w:rsid w:val="00490BA3"/>
    <w:rsid w:val="004917FA"/>
    <w:rsid w:val="00496636"/>
    <w:rsid w:val="004A253E"/>
    <w:rsid w:val="004A265E"/>
    <w:rsid w:val="004A2AD9"/>
    <w:rsid w:val="004A345D"/>
    <w:rsid w:val="004B05C7"/>
    <w:rsid w:val="004B18E3"/>
    <w:rsid w:val="004B4378"/>
    <w:rsid w:val="004B4E92"/>
    <w:rsid w:val="004B7263"/>
    <w:rsid w:val="004C012B"/>
    <w:rsid w:val="004C262C"/>
    <w:rsid w:val="004C3B12"/>
    <w:rsid w:val="004C3C6E"/>
    <w:rsid w:val="004C3FD0"/>
    <w:rsid w:val="004C443E"/>
    <w:rsid w:val="004C52CB"/>
    <w:rsid w:val="004C59EA"/>
    <w:rsid w:val="004C5F2C"/>
    <w:rsid w:val="004D15A9"/>
    <w:rsid w:val="004D1623"/>
    <w:rsid w:val="004D26B1"/>
    <w:rsid w:val="004D444D"/>
    <w:rsid w:val="004D548E"/>
    <w:rsid w:val="004D5B3D"/>
    <w:rsid w:val="004E29A8"/>
    <w:rsid w:val="004E32C0"/>
    <w:rsid w:val="004E4E5F"/>
    <w:rsid w:val="004E7B46"/>
    <w:rsid w:val="004F2959"/>
    <w:rsid w:val="004F4554"/>
    <w:rsid w:val="005024B3"/>
    <w:rsid w:val="005057A5"/>
    <w:rsid w:val="00506459"/>
    <w:rsid w:val="00507063"/>
    <w:rsid w:val="005073A8"/>
    <w:rsid w:val="005079D1"/>
    <w:rsid w:val="00514371"/>
    <w:rsid w:val="00515CEE"/>
    <w:rsid w:val="0051773C"/>
    <w:rsid w:val="00517C17"/>
    <w:rsid w:val="005200C8"/>
    <w:rsid w:val="00523A3E"/>
    <w:rsid w:val="00532038"/>
    <w:rsid w:val="005323E3"/>
    <w:rsid w:val="00532859"/>
    <w:rsid w:val="00534060"/>
    <w:rsid w:val="00534244"/>
    <w:rsid w:val="005359B7"/>
    <w:rsid w:val="00544A6A"/>
    <w:rsid w:val="00544C05"/>
    <w:rsid w:val="00544F52"/>
    <w:rsid w:val="0054510F"/>
    <w:rsid w:val="00552FBE"/>
    <w:rsid w:val="0055458F"/>
    <w:rsid w:val="00555D57"/>
    <w:rsid w:val="00562BAE"/>
    <w:rsid w:val="005635CD"/>
    <w:rsid w:val="00563C81"/>
    <w:rsid w:val="0056459F"/>
    <w:rsid w:val="0056778E"/>
    <w:rsid w:val="0057165A"/>
    <w:rsid w:val="00573F9E"/>
    <w:rsid w:val="00574834"/>
    <w:rsid w:val="005760B3"/>
    <w:rsid w:val="005843F3"/>
    <w:rsid w:val="005843FE"/>
    <w:rsid w:val="00584ECF"/>
    <w:rsid w:val="0059057E"/>
    <w:rsid w:val="00594904"/>
    <w:rsid w:val="005953B6"/>
    <w:rsid w:val="00596CCC"/>
    <w:rsid w:val="005A1E89"/>
    <w:rsid w:val="005A3A2C"/>
    <w:rsid w:val="005B31C7"/>
    <w:rsid w:val="005B36BA"/>
    <w:rsid w:val="005B3873"/>
    <w:rsid w:val="005B5216"/>
    <w:rsid w:val="005C0266"/>
    <w:rsid w:val="005C1BAA"/>
    <w:rsid w:val="005C229A"/>
    <w:rsid w:val="005C488D"/>
    <w:rsid w:val="005C7D9F"/>
    <w:rsid w:val="005D055B"/>
    <w:rsid w:val="005D0DC8"/>
    <w:rsid w:val="005D2077"/>
    <w:rsid w:val="005D409E"/>
    <w:rsid w:val="005D4E8A"/>
    <w:rsid w:val="005E23E8"/>
    <w:rsid w:val="005E3366"/>
    <w:rsid w:val="005E4D38"/>
    <w:rsid w:val="005E6473"/>
    <w:rsid w:val="005E6BFF"/>
    <w:rsid w:val="005F0CB1"/>
    <w:rsid w:val="005F3FF0"/>
    <w:rsid w:val="005F6598"/>
    <w:rsid w:val="00600BC2"/>
    <w:rsid w:val="00604140"/>
    <w:rsid w:val="00604312"/>
    <w:rsid w:val="00604A72"/>
    <w:rsid w:val="00604C73"/>
    <w:rsid w:val="006058D6"/>
    <w:rsid w:val="00611188"/>
    <w:rsid w:val="00612A92"/>
    <w:rsid w:val="00620907"/>
    <w:rsid w:val="0063092F"/>
    <w:rsid w:val="00630EB3"/>
    <w:rsid w:val="00630FB4"/>
    <w:rsid w:val="0063185B"/>
    <w:rsid w:val="00636CD2"/>
    <w:rsid w:val="00641814"/>
    <w:rsid w:val="0064197D"/>
    <w:rsid w:val="00642A12"/>
    <w:rsid w:val="0064321F"/>
    <w:rsid w:val="00643B36"/>
    <w:rsid w:val="00644234"/>
    <w:rsid w:val="00644AAB"/>
    <w:rsid w:val="00644E2D"/>
    <w:rsid w:val="00646084"/>
    <w:rsid w:val="006475B3"/>
    <w:rsid w:val="00647838"/>
    <w:rsid w:val="00654407"/>
    <w:rsid w:val="00655F9F"/>
    <w:rsid w:val="00656456"/>
    <w:rsid w:val="006564BC"/>
    <w:rsid w:val="00657682"/>
    <w:rsid w:val="0066241B"/>
    <w:rsid w:val="006633C1"/>
    <w:rsid w:val="006641E1"/>
    <w:rsid w:val="00666315"/>
    <w:rsid w:val="00666EE4"/>
    <w:rsid w:val="00670233"/>
    <w:rsid w:val="00677E45"/>
    <w:rsid w:val="0068150F"/>
    <w:rsid w:val="00682AE7"/>
    <w:rsid w:val="0068318A"/>
    <w:rsid w:val="006836C7"/>
    <w:rsid w:val="00683E49"/>
    <w:rsid w:val="00685434"/>
    <w:rsid w:val="00686824"/>
    <w:rsid w:val="00691725"/>
    <w:rsid w:val="00692227"/>
    <w:rsid w:val="00695EF7"/>
    <w:rsid w:val="006A0892"/>
    <w:rsid w:val="006A1C25"/>
    <w:rsid w:val="006A22C6"/>
    <w:rsid w:val="006A3AA7"/>
    <w:rsid w:val="006A4999"/>
    <w:rsid w:val="006A5032"/>
    <w:rsid w:val="006A5092"/>
    <w:rsid w:val="006A5352"/>
    <w:rsid w:val="006A79D8"/>
    <w:rsid w:val="006B1470"/>
    <w:rsid w:val="006B20EE"/>
    <w:rsid w:val="006B4BEE"/>
    <w:rsid w:val="006B55C0"/>
    <w:rsid w:val="006B627C"/>
    <w:rsid w:val="006B770F"/>
    <w:rsid w:val="006D066C"/>
    <w:rsid w:val="006D1CD9"/>
    <w:rsid w:val="006D1F9C"/>
    <w:rsid w:val="006D24C1"/>
    <w:rsid w:val="006D3DD0"/>
    <w:rsid w:val="006D4B44"/>
    <w:rsid w:val="006D4EB2"/>
    <w:rsid w:val="006D4F28"/>
    <w:rsid w:val="006D70C0"/>
    <w:rsid w:val="006D7913"/>
    <w:rsid w:val="006E0B14"/>
    <w:rsid w:val="006E1281"/>
    <w:rsid w:val="006E1F40"/>
    <w:rsid w:val="006E3411"/>
    <w:rsid w:val="006E4AAE"/>
    <w:rsid w:val="006E75F6"/>
    <w:rsid w:val="006F0856"/>
    <w:rsid w:val="006F1D1E"/>
    <w:rsid w:val="006F3CD6"/>
    <w:rsid w:val="0070223D"/>
    <w:rsid w:val="00703120"/>
    <w:rsid w:val="007047F3"/>
    <w:rsid w:val="00704875"/>
    <w:rsid w:val="00704CBF"/>
    <w:rsid w:val="007102E3"/>
    <w:rsid w:val="00710817"/>
    <w:rsid w:val="00710CB6"/>
    <w:rsid w:val="0071126E"/>
    <w:rsid w:val="00711E0E"/>
    <w:rsid w:val="007136A0"/>
    <w:rsid w:val="00714FA3"/>
    <w:rsid w:val="00720E2A"/>
    <w:rsid w:val="00726C75"/>
    <w:rsid w:val="007334B5"/>
    <w:rsid w:val="00734290"/>
    <w:rsid w:val="00734566"/>
    <w:rsid w:val="00736BAB"/>
    <w:rsid w:val="0073730D"/>
    <w:rsid w:val="0074000E"/>
    <w:rsid w:val="007459FE"/>
    <w:rsid w:val="00750968"/>
    <w:rsid w:val="00751C29"/>
    <w:rsid w:val="00752426"/>
    <w:rsid w:val="00752A4E"/>
    <w:rsid w:val="007608F8"/>
    <w:rsid w:val="00761E5C"/>
    <w:rsid w:val="00762FF5"/>
    <w:rsid w:val="00763CCD"/>
    <w:rsid w:val="007720A6"/>
    <w:rsid w:val="007724B7"/>
    <w:rsid w:val="00773ACF"/>
    <w:rsid w:val="007740AF"/>
    <w:rsid w:val="00774A53"/>
    <w:rsid w:val="007755C1"/>
    <w:rsid w:val="0077763B"/>
    <w:rsid w:val="0078237E"/>
    <w:rsid w:val="0078241F"/>
    <w:rsid w:val="00782FA9"/>
    <w:rsid w:val="00785724"/>
    <w:rsid w:val="00787E5A"/>
    <w:rsid w:val="00790490"/>
    <w:rsid w:val="007907E1"/>
    <w:rsid w:val="00795710"/>
    <w:rsid w:val="007965B5"/>
    <w:rsid w:val="007A0E67"/>
    <w:rsid w:val="007A1836"/>
    <w:rsid w:val="007A4A34"/>
    <w:rsid w:val="007A7E12"/>
    <w:rsid w:val="007B37E0"/>
    <w:rsid w:val="007B52E5"/>
    <w:rsid w:val="007B64ED"/>
    <w:rsid w:val="007B7291"/>
    <w:rsid w:val="007B7A88"/>
    <w:rsid w:val="007C0D12"/>
    <w:rsid w:val="007C11FB"/>
    <w:rsid w:val="007C3CEC"/>
    <w:rsid w:val="007C4A82"/>
    <w:rsid w:val="007C4F80"/>
    <w:rsid w:val="007C6421"/>
    <w:rsid w:val="007C66CC"/>
    <w:rsid w:val="007C6844"/>
    <w:rsid w:val="007C76FD"/>
    <w:rsid w:val="007C7FA3"/>
    <w:rsid w:val="007D1066"/>
    <w:rsid w:val="007D1487"/>
    <w:rsid w:val="007D29A7"/>
    <w:rsid w:val="007D3045"/>
    <w:rsid w:val="007D789E"/>
    <w:rsid w:val="007E0A5B"/>
    <w:rsid w:val="007E0BC8"/>
    <w:rsid w:val="007E540D"/>
    <w:rsid w:val="007E562B"/>
    <w:rsid w:val="007E667A"/>
    <w:rsid w:val="007E7599"/>
    <w:rsid w:val="007F35CE"/>
    <w:rsid w:val="007F38CD"/>
    <w:rsid w:val="007F4460"/>
    <w:rsid w:val="00800270"/>
    <w:rsid w:val="008002D5"/>
    <w:rsid w:val="00803B13"/>
    <w:rsid w:val="008106F9"/>
    <w:rsid w:val="0081170A"/>
    <w:rsid w:val="0081203F"/>
    <w:rsid w:val="00813DD7"/>
    <w:rsid w:val="00814E10"/>
    <w:rsid w:val="008158D3"/>
    <w:rsid w:val="0081742B"/>
    <w:rsid w:val="00820797"/>
    <w:rsid w:val="008208A7"/>
    <w:rsid w:val="008219C9"/>
    <w:rsid w:val="0082382F"/>
    <w:rsid w:val="00826344"/>
    <w:rsid w:val="0082665A"/>
    <w:rsid w:val="008341AA"/>
    <w:rsid w:val="00836373"/>
    <w:rsid w:val="00837483"/>
    <w:rsid w:val="0084036F"/>
    <w:rsid w:val="00841836"/>
    <w:rsid w:val="00842FDC"/>
    <w:rsid w:val="00843242"/>
    <w:rsid w:val="008460D7"/>
    <w:rsid w:val="008473E7"/>
    <w:rsid w:val="00851014"/>
    <w:rsid w:val="00865CEC"/>
    <w:rsid w:val="00871724"/>
    <w:rsid w:val="00874714"/>
    <w:rsid w:val="008749E2"/>
    <w:rsid w:val="00874CBA"/>
    <w:rsid w:val="00877A5C"/>
    <w:rsid w:val="008826E9"/>
    <w:rsid w:val="00882BAD"/>
    <w:rsid w:val="0088665B"/>
    <w:rsid w:val="00890331"/>
    <w:rsid w:val="0089183D"/>
    <w:rsid w:val="00892F60"/>
    <w:rsid w:val="008934E5"/>
    <w:rsid w:val="00894B05"/>
    <w:rsid w:val="008957E2"/>
    <w:rsid w:val="00895EED"/>
    <w:rsid w:val="00896074"/>
    <w:rsid w:val="008963C1"/>
    <w:rsid w:val="008A329C"/>
    <w:rsid w:val="008A6806"/>
    <w:rsid w:val="008A7964"/>
    <w:rsid w:val="008B052C"/>
    <w:rsid w:val="008B14CE"/>
    <w:rsid w:val="008B271B"/>
    <w:rsid w:val="008B3CFE"/>
    <w:rsid w:val="008B4D14"/>
    <w:rsid w:val="008B6D5D"/>
    <w:rsid w:val="008B7974"/>
    <w:rsid w:val="008C1D9E"/>
    <w:rsid w:val="008C3084"/>
    <w:rsid w:val="008C339C"/>
    <w:rsid w:val="008C55B4"/>
    <w:rsid w:val="008C5C39"/>
    <w:rsid w:val="008C5C84"/>
    <w:rsid w:val="008C657E"/>
    <w:rsid w:val="008C66F7"/>
    <w:rsid w:val="008D2DB6"/>
    <w:rsid w:val="008D3982"/>
    <w:rsid w:val="008D6632"/>
    <w:rsid w:val="008D6E7F"/>
    <w:rsid w:val="008E0C5B"/>
    <w:rsid w:val="008E2293"/>
    <w:rsid w:val="008E4E93"/>
    <w:rsid w:val="008E5994"/>
    <w:rsid w:val="008E78B2"/>
    <w:rsid w:val="008F3349"/>
    <w:rsid w:val="008F3B78"/>
    <w:rsid w:val="008F3E01"/>
    <w:rsid w:val="008F58C5"/>
    <w:rsid w:val="008F7461"/>
    <w:rsid w:val="008F7801"/>
    <w:rsid w:val="00900FA8"/>
    <w:rsid w:val="00902750"/>
    <w:rsid w:val="00902943"/>
    <w:rsid w:val="009037D5"/>
    <w:rsid w:val="009038DF"/>
    <w:rsid w:val="0090437F"/>
    <w:rsid w:val="00906E89"/>
    <w:rsid w:val="00907C0C"/>
    <w:rsid w:val="00913717"/>
    <w:rsid w:val="00917DE0"/>
    <w:rsid w:val="00921F6A"/>
    <w:rsid w:val="00923651"/>
    <w:rsid w:val="009249EA"/>
    <w:rsid w:val="00927BE1"/>
    <w:rsid w:val="00936471"/>
    <w:rsid w:val="00936E1A"/>
    <w:rsid w:val="009371EB"/>
    <w:rsid w:val="00940816"/>
    <w:rsid w:val="00942962"/>
    <w:rsid w:val="00942D8C"/>
    <w:rsid w:val="00947336"/>
    <w:rsid w:val="0095238D"/>
    <w:rsid w:val="009528FD"/>
    <w:rsid w:val="00955135"/>
    <w:rsid w:val="0095532F"/>
    <w:rsid w:val="00955CA6"/>
    <w:rsid w:val="00956124"/>
    <w:rsid w:val="009565B2"/>
    <w:rsid w:val="0095668A"/>
    <w:rsid w:val="009572C2"/>
    <w:rsid w:val="00957E1F"/>
    <w:rsid w:val="0096139B"/>
    <w:rsid w:val="00962440"/>
    <w:rsid w:val="009625A5"/>
    <w:rsid w:val="00963169"/>
    <w:rsid w:val="009636DF"/>
    <w:rsid w:val="00964EA7"/>
    <w:rsid w:val="00965C84"/>
    <w:rsid w:val="00967A9C"/>
    <w:rsid w:val="00973243"/>
    <w:rsid w:val="00973695"/>
    <w:rsid w:val="0097455D"/>
    <w:rsid w:val="0097613E"/>
    <w:rsid w:val="0097690A"/>
    <w:rsid w:val="009816B8"/>
    <w:rsid w:val="00987726"/>
    <w:rsid w:val="00990EC3"/>
    <w:rsid w:val="0099131E"/>
    <w:rsid w:val="00992F3A"/>
    <w:rsid w:val="00994022"/>
    <w:rsid w:val="00994A7D"/>
    <w:rsid w:val="009963FD"/>
    <w:rsid w:val="00997549"/>
    <w:rsid w:val="0099779C"/>
    <w:rsid w:val="00997954"/>
    <w:rsid w:val="009A2848"/>
    <w:rsid w:val="009A4C6E"/>
    <w:rsid w:val="009A61BC"/>
    <w:rsid w:val="009A68D6"/>
    <w:rsid w:val="009B312B"/>
    <w:rsid w:val="009B40B4"/>
    <w:rsid w:val="009B4604"/>
    <w:rsid w:val="009B5593"/>
    <w:rsid w:val="009B7777"/>
    <w:rsid w:val="009C0183"/>
    <w:rsid w:val="009C0A3A"/>
    <w:rsid w:val="009C15D4"/>
    <w:rsid w:val="009C291D"/>
    <w:rsid w:val="009C3333"/>
    <w:rsid w:val="009C7352"/>
    <w:rsid w:val="009D3A25"/>
    <w:rsid w:val="009E0B44"/>
    <w:rsid w:val="009E63FF"/>
    <w:rsid w:val="009E7F0F"/>
    <w:rsid w:val="009F1AE3"/>
    <w:rsid w:val="009F202C"/>
    <w:rsid w:val="009F277F"/>
    <w:rsid w:val="00A03901"/>
    <w:rsid w:val="00A06851"/>
    <w:rsid w:val="00A148E0"/>
    <w:rsid w:val="00A14DC6"/>
    <w:rsid w:val="00A1552F"/>
    <w:rsid w:val="00A15F94"/>
    <w:rsid w:val="00A16F36"/>
    <w:rsid w:val="00A17315"/>
    <w:rsid w:val="00A20CA3"/>
    <w:rsid w:val="00A22B78"/>
    <w:rsid w:val="00A2342D"/>
    <w:rsid w:val="00A23984"/>
    <w:rsid w:val="00A24459"/>
    <w:rsid w:val="00A25A10"/>
    <w:rsid w:val="00A26BE9"/>
    <w:rsid w:val="00A27901"/>
    <w:rsid w:val="00A32BC9"/>
    <w:rsid w:val="00A32FB1"/>
    <w:rsid w:val="00A35A64"/>
    <w:rsid w:val="00A35AB6"/>
    <w:rsid w:val="00A40A13"/>
    <w:rsid w:val="00A41D2C"/>
    <w:rsid w:val="00A427E3"/>
    <w:rsid w:val="00A442AB"/>
    <w:rsid w:val="00A455F9"/>
    <w:rsid w:val="00A47ED4"/>
    <w:rsid w:val="00A526AB"/>
    <w:rsid w:val="00A52E16"/>
    <w:rsid w:val="00A53820"/>
    <w:rsid w:val="00A55065"/>
    <w:rsid w:val="00A61600"/>
    <w:rsid w:val="00A61AA9"/>
    <w:rsid w:val="00A61C62"/>
    <w:rsid w:val="00A63068"/>
    <w:rsid w:val="00A65EED"/>
    <w:rsid w:val="00A66831"/>
    <w:rsid w:val="00A675CC"/>
    <w:rsid w:val="00A716E1"/>
    <w:rsid w:val="00A756EA"/>
    <w:rsid w:val="00A7614E"/>
    <w:rsid w:val="00A77E38"/>
    <w:rsid w:val="00A84832"/>
    <w:rsid w:val="00A857DD"/>
    <w:rsid w:val="00A864B5"/>
    <w:rsid w:val="00A8728C"/>
    <w:rsid w:val="00A907F2"/>
    <w:rsid w:val="00A9257A"/>
    <w:rsid w:val="00A94315"/>
    <w:rsid w:val="00A94AF8"/>
    <w:rsid w:val="00A957CD"/>
    <w:rsid w:val="00A959D2"/>
    <w:rsid w:val="00A978F1"/>
    <w:rsid w:val="00AA14A2"/>
    <w:rsid w:val="00AA1D8C"/>
    <w:rsid w:val="00AA2C39"/>
    <w:rsid w:val="00AA3932"/>
    <w:rsid w:val="00AA5DFB"/>
    <w:rsid w:val="00AA6581"/>
    <w:rsid w:val="00AA7184"/>
    <w:rsid w:val="00AA7705"/>
    <w:rsid w:val="00AA79B0"/>
    <w:rsid w:val="00AB46D7"/>
    <w:rsid w:val="00AB6562"/>
    <w:rsid w:val="00AB6C07"/>
    <w:rsid w:val="00AB7F03"/>
    <w:rsid w:val="00AC0032"/>
    <w:rsid w:val="00AC0045"/>
    <w:rsid w:val="00AC62D5"/>
    <w:rsid w:val="00AC6B25"/>
    <w:rsid w:val="00AC78F6"/>
    <w:rsid w:val="00AD215D"/>
    <w:rsid w:val="00AD2422"/>
    <w:rsid w:val="00AD31D7"/>
    <w:rsid w:val="00AD324B"/>
    <w:rsid w:val="00AD7C98"/>
    <w:rsid w:val="00AE4745"/>
    <w:rsid w:val="00AE55D2"/>
    <w:rsid w:val="00AE6E9C"/>
    <w:rsid w:val="00AE6F81"/>
    <w:rsid w:val="00AF05E9"/>
    <w:rsid w:val="00AF2398"/>
    <w:rsid w:val="00AF4363"/>
    <w:rsid w:val="00AF5C6B"/>
    <w:rsid w:val="00AF6C9E"/>
    <w:rsid w:val="00AF7AEA"/>
    <w:rsid w:val="00B003C9"/>
    <w:rsid w:val="00B03D26"/>
    <w:rsid w:val="00B07603"/>
    <w:rsid w:val="00B10027"/>
    <w:rsid w:val="00B10607"/>
    <w:rsid w:val="00B11522"/>
    <w:rsid w:val="00B11C92"/>
    <w:rsid w:val="00B14FD3"/>
    <w:rsid w:val="00B155C5"/>
    <w:rsid w:val="00B206A7"/>
    <w:rsid w:val="00B2137E"/>
    <w:rsid w:val="00B21488"/>
    <w:rsid w:val="00B21C77"/>
    <w:rsid w:val="00B21F64"/>
    <w:rsid w:val="00B250AF"/>
    <w:rsid w:val="00B27FAE"/>
    <w:rsid w:val="00B3089E"/>
    <w:rsid w:val="00B31948"/>
    <w:rsid w:val="00B338CA"/>
    <w:rsid w:val="00B34803"/>
    <w:rsid w:val="00B40231"/>
    <w:rsid w:val="00B4220C"/>
    <w:rsid w:val="00B432E8"/>
    <w:rsid w:val="00B44750"/>
    <w:rsid w:val="00B448D0"/>
    <w:rsid w:val="00B457ED"/>
    <w:rsid w:val="00B50488"/>
    <w:rsid w:val="00B5103E"/>
    <w:rsid w:val="00B52D69"/>
    <w:rsid w:val="00B5611F"/>
    <w:rsid w:val="00B605C3"/>
    <w:rsid w:val="00B60C22"/>
    <w:rsid w:val="00B61333"/>
    <w:rsid w:val="00B62D3C"/>
    <w:rsid w:val="00B64371"/>
    <w:rsid w:val="00B70233"/>
    <w:rsid w:val="00B72D55"/>
    <w:rsid w:val="00B76265"/>
    <w:rsid w:val="00B80CED"/>
    <w:rsid w:val="00B80E8F"/>
    <w:rsid w:val="00B81C6E"/>
    <w:rsid w:val="00B831ED"/>
    <w:rsid w:val="00B83230"/>
    <w:rsid w:val="00B83C87"/>
    <w:rsid w:val="00B87701"/>
    <w:rsid w:val="00B92BB4"/>
    <w:rsid w:val="00B92C25"/>
    <w:rsid w:val="00B946ED"/>
    <w:rsid w:val="00BA09BC"/>
    <w:rsid w:val="00BA1591"/>
    <w:rsid w:val="00BA2466"/>
    <w:rsid w:val="00BA3437"/>
    <w:rsid w:val="00BA3588"/>
    <w:rsid w:val="00BA3E50"/>
    <w:rsid w:val="00BA6B3C"/>
    <w:rsid w:val="00BA75AC"/>
    <w:rsid w:val="00BB1F46"/>
    <w:rsid w:val="00BB5BD8"/>
    <w:rsid w:val="00BC2633"/>
    <w:rsid w:val="00BC5551"/>
    <w:rsid w:val="00BC623C"/>
    <w:rsid w:val="00BC6C2F"/>
    <w:rsid w:val="00BD419D"/>
    <w:rsid w:val="00BD494E"/>
    <w:rsid w:val="00BD5746"/>
    <w:rsid w:val="00BE058E"/>
    <w:rsid w:val="00BE357A"/>
    <w:rsid w:val="00BE5F96"/>
    <w:rsid w:val="00BE624F"/>
    <w:rsid w:val="00BE6584"/>
    <w:rsid w:val="00BF0442"/>
    <w:rsid w:val="00BF0D20"/>
    <w:rsid w:val="00BF1AE7"/>
    <w:rsid w:val="00BF327D"/>
    <w:rsid w:val="00BF3A34"/>
    <w:rsid w:val="00C00759"/>
    <w:rsid w:val="00C02448"/>
    <w:rsid w:val="00C056E0"/>
    <w:rsid w:val="00C07796"/>
    <w:rsid w:val="00C12A66"/>
    <w:rsid w:val="00C13559"/>
    <w:rsid w:val="00C14C3E"/>
    <w:rsid w:val="00C1673D"/>
    <w:rsid w:val="00C22596"/>
    <w:rsid w:val="00C238FC"/>
    <w:rsid w:val="00C255AE"/>
    <w:rsid w:val="00C260D2"/>
    <w:rsid w:val="00C26E82"/>
    <w:rsid w:val="00C302D3"/>
    <w:rsid w:val="00C312D0"/>
    <w:rsid w:val="00C3213A"/>
    <w:rsid w:val="00C325B4"/>
    <w:rsid w:val="00C32D29"/>
    <w:rsid w:val="00C33F11"/>
    <w:rsid w:val="00C34576"/>
    <w:rsid w:val="00C408D9"/>
    <w:rsid w:val="00C441B2"/>
    <w:rsid w:val="00C45B3E"/>
    <w:rsid w:val="00C52EAD"/>
    <w:rsid w:val="00C53DC7"/>
    <w:rsid w:val="00C53ECA"/>
    <w:rsid w:val="00C578F1"/>
    <w:rsid w:val="00C65605"/>
    <w:rsid w:val="00C65B41"/>
    <w:rsid w:val="00C73530"/>
    <w:rsid w:val="00C75E1E"/>
    <w:rsid w:val="00C7678F"/>
    <w:rsid w:val="00C77348"/>
    <w:rsid w:val="00C809E7"/>
    <w:rsid w:val="00C85239"/>
    <w:rsid w:val="00C86B12"/>
    <w:rsid w:val="00C9193B"/>
    <w:rsid w:val="00C920BF"/>
    <w:rsid w:val="00C9294D"/>
    <w:rsid w:val="00CA4E95"/>
    <w:rsid w:val="00CA5164"/>
    <w:rsid w:val="00CA6F65"/>
    <w:rsid w:val="00CA720D"/>
    <w:rsid w:val="00CB0FAA"/>
    <w:rsid w:val="00CB2001"/>
    <w:rsid w:val="00CB2D77"/>
    <w:rsid w:val="00CB50E0"/>
    <w:rsid w:val="00CB5563"/>
    <w:rsid w:val="00CB60C6"/>
    <w:rsid w:val="00CB6292"/>
    <w:rsid w:val="00CB64C5"/>
    <w:rsid w:val="00CB739B"/>
    <w:rsid w:val="00CC2358"/>
    <w:rsid w:val="00CC309B"/>
    <w:rsid w:val="00CC3FA4"/>
    <w:rsid w:val="00CD0BAB"/>
    <w:rsid w:val="00CD1F86"/>
    <w:rsid w:val="00CD37C5"/>
    <w:rsid w:val="00CD60A9"/>
    <w:rsid w:val="00CD6BA0"/>
    <w:rsid w:val="00CD6BC8"/>
    <w:rsid w:val="00CE0917"/>
    <w:rsid w:val="00CE2E8B"/>
    <w:rsid w:val="00CE3196"/>
    <w:rsid w:val="00CE4D88"/>
    <w:rsid w:val="00CE694B"/>
    <w:rsid w:val="00CE70D0"/>
    <w:rsid w:val="00CE78E9"/>
    <w:rsid w:val="00CF1639"/>
    <w:rsid w:val="00CF1EAB"/>
    <w:rsid w:val="00CF2E0F"/>
    <w:rsid w:val="00CF3796"/>
    <w:rsid w:val="00CF4541"/>
    <w:rsid w:val="00CF4ECA"/>
    <w:rsid w:val="00D00677"/>
    <w:rsid w:val="00D012FF"/>
    <w:rsid w:val="00D033CD"/>
    <w:rsid w:val="00D03BF3"/>
    <w:rsid w:val="00D07093"/>
    <w:rsid w:val="00D07F87"/>
    <w:rsid w:val="00D109E3"/>
    <w:rsid w:val="00D1107A"/>
    <w:rsid w:val="00D13138"/>
    <w:rsid w:val="00D148F3"/>
    <w:rsid w:val="00D23195"/>
    <w:rsid w:val="00D23C2F"/>
    <w:rsid w:val="00D25E02"/>
    <w:rsid w:val="00D3049D"/>
    <w:rsid w:val="00D313D5"/>
    <w:rsid w:val="00D322EE"/>
    <w:rsid w:val="00D33E57"/>
    <w:rsid w:val="00D34782"/>
    <w:rsid w:val="00D35118"/>
    <w:rsid w:val="00D36F7E"/>
    <w:rsid w:val="00D376BD"/>
    <w:rsid w:val="00D404F0"/>
    <w:rsid w:val="00D413E3"/>
    <w:rsid w:val="00D44203"/>
    <w:rsid w:val="00D44D0F"/>
    <w:rsid w:val="00D46A5A"/>
    <w:rsid w:val="00D473C5"/>
    <w:rsid w:val="00D50DDA"/>
    <w:rsid w:val="00D513DF"/>
    <w:rsid w:val="00D5176A"/>
    <w:rsid w:val="00D5202F"/>
    <w:rsid w:val="00D529D6"/>
    <w:rsid w:val="00D573FB"/>
    <w:rsid w:val="00D60140"/>
    <w:rsid w:val="00D64E41"/>
    <w:rsid w:val="00D7435A"/>
    <w:rsid w:val="00D747EC"/>
    <w:rsid w:val="00D75CF5"/>
    <w:rsid w:val="00D75DAF"/>
    <w:rsid w:val="00D81F81"/>
    <w:rsid w:val="00D83C24"/>
    <w:rsid w:val="00D86010"/>
    <w:rsid w:val="00D86CD6"/>
    <w:rsid w:val="00D90B48"/>
    <w:rsid w:val="00D933F5"/>
    <w:rsid w:val="00D94E4C"/>
    <w:rsid w:val="00D97BF1"/>
    <w:rsid w:val="00DA326E"/>
    <w:rsid w:val="00DA3AE4"/>
    <w:rsid w:val="00DA52AC"/>
    <w:rsid w:val="00DA596D"/>
    <w:rsid w:val="00DA764F"/>
    <w:rsid w:val="00DB01BA"/>
    <w:rsid w:val="00DB0923"/>
    <w:rsid w:val="00DB27AF"/>
    <w:rsid w:val="00DB3352"/>
    <w:rsid w:val="00DB49BA"/>
    <w:rsid w:val="00DB7CB6"/>
    <w:rsid w:val="00DC01E0"/>
    <w:rsid w:val="00DC081F"/>
    <w:rsid w:val="00DC08A8"/>
    <w:rsid w:val="00DC1429"/>
    <w:rsid w:val="00DC3241"/>
    <w:rsid w:val="00DC59ED"/>
    <w:rsid w:val="00DC5E64"/>
    <w:rsid w:val="00DC6AD4"/>
    <w:rsid w:val="00DD2F30"/>
    <w:rsid w:val="00DD3054"/>
    <w:rsid w:val="00DD4217"/>
    <w:rsid w:val="00DD5173"/>
    <w:rsid w:val="00DD6053"/>
    <w:rsid w:val="00DD7534"/>
    <w:rsid w:val="00DE02E4"/>
    <w:rsid w:val="00DE09DF"/>
    <w:rsid w:val="00DE32A0"/>
    <w:rsid w:val="00DE59F6"/>
    <w:rsid w:val="00DE78C6"/>
    <w:rsid w:val="00E00754"/>
    <w:rsid w:val="00E01AE3"/>
    <w:rsid w:val="00E032A2"/>
    <w:rsid w:val="00E04A78"/>
    <w:rsid w:val="00E075A8"/>
    <w:rsid w:val="00E11644"/>
    <w:rsid w:val="00E14C65"/>
    <w:rsid w:val="00E156D3"/>
    <w:rsid w:val="00E1614F"/>
    <w:rsid w:val="00E16550"/>
    <w:rsid w:val="00E174FB"/>
    <w:rsid w:val="00E214EF"/>
    <w:rsid w:val="00E21A6E"/>
    <w:rsid w:val="00E2357E"/>
    <w:rsid w:val="00E252A2"/>
    <w:rsid w:val="00E31FAE"/>
    <w:rsid w:val="00E32BE2"/>
    <w:rsid w:val="00E3340A"/>
    <w:rsid w:val="00E339E9"/>
    <w:rsid w:val="00E344CD"/>
    <w:rsid w:val="00E37A6F"/>
    <w:rsid w:val="00E44C94"/>
    <w:rsid w:val="00E47A2B"/>
    <w:rsid w:val="00E520A7"/>
    <w:rsid w:val="00E5305A"/>
    <w:rsid w:val="00E557CC"/>
    <w:rsid w:val="00E5586E"/>
    <w:rsid w:val="00E56F68"/>
    <w:rsid w:val="00E61B49"/>
    <w:rsid w:val="00E64C86"/>
    <w:rsid w:val="00E6521E"/>
    <w:rsid w:val="00E701A3"/>
    <w:rsid w:val="00E70DC8"/>
    <w:rsid w:val="00E715A4"/>
    <w:rsid w:val="00E74FCF"/>
    <w:rsid w:val="00E776DA"/>
    <w:rsid w:val="00E85A9B"/>
    <w:rsid w:val="00E85F39"/>
    <w:rsid w:val="00E86641"/>
    <w:rsid w:val="00E86EBB"/>
    <w:rsid w:val="00E87BC2"/>
    <w:rsid w:val="00E90901"/>
    <w:rsid w:val="00E90EFC"/>
    <w:rsid w:val="00E9181C"/>
    <w:rsid w:val="00E91F6C"/>
    <w:rsid w:val="00E93B0E"/>
    <w:rsid w:val="00E95BFC"/>
    <w:rsid w:val="00E97D16"/>
    <w:rsid w:val="00EA1254"/>
    <w:rsid w:val="00EA1A83"/>
    <w:rsid w:val="00EA3095"/>
    <w:rsid w:val="00EA6B1F"/>
    <w:rsid w:val="00EA7DF9"/>
    <w:rsid w:val="00EB051C"/>
    <w:rsid w:val="00EB2904"/>
    <w:rsid w:val="00EB3EC8"/>
    <w:rsid w:val="00EB4463"/>
    <w:rsid w:val="00EB7C9D"/>
    <w:rsid w:val="00EC12F9"/>
    <w:rsid w:val="00EC357E"/>
    <w:rsid w:val="00EC54FF"/>
    <w:rsid w:val="00EC57A0"/>
    <w:rsid w:val="00ED0888"/>
    <w:rsid w:val="00ED1416"/>
    <w:rsid w:val="00ED4F0F"/>
    <w:rsid w:val="00ED5196"/>
    <w:rsid w:val="00ED545F"/>
    <w:rsid w:val="00ED573E"/>
    <w:rsid w:val="00ED5FF9"/>
    <w:rsid w:val="00EE3F2D"/>
    <w:rsid w:val="00EE46B0"/>
    <w:rsid w:val="00EE5C88"/>
    <w:rsid w:val="00EF00EA"/>
    <w:rsid w:val="00EF07DC"/>
    <w:rsid w:val="00EF3C85"/>
    <w:rsid w:val="00EF4C4D"/>
    <w:rsid w:val="00EF5F54"/>
    <w:rsid w:val="00EF6108"/>
    <w:rsid w:val="00F00A72"/>
    <w:rsid w:val="00F00B7C"/>
    <w:rsid w:val="00F016FE"/>
    <w:rsid w:val="00F0343F"/>
    <w:rsid w:val="00F03A1C"/>
    <w:rsid w:val="00F1085E"/>
    <w:rsid w:val="00F12586"/>
    <w:rsid w:val="00F12F6E"/>
    <w:rsid w:val="00F13224"/>
    <w:rsid w:val="00F13415"/>
    <w:rsid w:val="00F137B1"/>
    <w:rsid w:val="00F13E43"/>
    <w:rsid w:val="00F13EAD"/>
    <w:rsid w:val="00F179B2"/>
    <w:rsid w:val="00F17A6D"/>
    <w:rsid w:val="00F20B61"/>
    <w:rsid w:val="00F20CC1"/>
    <w:rsid w:val="00F210B6"/>
    <w:rsid w:val="00F213C9"/>
    <w:rsid w:val="00F22D94"/>
    <w:rsid w:val="00F2465D"/>
    <w:rsid w:val="00F27540"/>
    <w:rsid w:val="00F27EF6"/>
    <w:rsid w:val="00F31F43"/>
    <w:rsid w:val="00F32495"/>
    <w:rsid w:val="00F33C9F"/>
    <w:rsid w:val="00F35A42"/>
    <w:rsid w:val="00F431A8"/>
    <w:rsid w:val="00F4331C"/>
    <w:rsid w:val="00F45A76"/>
    <w:rsid w:val="00F46BD6"/>
    <w:rsid w:val="00F509FE"/>
    <w:rsid w:val="00F51892"/>
    <w:rsid w:val="00F521B1"/>
    <w:rsid w:val="00F5486A"/>
    <w:rsid w:val="00F56BFC"/>
    <w:rsid w:val="00F57E02"/>
    <w:rsid w:val="00F600FC"/>
    <w:rsid w:val="00F60A0B"/>
    <w:rsid w:val="00F60FDD"/>
    <w:rsid w:val="00F61D71"/>
    <w:rsid w:val="00F70EBB"/>
    <w:rsid w:val="00F71551"/>
    <w:rsid w:val="00F71739"/>
    <w:rsid w:val="00F72D70"/>
    <w:rsid w:val="00F73A52"/>
    <w:rsid w:val="00F744F5"/>
    <w:rsid w:val="00F75C57"/>
    <w:rsid w:val="00F762EC"/>
    <w:rsid w:val="00F80DFF"/>
    <w:rsid w:val="00F829A2"/>
    <w:rsid w:val="00F86E5C"/>
    <w:rsid w:val="00F91583"/>
    <w:rsid w:val="00F92923"/>
    <w:rsid w:val="00FA041F"/>
    <w:rsid w:val="00FA1E77"/>
    <w:rsid w:val="00FA4DD0"/>
    <w:rsid w:val="00FA62AE"/>
    <w:rsid w:val="00FB0C32"/>
    <w:rsid w:val="00FB0FDE"/>
    <w:rsid w:val="00FB1AA0"/>
    <w:rsid w:val="00FB2959"/>
    <w:rsid w:val="00FB7B51"/>
    <w:rsid w:val="00FC0B4B"/>
    <w:rsid w:val="00FC0CC3"/>
    <w:rsid w:val="00FC2D84"/>
    <w:rsid w:val="00FC32BA"/>
    <w:rsid w:val="00FC4A54"/>
    <w:rsid w:val="00FC5BD1"/>
    <w:rsid w:val="00FC662F"/>
    <w:rsid w:val="00FC6B0C"/>
    <w:rsid w:val="00FC7C1B"/>
    <w:rsid w:val="00FD0706"/>
    <w:rsid w:val="00FD0991"/>
    <w:rsid w:val="00FD1D37"/>
    <w:rsid w:val="00FD4A40"/>
    <w:rsid w:val="00FD5E36"/>
    <w:rsid w:val="00FD7578"/>
    <w:rsid w:val="00FE0025"/>
    <w:rsid w:val="00FE149A"/>
    <w:rsid w:val="00FE1816"/>
    <w:rsid w:val="00FE2070"/>
    <w:rsid w:val="00FE35EC"/>
    <w:rsid w:val="00FE3DA9"/>
    <w:rsid w:val="00FE3FBF"/>
    <w:rsid w:val="00FE40F8"/>
    <w:rsid w:val="00FE56EC"/>
    <w:rsid w:val="00FE6577"/>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aliases w:val="Footnote Reference Number,Footnote Reference Superscript,Footnote symbol,fr,ESPON Footnote No,Footnote Refernece,ftref,Odwołanie przypisu,BVI fnr,Footnotes refss,SUPERS,Ref,de nota al pie,-E Fußnotenzeichen,Footnote reference number,E"/>
    <w:basedOn w:val="Noklusjumarindkopasfonts"/>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liknoteik1">
    <w:name w:val="lik_noteik1"/>
    <w:basedOn w:val="Parasts"/>
    <w:rsid w:val="002B00ED"/>
    <w:pPr>
      <w:spacing w:before="100" w:beforeAutospacing="1" w:after="100" w:afterAutospacing="1" w:line="360" w:lineRule="auto"/>
      <w:ind w:firstLine="300"/>
      <w:jc w:val="right"/>
    </w:pPr>
    <w:rPr>
      <w:rFonts w:eastAsia="Times New Roman"/>
      <w:b/>
      <w:bCs/>
      <w:color w:val="414142"/>
      <w:lang w:eastAsia="lv-LV"/>
    </w:rPr>
  </w:style>
  <w:style w:type="paragraph" w:customStyle="1" w:styleId="likdat1">
    <w:name w:val="lik_dat1"/>
    <w:basedOn w:val="Parasts"/>
    <w:rsid w:val="002B00ED"/>
    <w:pPr>
      <w:spacing w:before="100" w:beforeAutospacing="1" w:after="100" w:afterAutospacing="1" w:line="360" w:lineRule="auto"/>
      <w:ind w:firstLine="300"/>
      <w:jc w:val="right"/>
    </w:pPr>
    <w:rPr>
      <w:rFonts w:eastAsia="Times New Roman"/>
      <w:color w:val="414142"/>
      <w:lang w:eastAsia="lv-LV"/>
    </w:rPr>
  </w:style>
  <w:style w:type="paragraph" w:styleId="Paraststmeklis">
    <w:name w:val="Normal (Web)"/>
    <w:basedOn w:val="Parasts"/>
    <w:uiPriority w:val="99"/>
    <w:semiHidden/>
    <w:unhideWhenUsed/>
    <w:rsid w:val="003276D5"/>
    <w:pPr>
      <w:spacing w:before="100" w:beforeAutospacing="1" w:after="100" w:afterAutospacing="1" w:line="240" w:lineRule="auto"/>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0023">
      <w:bodyDiv w:val="1"/>
      <w:marLeft w:val="0"/>
      <w:marRight w:val="0"/>
      <w:marTop w:val="0"/>
      <w:marBottom w:val="0"/>
      <w:divBdr>
        <w:top w:val="none" w:sz="0" w:space="0" w:color="auto"/>
        <w:left w:val="none" w:sz="0" w:space="0" w:color="auto"/>
        <w:bottom w:val="none" w:sz="0" w:space="0" w:color="auto"/>
        <w:right w:val="none" w:sz="0" w:space="0" w:color="auto"/>
      </w:divBdr>
      <w:divsChild>
        <w:div w:id="1437597885">
          <w:marLeft w:val="360"/>
          <w:marRight w:val="0"/>
          <w:marTop w:val="200"/>
          <w:marBottom w:val="0"/>
          <w:divBdr>
            <w:top w:val="none" w:sz="0" w:space="0" w:color="auto"/>
            <w:left w:val="none" w:sz="0" w:space="0" w:color="auto"/>
            <w:bottom w:val="none" w:sz="0" w:space="0" w:color="auto"/>
            <w:right w:val="none" w:sz="0" w:space="0" w:color="auto"/>
          </w:divBdr>
        </w:div>
        <w:div w:id="48918411">
          <w:marLeft w:val="360"/>
          <w:marRight w:val="0"/>
          <w:marTop w:val="200"/>
          <w:marBottom w:val="0"/>
          <w:divBdr>
            <w:top w:val="none" w:sz="0" w:space="0" w:color="auto"/>
            <w:left w:val="none" w:sz="0" w:space="0" w:color="auto"/>
            <w:bottom w:val="none" w:sz="0" w:space="0" w:color="auto"/>
            <w:right w:val="none" w:sz="0" w:space="0" w:color="auto"/>
          </w:divBdr>
        </w:div>
        <w:div w:id="1337685690">
          <w:marLeft w:val="360"/>
          <w:marRight w:val="0"/>
          <w:marTop w:val="200"/>
          <w:marBottom w:val="0"/>
          <w:divBdr>
            <w:top w:val="none" w:sz="0" w:space="0" w:color="auto"/>
            <w:left w:val="none" w:sz="0" w:space="0" w:color="auto"/>
            <w:bottom w:val="none" w:sz="0" w:space="0" w:color="auto"/>
            <w:right w:val="none" w:sz="0" w:space="0" w:color="auto"/>
          </w:divBdr>
        </w:div>
        <w:div w:id="62337901">
          <w:marLeft w:val="360"/>
          <w:marRight w:val="0"/>
          <w:marTop w:val="200"/>
          <w:marBottom w:val="0"/>
          <w:divBdr>
            <w:top w:val="none" w:sz="0" w:space="0" w:color="auto"/>
            <w:left w:val="none" w:sz="0" w:space="0" w:color="auto"/>
            <w:bottom w:val="none" w:sz="0" w:space="0" w:color="auto"/>
            <w:right w:val="none" w:sz="0" w:space="0" w:color="auto"/>
          </w:divBdr>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65108513">
      <w:bodyDiv w:val="1"/>
      <w:marLeft w:val="0"/>
      <w:marRight w:val="0"/>
      <w:marTop w:val="0"/>
      <w:marBottom w:val="0"/>
      <w:divBdr>
        <w:top w:val="none" w:sz="0" w:space="0" w:color="auto"/>
        <w:left w:val="none" w:sz="0" w:space="0" w:color="auto"/>
        <w:bottom w:val="none" w:sz="0" w:space="0" w:color="auto"/>
        <w:right w:val="none" w:sz="0" w:space="0" w:color="auto"/>
      </w:divBdr>
      <w:divsChild>
        <w:div w:id="1734506162">
          <w:marLeft w:val="360"/>
          <w:marRight w:val="0"/>
          <w:marTop w:val="200"/>
          <w:marBottom w:val="0"/>
          <w:divBdr>
            <w:top w:val="none" w:sz="0" w:space="0" w:color="auto"/>
            <w:left w:val="none" w:sz="0" w:space="0" w:color="auto"/>
            <w:bottom w:val="none" w:sz="0" w:space="0" w:color="auto"/>
            <w:right w:val="none" w:sz="0" w:space="0" w:color="auto"/>
          </w:divBdr>
        </w:div>
        <w:div w:id="1132598296">
          <w:marLeft w:val="360"/>
          <w:marRight w:val="0"/>
          <w:marTop w:val="200"/>
          <w:marBottom w:val="0"/>
          <w:divBdr>
            <w:top w:val="none" w:sz="0" w:space="0" w:color="auto"/>
            <w:left w:val="none" w:sz="0" w:space="0" w:color="auto"/>
            <w:bottom w:val="none" w:sz="0" w:space="0" w:color="auto"/>
            <w:right w:val="none" w:sz="0" w:space="0" w:color="auto"/>
          </w:divBdr>
        </w:div>
        <w:div w:id="645817735">
          <w:marLeft w:val="360"/>
          <w:marRight w:val="0"/>
          <w:marTop w:val="200"/>
          <w:marBottom w:val="0"/>
          <w:divBdr>
            <w:top w:val="none" w:sz="0" w:space="0" w:color="auto"/>
            <w:left w:val="none" w:sz="0" w:space="0" w:color="auto"/>
            <w:bottom w:val="none" w:sz="0" w:space="0" w:color="auto"/>
            <w:right w:val="none" w:sz="0" w:space="0" w:color="auto"/>
          </w:divBdr>
        </w:div>
      </w:divsChild>
    </w:div>
    <w:div w:id="372509720">
      <w:bodyDiv w:val="1"/>
      <w:marLeft w:val="0"/>
      <w:marRight w:val="0"/>
      <w:marTop w:val="0"/>
      <w:marBottom w:val="0"/>
      <w:divBdr>
        <w:top w:val="none" w:sz="0" w:space="0" w:color="auto"/>
        <w:left w:val="none" w:sz="0" w:space="0" w:color="auto"/>
        <w:bottom w:val="none" w:sz="0" w:space="0" w:color="auto"/>
        <w:right w:val="none" w:sz="0" w:space="0" w:color="auto"/>
      </w:divBdr>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514505">
      <w:bodyDiv w:val="1"/>
      <w:marLeft w:val="0"/>
      <w:marRight w:val="0"/>
      <w:marTop w:val="0"/>
      <w:marBottom w:val="0"/>
      <w:divBdr>
        <w:top w:val="none" w:sz="0" w:space="0" w:color="auto"/>
        <w:left w:val="none" w:sz="0" w:space="0" w:color="auto"/>
        <w:bottom w:val="none" w:sz="0" w:space="0" w:color="auto"/>
        <w:right w:val="none" w:sz="0" w:space="0" w:color="auto"/>
      </w:divBdr>
    </w:div>
    <w:div w:id="759132946">
      <w:bodyDiv w:val="1"/>
      <w:marLeft w:val="0"/>
      <w:marRight w:val="0"/>
      <w:marTop w:val="0"/>
      <w:marBottom w:val="0"/>
      <w:divBdr>
        <w:top w:val="none" w:sz="0" w:space="0" w:color="auto"/>
        <w:left w:val="none" w:sz="0" w:space="0" w:color="auto"/>
        <w:bottom w:val="none" w:sz="0" w:space="0" w:color="auto"/>
        <w:right w:val="none" w:sz="0" w:space="0" w:color="auto"/>
      </w:divBdr>
    </w:div>
    <w:div w:id="874732760">
      <w:bodyDiv w:val="1"/>
      <w:marLeft w:val="0"/>
      <w:marRight w:val="0"/>
      <w:marTop w:val="0"/>
      <w:marBottom w:val="0"/>
      <w:divBdr>
        <w:top w:val="none" w:sz="0" w:space="0" w:color="auto"/>
        <w:left w:val="none" w:sz="0" w:space="0" w:color="auto"/>
        <w:bottom w:val="none" w:sz="0" w:space="0" w:color="auto"/>
        <w:right w:val="none" w:sz="0" w:space="0" w:color="auto"/>
      </w:divBdr>
      <w:divsChild>
        <w:div w:id="1582333425">
          <w:marLeft w:val="0"/>
          <w:marRight w:val="0"/>
          <w:marTop w:val="0"/>
          <w:marBottom w:val="0"/>
          <w:divBdr>
            <w:top w:val="none" w:sz="0" w:space="0" w:color="auto"/>
            <w:left w:val="none" w:sz="0" w:space="0" w:color="auto"/>
            <w:bottom w:val="none" w:sz="0" w:space="0" w:color="auto"/>
            <w:right w:val="none" w:sz="0" w:space="0" w:color="auto"/>
          </w:divBdr>
          <w:divsChild>
            <w:div w:id="461045939">
              <w:marLeft w:val="0"/>
              <w:marRight w:val="0"/>
              <w:marTop w:val="0"/>
              <w:marBottom w:val="0"/>
              <w:divBdr>
                <w:top w:val="none" w:sz="0" w:space="0" w:color="auto"/>
                <w:left w:val="none" w:sz="0" w:space="0" w:color="auto"/>
                <w:bottom w:val="none" w:sz="0" w:space="0" w:color="auto"/>
                <w:right w:val="none" w:sz="0" w:space="0" w:color="auto"/>
              </w:divBdr>
              <w:divsChild>
                <w:div w:id="1774668656">
                  <w:marLeft w:val="0"/>
                  <w:marRight w:val="0"/>
                  <w:marTop w:val="0"/>
                  <w:marBottom w:val="0"/>
                  <w:divBdr>
                    <w:top w:val="none" w:sz="0" w:space="0" w:color="auto"/>
                    <w:left w:val="none" w:sz="0" w:space="0" w:color="auto"/>
                    <w:bottom w:val="none" w:sz="0" w:space="0" w:color="auto"/>
                    <w:right w:val="none" w:sz="0" w:space="0" w:color="auto"/>
                  </w:divBdr>
                  <w:divsChild>
                    <w:div w:id="1360543321">
                      <w:marLeft w:val="0"/>
                      <w:marRight w:val="0"/>
                      <w:marTop w:val="0"/>
                      <w:marBottom w:val="0"/>
                      <w:divBdr>
                        <w:top w:val="none" w:sz="0" w:space="0" w:color="auto"/>
                        <w:left w:val="none" w:sz="0" w:space="0" w:color="auto"/>
                        <w:bottom w:val="none" w:sz="0" w:space="0" w:color="auto"/>
                        <w:right w:val="none" w:sz="0" w:space="0" w:color="auto"/>
                      </w:divBdr>
                      <w:divsChild>
                        <w:div w:id="1142162902">
                          <w:marLeft w:val="0"/>
                          <w:marRight w:val="0"/>
                          <w:marTop w:val="0"/>
                          <w:marBottom w:val="0"/>
                          <w:divBdr>
                            <w:top w:val="none" w:sz="0" w:space="0" w:color="auto"/>
                            <w:left w:val="none" w:sz="0" w:space="0" w:color="auto"/>
                            <w:bottom w:val="none" w:sz="0" w:space="0" w:color="auto"/>
                            <w:right w:val="none" w:sz="0" w:space="0" w:color="auto"/>
                          </w:divBdr>
                          <w:divsChild>
                            <w:div w:id="7412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636462">
      <w:bodyDiv w:val="1"/>
      <w:marLeft w:val="0"/>
      <w:marRight w:val="0"/>
      <w:marTop w:val="0"/>
      <w:marBottom w:val="0"/>
      <w:divBdr>
        <w:top w:val="none" w:sz="0" w:space="0" w:color="auto"/>
        <w:left w:val="none" w:sz="0" w:space="0" w:color="auto"/>
        <w:bottom w:val="none" w:sz="0" w:space="0" w:color="auto"/>
        <w:right w:val="none" w:sz="0" w:space="0" w:color="auto"/>
      </w:divBdr>
    </w:div>
    <w:div w:id="1224104367">
      <w:bodyDiv w:val="1"/>
      <w:marLeft w:val="0"/>
      <w:marRight w:val="0"/>
      <w:marTop w:val="0"/>
      <w:marBottom w:val="0"/>
      <w:divBdr>
        <w:top w:val="none" w:sz="0" w:space="0" w:color="auto"/>
        <w:left w:val="none" w:sz="0" w:space="0" w:color="auto"/>
        <w:bottom w:val="none" w:sz="0" w:space="0" w:color="auto"/>
        <w:right w:val="none" w:sz="0" w:space="0" w:color="auto"/>
      </w:divBdr>
    </w:div>
    <w:div w:id="1380976748">
      <w:bodyDiv w:val="1"/>
      <w:marLeft w:val="0"/>
      <w:marRight w:val="0"/>
      <w:marTop w:val="0"/>
      <w:marBottom w:val="0"/>
      <w:divBdr>
        <w:top w:val="none" w:sz="0" w:space="0" w:color="auto"/>
        <w:left w:val="none" w:sz="0" w:space="0" w:color="auto"/>
        <w:bottom w:val="none" w:sz="0" w:space="0" w:color="auto"/>
        <w:right w:val="none" w:sz="0" w:space="0" w:color="auto"/>
      </w:divBdr>
    </w:div>
    <w:div w:id="1446658090">
      <w:bodyDiv w:val="1"/>
      <w:marLeft w:val="0"/>
      <w:marRight w:val="0"/>
      <w:marTop w:val="0"/>
      <w:marBottom w:val="0"/>
      <w:divBdr>
        <w:top w:val="none" w:sz="0" w:space="0" w:color="auto"/>
        <w:left w:val="none" w:sz="0" w:space="0" w:color="auto"/>
        <w:bottom w:val="none" w:sz="0" w:space="0" w:color="auto"/>
        <w:right w:val="none" w:sz="0" w:space="0" w:color="auto"/>
      </w:divBdr>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168861">
      <w:bodyDiv w:val="1"/>
      <w:marLeft w:val="0"/>
      <w:marRight w:val="0"/>
      <w:marTop w:val="0"/>
      <w:marBottom w:val="0"/>
      <w:divBdr>
        <w:top w:val="none" w:sz="0" w:space="0" w:color="auto"/>
        <w:left w:val="none" w:sz="0" w:space="0" w:color="auto"/>
        <w:bottom w:val="none" w:sz="0" w:space="0" w:color="auto"/>
        <w:right w:val="none" w:sz="0" w:space="0" w:color="auto"/>
      </w:divBdr>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09831">
      <w:bodyDiv w:val="1"/>
      <w:marLeft w:val="0"/>
      <w:marRight w:val="0"/>
      <w:marTop w:val="0"/>
      <w:marBottom w:val="0"/>
      <w:divBdr>
        <w:top w:val="none" w:sz="0" w:space="0" w:color="auto"/>
        <w:left w:val="none" w:sz="0" w:space="0" w:color="auto"/>
        <w:bottom w:val="none" w:sz="0" w:space="0" w:color="auto"/>
        <w:right w:val="none" w:sz="0" w:space="0" w:color="auto"/>
      </w:divBdr>
      <w:divsChild>
        <w:div w:id="1079401661">
          <w:marLeft w:val="0"/>
          <w:marRight w:val="0"/>
          <w:marTop w:val="0"/>
          <w:marBottom w:val="0"/>
          <w:divBdr>
            <w:top w:val="none" w:sz="0" w:space="0" w:color="auto"/>
            <w:left w:val="none" w:sz="0" w:space="0" w:color="auto"/>
            <w:bottom w:val="none" w:sz="0" w:space="0" w:color="auto"/>
            <w:right w:val="none" w:sz="0" w:space="0" w:color="auto"/>
          </w:divBdr>
          <w:divsChild>
            <w:div w:id="1947538051">
              <w:marLeft w:val="0"/>
              <w:marRight w:val="0"/>
              <w:marTop w:val="0"/>
              <w:marBottom w:val="0"/>
              <w:divBdr>
                <w:top w:val="none" w:sz="0" w:space="0" w:color="auto"/>
                <w:left w:val="none" w:sz="0" w:space="0" w:color="auto"/>
                <w:bottom w:val="none" w:sz="0" w:space="0" w:color="auto"/>
                <w:right w:val="none" w:sz="0" w:space="0" w:color="auto"/>
              </w:divBdr>
              <w:divsChild>
                <w:div w:id="1349023985">
                  <w:marLeft w:val="0"/>
                  <w:marRight w:val="0"/>
                  <w:marTop w:val="0"/>
                  <w:marBottom w:val="0"/>
                  <w:divBdr>
                    <w:top w:val="none" w:sz="0" w:space="0" w:color="auto"/>
                    <w:left w:val="none" w:sz="0" w:space="0" w:color="auto"/>
                    <w:bottom w:val="none" w:sz="0" w:space="0" w:color="auto"/>
                    <w:right w:val="none" w:sz="0" w:space="0" w:color="auto"/>
                  </w:divBdr>
                  <w:divsChild>
                    <w:div w:id="1317418724">
                      <w:marLeft w:val="0"/>
                      <w:marRight w:val="0"/>
                      <w:marTop w:val="0"/>
                      <w:marBottom w:val="0"/>
                      <w:divBdr>
                        <w:top w:val="none" w:sz="0" w:space="0" w:color="auto"/>
                        <w:left w:val="none" w:sz="0" w:space="0" w:color="auto"/>
                        <w:bottom w:val="none" w:sz="0" w:space="0" w:color="auto"/>
                        <w:right w:val="none" w:sz="0" w:space="0" w:color="auto"/>
                      </w:divBdr>
                      <w:divsChild>
                        <w:div w:id="301077014">
                          <w:marLeft w:val="0"/>
                          <w:marRight w:val="0"/>
                          <w:marTop w:val="0"/>
                          <w:marBottom w:val="0"/>
                          <w:divBdr>
                            <w:top w:val="none" w:sz="0" w:space="0" w:color="auto"/>
                            <w:left w:val="none" w:sz="0" w:space="0" w:color="auto"/>
                            <w:bottom w:val="none" w:sz="0" w:space="0" w:color="auto"/>
                            <w:right w:val="none" w:sz="0" w:space="0" w:color="auto"/>
                          </w:divBdr>
                          <w:divsChild>
                            <w:div w:id="1949852942">
                              <w:marLeft w:val="0"/>
                              <w:marRight w:val="0"/>
                              <w:marTop w:val="0"/>
                              <w:marBottom w:val="0"/>
                              <w:divBdr>
                                <w:top w:val="none" w:sz="0" w:space="0" w:color="auto"/>
                                <w:left w:val="none" w:sz="0" w:space="0" w:color="auto"/>
                                <w:bottom w:val="none" w:sz="0" w:space="0" w:color="auto"/>
                                <w:right w:val="none" w:sz="0" w:space="0" w:color="auto"/>
                              </w:divBdr>
                              <w:divsChild>
                                <w:div w:id="1945645239">
                                  <w:marLeft w:val="0"/>
                                  <w:marRight w:val="0"/>
                                  <w:marTop w:val="0"/>
                                  <w:marBottom w:val="0"/>
                                  <w:divBdr>
                                    <w:top w:val="none" w:sz="0" w:space="0" w:color="auto"/>
                                    <w:left w:val="none" w:sz="0" w:space="0" w:color="auto"/>
                                    <w:bottom w:val="none" w:sz="0" w:space="0" w:color="auto"/>
                                    <w:right w:val="none" w:sz="0" w:space="0" w:color="auto"/>
                                  </w:divBdr>
                                </w:div>
                                <w:div w:id="348609679">
                                  <w:marLeft w:val="0"/>
                                  <w:marRight w:val="0"/>
                                  <w:marTop w:val="0"/>
                                  <w:marBottom w:val="0"/>
                                  <w:divBdr>
                                    <w:top w:val="none" w:sz="0" w:space="0" w:color="auto"/>
                                    <w:left w:val="none" w:sz="0" w:space="0" w:color="auto"/>
                                    <w:bottom w:val="none" w:sz="0" w:space="0" w:color="auto"/>
                                    <w:right w:val="none" w:sz="0" w:space="0" w:color="auto"/>
                                  </w:divBdr>
                                  <w:divsChild>
                                    <w:div w:id="1328902316">
                                      <w:marLeft w:val="0"/>
                                      <w:marRight w:val="0"/>
                                      <w:marTop w:val="0"/>
                                      <w:marBottom w:val="0"/>
                                      <w:divBdr>
                                        <w:top w:val="none" w:sz="0" w:space="0" w:color="auto"/>
                                        <w:left w:val="none" w:sz="0" w:space="0" w:color="auto"/>
                                        <w:bottom w:val="none" w:sz="0" w:space="0" w:color="auto"/>
                                        <w:right w:val="none" w:sz="0" w:space="0" w:color="auto"/>
                                      </w:divBdr>
                                      <w:divsChild>
                                        <w:div w:id="1901748992">
                                          <w:marLeft w:val="0"/>
                                          <w:marRight w:val="0"/>
                                          <w:marTop w:val="0"/>
                                          <w:marBottom w:val="0"/>
                                          <w:divBdr>
                                            <w:top w:val="none" w:sz="0" w:space="0" w:color="auto"/>
                                            <w:left w:val="none" w:sz="0" w:space="0" w:color="auto"/>
                                            <w:bottom w:val="none" w:sz="0" w:space="0" w:color="auto"/>
                                            <w:right w:val="none" w:sz="0" w:space="0" w:color="auto"/>
                                          </w:divBdr>
                                        </w:div>
                                        <w:div w:id="5194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1940289544">
      <w:bodyDiv w:val="1"/>
      <w:marLeft w:val="0"/>
      <w:marRight w:val="0"/>
      <w:marTop w:val="0"/>
      <w:marBottom w:val="0"/>
      <w:divBdr>
        <w:top w:val="none" w:sz="0" w:space="0" w:color="auto"/>
        <w:left w:val="none" w:sz="0" w:space="0" w:color="auto"/>
        <w:bottom w:val="none" w:sz="0" w:space="0" w:color="auto"/>
        <w:right w:val="none" w:sz="0" w:space="0" w:color="auto"/>
      </w:divBdr>
    </w:div>
    <w:div w:id="208190415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0087-noteikumi-par-valsts-nodevu-par-ipasuma-tiesibu-un-kilas-tiesibu-nostiprinasanu-zemesgramat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Alberinga@tm.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0EF0-F927-442F-B167-106FDA5A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4815</Words>
  <Characters>2746</Characters>
  <Application>Microsoft Office Word</Application>
  <DocSecurity>4</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2009. gada 27. oktobra noteikumos Nr. 1250 "Noteikumi par valsts nodevu par īpašuma tiesību un ķīlas tiesību nostiprināšanu zemesgrāmatā"" sākotnējās ietekmes novērtējuma ziņojums (anotācij</vt:lpstr>
      <vt:lpstr>Ministru kabineta noteikumu projekta "Grozījums Ministru kabineta 2009. gada 27. oktobra noteikumos Nr. 1250 "Noteikumi par valsts nodevu par īpašuma tiesību un ķīlas tiesību nostiprināšanu zemesgrāmatā"" sākotnējās ietekmes novērtējuma ziņojums (anotācij</vt:lpstr>
    </vt:vector>
  </TitlesOfParts>
  <Manager/>
  <Company>Tieslietu ministrija</Company>
  <LinksUpToDate>false</LinksUpToDate>
  <CharactersWithSpaces>7546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2009. gada 27. oktobra noteikumos Nr. 1250 "Noteikumi par valsts nodevu par īpašuma tiesību un ķīlas tiesību nostiprināšanu zemesgrāmatā"" sākotnējās ietekmes novērtējuma ziņojums (anotācija)</dc:title>
  <dc:subject>Anotācija</dc:subject>
  <dc:creator>Kristīne Alberinga</dc:creator>
  <cp:keywords/>
  <dc:description>67036835, Kristine.Alberinga@tm.gov.lv</dc:description>
  <cp:lastModifiedBy>Kristīne Alberinga</cp:lastModifiedBy>
  <cp:revision>2</cp:revision>
  <cp:lastPrinted>2021-04-21T07:36:00Z</cp:lastPrinted>
  <dcterms:created xsi:type="dcterms:W3CDTF">2021-07-20T07:51:00Z</dcterms:created>
  <dcterms:modified xsi:type="dcterms:W3CDTF">2021-07-20T07:51:00Z</dcterms:modified>
  <cp:category/>
</cp:coreProperties>
</file>