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80BE" w14:textId="5C5B70EF" w:rsidR="00B76718" w:rsidRPr="00C27E58" w:rsidRDefault="00B76718" w:rsidP="006B0C36">
      <w:pPr>
        <w:ind w:firstLine="0"/>
        <w:jc w:val="center"/>
        <w:rPr>
          <w:rFonts w:eastAsia="Times New Roman" w:cs="Times New Roman"/>
          <w:b/>
          <w:szCs w:val="24"/>
          <w:lang w:val="lv-LV"/>
        </w:rPr>
      </w:pPr>
      <w:r w:rsidRPr="00C27E58">
        <w:rPr>
          <w:rFonts w:eastAsia="Times New Roman" w:cs="Times New Roman"/>
          <w:b/>
          <w:szCs w:val="24"/>
          <w:lang w:val="lv-LV"/>
        </w:rPr>
        <w:t>Informatīvais ziņojums</w:t>
      </w:r>
    </w:p>
    <w:p w14:paraId="67FFB9FC" w14:textId="79C07DA7" w:rsidR="00B76718" w:rsidRPr="00C27E58" w:rsidRDefault="00B76718" w:rsidP="006B0C36">
      <w:pPr>
        <w:ind w:firstLine="0"/>
        <w:jc w:val="center"/>
        <w:rPr>
          <w:rFonts w:eastAsia="Times New Roman" w:cs="Times New Roman"/>
          <w:b/>
          <w:szCs w:val="24"/>
          <w:lang w:val="lv-LV"/>
        </w:rPr>
      </w:pPr>
      <w:r w:rsidRPr="00C27E58">
        <w:rPr>
          <w:rFonts w:eastAsia="Times New Roman" w:cs="Times New Roman"/>
          <w:b/>
          <w:szCs w:val="24"/>
          <w:lang w:val="lv-LV"/>
        </w:rPr>
        <w:t>“</w:t>
      </w:r>
      <w:r w:rsidR="00ED2B5E" w:rsidRPr="00C27E58">
        <w:rPr>
          <w:rFonts w:eastAsia="Times New Roman" w:cs="Times New Roman"/>
          <w:b/>
          <w:szCs w:val="24"/>
          <w:lang w:val="lv-LV"/>
        </w:rPr>
        <w:t>Par kopējo statistiski teritoriālo vienību (</w:t>
      </w:r>
      <w:r w:rsidR="00ED2B5E" w:rsidRPr="00C27E58">
        <w:rPr>
          <w:rFonts w:eastAsia="Times New Roman" w:cs="Times New Roman"/>
          <w:b/>
          <w:i/>
          <w:iCs/>
          <w:szCs w:val="24"/>
          <w:lang w:val="lv-LV"/>
        </w:rPr>
        <w:t>NUTS</w:t>
      </w:r>
      <w:r w:rsidR="00ED2B5E" w:rsidRPr="00C27E58">
        <w:rPr>
          <w:rFonts w:eastAsia="Times New Roman" w:cs="Times New Roman"/>
          <w:b/>
          <w:szCs w:val="24"/>
          <w:lang w:val="lv-LV"/>
        </w:rPr>
        <w:t>) klasifikāciju</w:t>
      </w:r>
      <w:r w:rsidRPr="00C27E58">
        <w:rPr>
          <w:rFonts w:eastAsia="Times New Roman" w:cs="Times New Roman"/>
          <w:b/>
          <w:szCs w:val="24"/>
          <w:lang w:val="lv-LV"/>
        </w:rPr>
        <w:t>”</w:t>
      </w:r>
    </w:p>
    <w:p w14:paraId="588EE4E4" w14:textId="77777777" w:rsidR="00B76718" w:rsidRPr="00C27E58" w:rsidRDefault="00B76718" w:rsidP="006B0C36">
      <w:pPr>
        <w:rPr>
          <w:lang w:val="lv-LV"/>
        </w:rPr>
      </w:pPr>
    </w:p>
    <w:p w14:paraId="7CEFF1B1" w14:textId="5E4D9701" w:rsidR="00B76718" w:rsidRPr="00C27E58" w:rsidRDefault="00B76718" w:rsidP="006B0C36">
      <w:pPr>
        <w:rPr>
          <w:lang w:val="lv-LV"/>
        </w:rPr>
      </w:pPr>
      <w:r w:rsidRPr="00C27E58">
        <w:rPr>
          <w:lang w:val="lv-LV"/>
        </w:rPr>
        <w:t>Informatīvais ziņojums “</w:t>
      </w:r>
      <w:r w:rsidR="00ED2B5E" w:rsidRPr="00C27E58">
        <w:rPr>
          <w:lang w:val="lv-LV"/>
        </w:rPr>
        <w:t>Par kopējo statistiski teritoriālo vienību (</w:t>
      </w:r>
      <w:r w:rsidR="00ED2B5E" w:rsidRPr="00C27E58">
        <w:rPr>
          <w:i/>
          <w:iCs/>
          <w:lang w:val="lv-LV"/>
        </w:rPr>
        <w:t>NUTS</w:t>
      </w:r>
      <w:r w:rsidR="00ED2B5E" w:rsidRPr="00C27E58">
        <w:rPr>
          <w:lang w:val="lv-LV"/>
        </w:rPr>
        <w:t>) klasifikāciju</w:t>
      </w:r>
      <w:r w:rsidRPr="00C27E58">
        <w:rPr>
          <w:lang w:val="lv-LV"/>
        </w:rPr>
        <w:t xml:space="preserve">” (turpmāk – Informatīvais ziņojums) sagatavots, pamatojoties uz 2019. gada 7. maijā apstiprinātā Valdības rīcības plāna Deklarācijas par Artura Krišjāņa Kariņa vadītā Ministru kabineta </w:t>
      </w:r>
      <w:r w:rsidR="0005413F" w:rsidRPr="00C27E58">
        <w:rPr>
          <w:lang w:val="lv-LV"/>
        </w:rPr>
        <w:t xml:space="preserve">(turpmāk – MK) </w:t>
      </w:r>
      <w:r w:rsidRPr="00C27E58">
        <w:rPr>
          <w:lang w:val="lv-LV"/>
        </w:rPr>
        <w:t xml:space="preserve">iecerēto darbību īstenošanu (turpmāk – VRP) </w:t>
      </w:r>
      <w:r w:rsidR="00480C88" w:rsidRPr="00C27E58">
        <w:rPr>
          <w:lang w:val="lv-LV"/>
        </w:rPr>
        <w:t>231. </w:t>
      </w:r>
      <w:r w:rsidRPr="00C27E58">
        <w:rPr>
          <w:lang w:val="lv-LV"/>
        </w:rPr>
        <w:t>punktu “</w:t>
      </w:r>
      <w:r w:rsidR="00680086" w:rsidRPr="00C27E58">
        <w:rPr>
          <w:lang w:val="lv-LV"/>
        </w:rPr>
        <w:t>Izvērtēsim Latvijas teritorijas iedalījumu iespējamo maiņu statistiski teritoriālo vienību klasifikācijā, lai radītu priekšnoteikumus vienmērīgākai Latvijas reģionu attīstībai”</w:t>
      </w:r>
      <w:r w:rsidR="00680086" w:rsidRPr="00C27E58">
        <w:rPr>
          <w:rStyle w:val="FootnoteAnchor"/>
          <w:lang w:val="lv-LV"/>
        </w:rPr>
        <w:footnoteReference w:id="1"/>
      </w:r>
      <w:r w:rsidR="00680086" w:rsidRPr="00C27E58">
        <w:rPr>
          <w:lang w:val="lv-LV"/>
        </w:rPr>
        <w:t>.</w:t>
      </w:r>
    </w:p>
    <w:p w14:paraId="6852D0E9" w14:textId="7197C392" w:rsidR="002411CF" w:rsidRPr="00C27E58" w:rsidRDefault="00400E43" w:rsidP="00811A69">
      <w:pPr>
        <w:ind w:firstLine="851"/>
        <w:rPr>
          <w:lang w:val="lv-LV"/>
        </w:rPr>
      </w:pPr>
      <w:bookmarkStart w:id="0" w:name="_heading=h.3znysh7" w:colFirst="0" w:colLast="0"/>
      <w:bookmarkEnd w:id="0"/>
      <w:r w:rsidRPr="00C27E58">
        <w:rPr>
          <w:rFonts w:eastAsia="Times New Roman" w:cs="Times New Roman"/>
          <w:szCs w:val="24"/>
          <w:lang w:val="lv-LV"/>
        </w:rPr>
        <w:t>Ņ</w:t>
      </w:r>
      <w:r w:rsidR="00811A69" w:rsidRPr="00C27E58">
        <w:rPr>
          <w:lang w:val="lv-LV"/>
        </w:rPr>
        <w:t xml:space="preserve">emot vērā ievērojamās reģionālās attīstības un sociālekonomiskās atšķirības starp reģioniem Latvijā, </w:t>
      </w:r>
      <w:r w:rsidRPr="00C27E58">
        <w:rPr>
          <w:rFonts w:eastAsia="Times New Roman" w:cs="Times New Roman"/>
          <w:szCs w:val="24"/>
          <w:lang w:val="lv-LV"/>
        </w:rPr>
        <w:t xml:space="preserve">Vides aizsardzības un reģionālās attīstības ministrija (turpmāk – VARAM) </w:t>
      </w:r>
      <w:r w:rsidR="002411CF" w:rsidRPr="00C27E58">
        <w:rPr>
          <w:rFonts w:eastAsia="Times New Roman" w:cs="Times New Roman"/>
          <w:szCs w:val="24"/>
          <w:lang w:val="lv-LV"/>
        </w:rPr>
        <w:t xml:space="preserve">Informatīvajā ziņojumā </w:t>
      </w:r>
      <w:r w:rsidR="002411CF" w:rsidRPr="00C27E58">
        <w:rPr>
          <w:rFonts w:cs="Times New Roman"/>
          <w:lang w:val="lv-LV"/>
        </w:rPr>
        <w:t xml:space="preserve">sniegusi </w:t>
      </w:r>
      <w:proofErr w:type="spellStart"/>
      <w:r w:rsidR="002411CF" w:rsidRPr="00C27E58">
        <w:rPr>
          <w:rFonts w:cs="Times New Roman"/>
          <w:lang w:val="lv-LV"/>
        </w:rPr>
        <w:t>izvērtējumu</w:t>
      </w:r>
      <w:proofErr w:type="spellEnd"/>
      <w:r w:rsidR="002411CF" w:rsidRPr="00C27E58">
        <w:rPr>
          <w:rFonts w:cs="Times New Roman"/>
          <w:lang w:val="lv-LV"/>
        </w:rPr>
        <w:t xml:space="preserve"> par </w:t>
      </w:r>
      <w:r w:rsidR="002411CF" w:rsidRPr="00C27E58">
        <w:rPr>
          <w:lang w:val="lv-LV"/>
        </w:rPr>
        <w:t xml:space="preserve">kopējo statistiski teritoriālo vienību (turpmāk – </w:t>
      </w:r>
      <w:r w:rsidR="002411CF" w:rsidRPr="00C27E58">
        <w:rPr>
          <w:i/>
          <w:iCs/>
          <w:lang w:val="lv-LV"/>
        </w:rPr>
        <w:t>NUTS</w:t>
      </w:r>
      <w:r w:rsidR="002411CF" w:rsidRPr="00C27E58">
        <w:rPr>
          <w:lang w:val="lv-LV"/>
        </w:rPr>
        <w:t>) klasifikāciju</w:t>
      </w:r>
      <w:r w:rsidRPr="00C27E58">
        <w:rPr>
          <w:lang w:val="lv-LV"/>
        </w:rPr>
        <w:t xml:space="preserve">, </w:t>
      </w:r>
      <w:r w:rsidR="002411CF" w:rsidRPr="00C27E58">
        <w:rPr>
          <w:rFonts w:cs="Times New Roman"/>
          <w:i/>
          <w:iCs/>
          <w:lang w:val="lv-LV"/>
        </w:rPr>
        <w:t>NUTS</w:t>
      </w:r>
      <w:r w:rsidR="002411CF" w:rsidRPr="00C27E58">
        <w:rPr>
          <w:rFonts w:cs="Times New Roman"/>
          <w:lang w:val="lv-LV"/>
        </w:rPr>
        <w:t xml:space="preserve"> teritorijām, kā arī piedāvāti risinājumi to pilnveidei</w:t>
      </w:r>
      <w:r w:rsidR="00AC10C9" w:rsidRPr="00C27E58">
        <w:rPr>
          <w:rFonts w:cs="Times New Roman"/>
          <w:lang w:val="lv-LV"/>
        </w:rPr>
        <w:t>,</w:t>
      </w:r>
      <w:r w:rsidR="00AC10C9" w:rsidRPr="00C27E58">
        <w:rPr>
          <w:lang w:val="lv-LV"/>
        </w:rPr>
        <w:t xml:space="preserve"> kas būtu viens no </w:t>
      </w:r>
      <w:r w:rsidR="001E3298">
        <w:rPr>
          <w:lang w:val="lv-LV"/>
        </w:rPr>
        <w:t>priekšnosacījumiem,</w:t>
      </w:r>
      <w:r w:rsidR="00AC10C9" w:rsidRPr="00C27E58">
        <w:rPr>
          <w:lang w:val="lv-LV"/>
        </w:rPr>
        <w:t xml:space="preserve"> līdzsvarotas reģionālās un teritoriju attīstības veicināšanai</w:t>
      </w:r>
      <w:r w:rsidR="00BE538B" w:rsidRPr="00C27E58">
        <w:rPr>
          <w:lang w:val="lv-LV"/>
        </w:rPr>
        <w:t>.</w:t>
      </w:r>
    </w:p>
    <w:p w14:paraId="61BC4A49" w14:textId="77777777" w:rsidR="002E5896" w:rsidRPr="00C27E58" w:rsidRDefault="002E5896" w:rsidP="006C6DAD">
      <w:pPr>
        <w:rPr>
          <w:lang w:val="lv-LV"/>
        </w:rPr>
      </w:pPr>
    </w:p>
    <w:p w14:paraId="5CDB26F2" w14:textId="6EBBA4FF" w:rsidR="00EE5CDD" w:rsidRPr="00C27E58" w:rsidRDefault="00EF2741" w:rsidP="00C866C7">
      <w:pPr>
        <w:pStyle w:val="Heading1"/>
      </w:pPr>
      <w:bookmarkStart w:id="1" w:name="_Toc47363221"/>
      <w:bookmarkStart w:id="2" w:name="_Toc54076253"/>
      <w:bookmarkStart w:id="3" w:name="_Toc78818252"/>
      <w:r w:rsidRPr="00C27E58">
        <w:t xml:space="preserve">Esošais </w:t>
      </w:r>
      <w:r w:rsidRPr="00C27E58">
        <w:rPr>
          <w:i/>
          <w:iCs/>
        </w:rPr>
        <w:t>NUTS</w:t>
      </w:r>
      <w:r w:rsidRPr="00C27E58">
        <w:t xml:space="preserve"> dalījums</w:t>
      </w:r>
      <w:bookmarkEnd w:id="1"/>
      <w:bookmarkEnd w:id="2"/>
      <w:bookmarkEnd w:id="3"/>
      <w:r w:rsidR="00B1750D">
        <w:t xml:space="preserve"> un plānošanas reģion</w:t>
      </w:r>
      <w:r w:rsidR="00EF2A84">
        <w:t>u robežu izmaiņas</w:t>
      </w:r>
    </w:p>
    <w:p w14:paraId="427C5D8B" w14:textId="77777777" w:rsidR="00C866C7" w:rsidRDefault="00C866C7" w:rsidP="00343EF6">
      <w:pPr>
        <w:rPr>
          <w:lang w:val="lv-LV"/>
        </w:rPr>
      </w:pPr>
    </w:p>
    <w:p w14:paraId="29120D88" w14:textId="3D79B237" w:rsidR="00EF2741" w:rsidRPr="00C27E58" w:rsidRDefault="00EF2741" w:rsidP="00343EF6">
      <w:pPr>
        <w:rPr>
          <w:lang w:val="lv-LV"/>
        </w:rPr>
      </w:pPr>
      <w:r w:rsidRPr="00C27E58">
        <w:rPr>
          <w:lang w:val="lv-LV"/>
        </w:rPr>
        <w:t xml:space="preserve">Reģionālā statistika ir </w:t>
      </w:r>
      <w:r w:rsidR="005B1638" w:rsidRPr="00C27E58">
        <w:rPr>
          <w:lang w:val="lv-LV"/>
        </w:rPr>
        <w:t>Eiropas Savienības (turpmāk – ES)</w:t>
      </w:r>
      <w:r w:rsidRPr="00C27E58">
        <w:rPr>
          <w:lang w:val="lv-LV"/>
        </w:rPr>
        <w:t xml:space="preserve"> statistikas sistēmas pamats, kā arī pamats reģionālo indikatoru noteikšanai. Tās struktūra tika izveidota 20. gs. 70. gadu sākumā, pamatojoties uz sarunām starp dalībvalstu nacionālajām statistikas iestādēm un </w:t>
      </w:r>
      <w:proofErr w:type="spellStart"/>
      <w:r w:rsidRPr="00C27E58">
        <w:rPr>
          <w:i/>
          <w:iCs/>
          <w:lang w:val="lv-LV"/>
        </w:rPr>
        <w:t>Eurostat</w:t>
      </w:r>
      <w:proofErr w:type="spellEnd"/>
      <w:r w:rsidRPr="00C27E58">
        <w:rPr>
          <w:lang w:val="lv-LV"/>
        </w:rPr>
        <w:t xml:space="preserve"> jeb ES Statistikas biroju. Statistikas lietotāji tika norādījuši, ka aizvien aktuālāka kļūst vajadzība datus saskaņot </w:t>
      </w:r>
      <w:r w:rsidR="00027257">
        <w:rPr>
          <w:lang w:val="lv-LV"/>
        </w:rPr>
        <w:t>ES</w:t>
      </w:r>
      <w:r w:rsidRPr="00C27E58">
        <w:rPr>
          <w:lang w:val="lv-LV"/>
        </w:rPr>
        <w:t xml:space="preserve"> līmenī, lai būtu pieejami visā ES</w:t>
      </w:r>
      <w:r w:rsidR="00027257">
        <w:rPr>
          <w:lang w:val="lv-LV"/>
        </w:rPr>
        <w:t xml:space="preserve"> </w:t>
      </w:r>
      <w:r w:rsidRPr="00C27E58">
        <w:rPr>
          <w:lang w:val="lv-LV"/>
        </w:rPr>
        <w:t xml:space="preserve">salīdzināmi dati. Lai veicinātu saskaņotas reģionālās statistikas vākšanu, nosūtīšanu un publicēšanu, ES ir izveidojusi </w:t>
      </w:r>
      <w:r w:rsidRPr="00C27E58">
        <w:rPr>
          <w:i/>
          <w:iCs/>
          <w:lang w:val="lv-LV"/>
        </w:rPr>
        <w:t>NUTS</w:t>
      </w:r>
      <w:r w:rsidRPr="00C27E58">
        <w:rPr>
          <w:lang w:val="lv-LV"/>
        </w:rPr>
        <w:t xml:space="preserve"> jeb klasificēšanas sistēmu. </w:t>
      </w:r>
      <w:r w:rsidRPr="00C27E58">
        <w:rPr>
          <w:rFonts w:eastAsia="Times New Roman"/>
          <w:i/>
          <w:iCs/>
          <w:lang w:val="lv-LV" w:eastAsia="lv-LV"/>
        </w:rPr>
        <w:t>NUTS</w:t>
      </w:r>
      <w:r w:rsidRPr="00C27E58">
        <w:rPr>
          <w:rFonts w:eastAsia="Times New Roman"/>
          <w:lang w:val="lv-LV" w:eastAsia="lv-LV"/>
        </w:rPr>
        <w:t xml:space="preserve"> klasifikācija nosaka dalībvalstu ekonomiskās teritorijas iedalījumu, kas ietver arī to </w:t>
      </w:r>
      <w:proofErr w:type="spellStart"/>
      <w:r w:rsidRPr="00C27E58">
        <w:rPr>
          <w:rFonts w:eastAsia="Times New Roman"/>
          <w:lang w:val="lv-LV" w:eastAsia="lv-LV"/>
        </w:rPr>
        <w:t>ārpusreģionālo</w:t>
      </w:r>
      <w:proofErr w:type="spellEnd"/>
      <w:r w:rsidRPr="00C27E58">
        <w:rPr>
          <w:rStyle w:val="FootnoteAnchor"/>
          <w:rFonts w:eastAsia="Times New Roman" w:cs="Times New Roman"/>
          <w:lang w:val="lv-LV" w:eastAsia="lv-LV"/>
        </w:rPr>
        <w:footnoteReference w:id="2"/>
      </w:r>
      <w:r w:rsidRPr="00C27E58">
        <w:rPr>
          <w:rFonts w:eastAsia="Times New Roman"/>
          <w:lang w:val="lv-LV" w:eastAsia="lv-LV"/>
        </w:rPr>
        <w:t xml:space="preserve"> teritoriju.</w:t>
      </w:r>
      <w:r w:rsidRPr="00C27E58">
        <w:rPr>
          <w:lang w:val="lv-LV"/>
        </w:rPr>
        <w:t xml:space="preserve"> </w:t>
      </w:r>
      <w:r w:rsidRPr="00C27E58">
        <w:rPr>
          <w:rFonts w:eastAsia="Times New Roman"/>
          <w:i/>
          <w:iCs/>
          <w:lang w:val="lv-LV" w:eastAsia="lv-LV"/>
        </w:rPr>
        <w:t>NUTS</w:t>
      </w:r>
      <w:r w:rsidRPr="00C27E58">
        <w:rPr>
          <w:rFonts w:eastAsia="Times New Roman"/>
          <w:lang w:val="lv-LV" w:eastAsia="lv-LV"/>
        </w:rPr>
        <w:t xml:space="preserve"> klasifikācija ir hierarhiska, tā katru dalībvalsti iedala trijos līmeņos</w:t>
      </w:r>
      <w:r w:rsidR="00224AA4" w:rsidRPr="00C27E58">
        <w:rPr>
          <w:rFonts w:eastAsia="Times New Roman"/>
          <w:lang w:val="lv-LV" w:eastAsia="lv-LV"/>
        </w:rPr>
        <w:t> </w:t>
      </w:r>
      <w:r w:rsidRPr="00C27E58">
        <w:rPr>
          <w:rFonts w:eastAsia="Times New Roman"/>
          <w:lang w:val="lv-LV" w:eastAsia="lv-LV"/>
        </w:rPr>
        <w:t xml:space="preserve">– </w:t>
      </w:r>
      <w:r w:rsidRPr="00C27E58">
        <w:rPr>
          <w:rFonts w:eastAsia="Times New Roman"/>
          <w:i/>
          <w:iCs/>
          <w:lang w:val="lv-LV" w:eastAsia="lv-LV"/>
        </w:rPr>
        <w:t>NUTS</w:t>
      </w:r>
      <w:r w:rsidRPr="00C27E58">
        <w:rPr>
          <w:rFonts w:eastAsia="Times New Roman"/>
          <w:lang w:val="lv-LV" w:eastAsia="lv-LV"/>
        </w:rPr>
        <w:t xml:space="preserve"> 1, </w:t>
      </w:r>
      <w:r w:rsidRPr="00C27E58">
        <w:rPr>
          <w:rFonts w:eastAsia="Times New Roman"/>
          <w:i/>
          <w:iCs/>
          <w:lang w:val="lv-LV" w:eastAsia="lv-LV"/>
        </w:rPr>
        <w:t>NUTS</w:t>
      </w:r>
      <w:r w:rsidRPr="00C27E58">
        <w:rPr>
          <w:rFonts w:eastAsia="Times New Roman"/>
          <w:lang w:val="lv-LV" w:eastAsia="lv-LV"/>
        </w:rPr>
        <w:t xml:space="preserve"> 2 un </w:t>
      </w:r>
      <w:r w:rsidRPr="00C27E58">
        <w:rPr>
          <w:rFonts w:eastAsia="Times New Roman"/>
          <w:i/>
          <w:iCs/>
          <w:lang w:val="lv-LV" w:eastAsia="lv-LV"/>
        </w:rPr>
        <w:t>NUTS</w:t>
      </w:r>
      <w:r w:rsidRPr="00C27E58">
        <w:rPr>
          <w:rFonts w:eastAsia="Times New Roman"/>
          <w:lang w:val="lv-LV" w:eastAsia="lv-LV"/>
        </w:rPr>
        <w:t xml:space="preserve"> 3. Otrais un trešais līmenis attiecīgi ir pirmā un otrā līmeņa apakšvienības. Teritoriālo vienību definīcija ir balstīta uz administratīvi teritoriālajām vienībām, kādas pastāv dalībvalstīs. </w:t>
      </w:r>
    </w:p>
    <w:p w14:paraId="349DEB7B" w14:textId="52275E9F" w:rsidR="00EF2741" w:rsidRPr="00C27E58" w:rsidRDefault="00EF2741" w:rsidP="00235093">
      <w:pPr>
        <w:rPr>
          <w:lang w:val="lv-LV" w:eastAsia="lv-LV"/>
        </w:rPr>
      </w:pPr>
      <w:r w:rsidRPr="00C27E58">
        <w:rPr>
          <w:lang w:val="lv-LV" w:eastAsia="lv-LV"/>
        </w:rPr>
        <w:t xml:space="preserve">Lai reģionālo statistiku varētu salīdzināt, arī ģeogrāfiskajām zonām ir jābūt salīdzināmām pēc iedzīvotāju skaita. Jāņem vērā arī pašreizējā politiskā, administratīvā un institucionālā situācija. To, kurā </w:t>
      </w:r>
      <w:r w:rsidRPr="00C27E58">
        <w:rPr>
          <w:i/>
          <w:iCs/>
          <w:lang w:val="lv-LV" w:eastAsia="lv-LV"/>
        </w:rPr>
        <w:t>NUTS</w:t>
      </w:r>
      <w:r w:rsidRPr="00C27E58">
        <w:rPr>
          <w:lang w:val="lv-LV" w:eastAsia="lv-LV"/>
        </w:rPr>
        <w:t xml:space="preserve"> līmenī attiecīgā administratīvā vienība ietilpst, nosaka, pamatojoties uz demogrāfiskajām robežvērtībām (iedzīvotāju skaitu) (skat. </w:t>
      </w:r>
      <w:r w:rsidR="00F53366">
        <w:rPr>
          <w:lang w:val="lv-LV" w:eastAsia="lv-LV"/>
        </w:rPr>
        <w:t>tabulu Nr. </w:t>
      </w:r>
      <w:r w:rsidR="007F6378" w:rsidRPr="00C27E58">
        <w:rPr>
          <w:lang w:val="lv-LV" w:eastAsia="lv-LV"/>
        </w:rPr>
        <w:t>1</w:t>
      </w:r>
      <w:r w:rsidRPr="00C27E58">
        <w:rPr>
          <w:lang w:val="lv-LV" w:eastAsia="lv-LV"/>
        </w:rPr>
        <w:t>).</w:t>
      </w:r>
    </w:p>
    <w:p w14:paraId="21135D06" w14:textId="77777777" w:rsidR="007F6378" w:rsidRPr="00C27E58" w:rsidRDefault="007F6378" w:rsidP="001C2F32">
      <w:pPr>
        <w:rPr>
          <w:lang w:val="lv-LV"/>
        </w:rPr>
      </w:pPr>
    </w:p>
    <w:p w14:paraId="295F95B1" w14:textId="22528810" w:rsidR="00EF2741" w:rsidRPr="00C27E58" w:rsidRDefault="0092620D" w:rsidP="00235093">
      <w:pPr>
        <w:jc w:val="right"/>
        <w:rPr>
          <w:i/>
          <w:lang w:val="lv-LV"/>
        </w:rPr>
      </w:pPr>
      <w:r>
        <w:rPr>
          <w:i/>
          <w:lang w:val="lv-LV"/>
        </w:rPr>
        <w:t>T</w:t>
      </w:r>
      <w:r w:rsidR="00EF2741" w:rsidRPr="00C27E58">
        <w:rPr>
          <w:i/>
          <w:lang w:val="lv-LV"/>
        </w:rPr>
        <w:t>abula</w:t>
      </w:r>
      <w:r>
        <w:rPr>
          <w:i/>
          <w:lang w:val="lv-LV"/>
        </w:rPr>
        <w:t xml:space="preserve"> Nr. </w:t>
      </w:r>
      <w:r w:rsidR="00A20C96">
        <w:rPr>
          <w:i/>
          <w:lang w:val="lv-LV"/>
        </w:rPr>
        <w:t>1</w:t>
      </w:r>
      <w:r>
        <w:rPr>
          <w:i/>
          <w:lang w:val="lv-LV"/>
        </w:rPr>
        <w:t>.</w:t>
      </w:r>
      <w:r w:rsidR="00EF2741" w:rsidRPr="00C27E58">
        <w:rPr>
          <w:i/>
          <w:lang w:val="lv-LV"/>
        </w:rPr>
        <w:t xml:space="preserve"> NUTS līmeņi un to demogrāfiskās robežvērtības</w:t>
      </w:r>
      <w:r>
        <w:rPr>
          <w:i/>
          <w:lang w:val="lv-LV"/>
        </w:rPr>
        <w:t>.</w:t>
      </w:r>
    </w:p>
    <w:tbl>
      <w:tblPr>
        <w:tblW w:w="6799" w:type="dxa"/>
        <w:jc w:val="center"/>
        <w:tblCellMar>
          <w:top w:w="15" w:type="dxa"/>
          <w:left w:w="15" w:type="dxa"/>
          <w:bottom w:w="15" w:type="dxa"/>
          <w:right w:w="15" w:type="dxa"/>
        </w:tblCellMar>
        <w:tblLook w:val="04A0" w:firstRow="1" w:lastRow="0" w:firstColumn="1" w:lastColumn="0" w:noHBand="0" w:noVBand="1"/>
      </w:tblPr>
      <w:tblGrid>
        <w:gridCol w:w="1696"/>
        <w:gridCol w:w="2409"/>
        <w:gridCol w:w="2694"/>
      </w:tblGrid>
      <w:tr w:rsidR="00EF2741" w:rsidRPr="00C27E58" w14:paraId="7E0AC346" w14:textId="77777777" w:rsidTr="00101CE0">
        <w:trPr>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52FE7021" w14:textId="77777777" w:rsidR="00EF2741" w:rsidRPr="00C27E58" w:rsidRDefault="00EF2741" w:rsidP="00ED30F7">
            <w:pPr>
              <w:ind w:firstLine="0"/>
              <w:jc w:val="center"/>
              <w:rPr>
                <w:rFonts w:eastAsia="Times New Roman" w:cs="Times New Roman"/>
                <w:b/>
                <w:bCs/>
                <w:szCs w:val="24"/>
                <w:lang w:val="lv-LV" w:eastAsia="lv-LV"/>
              </w:rPr>
            </w:pPr>
            <w:r w:rsidRPr="00C27E58">
              <w:rPr>
                <w:rFonts w:eastAsia="Times New Roman" w:cs="Times New Roman"/>
                <w:b/>
                <w:bCs/>
                <w:szCs w:val="24"/>
                <w:lang w:val="lv-LV" w:eastAsia="lv-LV"/>
              </w:rPr>
              <w:t>Līmenis</w:t>
            </w:r>
          </w:p>
        </w:tc>
        <w:tc>
          <w:tcPr>
            <w:tcW w:w="2409" w:type="dxa"/>
            <w:tcBorders>
              <w:top w:val="single" w:sz="4" w:space="0" w:color="000000"/>
              <w:left w:val="single" w:sz="4" w:space="0" w:color="000000"/>
              <w:bottom w:val="single" w:sz="4" w:space="0" w:color="000000"/>
              <w:right w:val="single" w:sz="4" w:space="0" w:color="000000"/>
            </w:tcBorders>
            <w:vAlign w:val="center"/>
          </w:tcPr>
          <w:p w14:paraId="0620911C" w14:textId="6E2C9A5A" w:rsidR="00EF2741" w:rsidRPr="00C27E58" w:rsidRDefault="00EF2741" w:rsidP="00ED30F7">
            <w:pPr>
              <w:ind w:firstLine="0"/>
              <w:jc w:val="center"/>
              <w:rPr>
                <w:rFonts w:eastAsia="Times New Roman" w:cs="Times New Roman"/>
                <w:b/>
                <w:bCs/>
                <w:szCs w:val="24"/>
                <w:lang w:val="lv-LV" w:eastAsia="lv-LV"/>
              </w:rPr>
            </w:pPr>
            <w:r w:rsidRPr="00C27E58">
              <w:rPr>
                <w:rFonts w:eastAsia="Times New Roman" w:cs="Times New Roman"/>
                <w:b/>
                <w:bCs/>
                <w:szCs w:val="24"/>
                <w:lang w:val="lv-LV" w:eastAsia="lv-LV"/>
              </w:rPr>
              <w:t>Minimālā vērtība (iedz</w:t>
            </w:r>
            <w:r w:rsidR="00ED30F7" w:rsidRPr="00C27E58">
              <w:rPr>
                <w:rFonts w:eastAsia="Times New Roman" w:cs="Times New Roman"/>
                <w:b/>
                <w:bCs/>
                <w:szCs w:val="24"/>
                <w:lang w:val="lv-LV" w:eastAsia="lv-LV"/>
              </w:rPr>
              <w:t>īvotāju skaits</w:t>
            </w:r>
            <w:r w:rsidRPr="00C27E58">
              <w:rPr>
                <w:rFonts w:eastAsia="Times New Roman" w:cs="Times New Roman"/>
                <w:b/>
                <w:bCs/>
                <w:szCs w:val="24"/>
                <w:lang w:val="lv-LV" w:eastAsia="lv-LV"/>
              </w:rPr>
              <w:t>)</w:t>
            </w:r>
          </w:p>
        </w:tc>
        <w:tc>
          <w:tcPr>
            <w:tcW w:w="2694" w:type="dxa"/>
            <w:tcBorders>
              <w:top w:val="single" w:sz="4" w:space="0" w:color="000000"/>
              <w:left w:val="single" w:sz="4" w:space="0" w:color="000000"/>
              <w:bottom w:val="single" w:sz="4" w:space="0" w:color="000000"/>
              <w:right w:val="single" w:sz="4" w:space="0" w:color="000000"/>
            </w:tcBorders>
            <w:vAlign w:val="center"/>
          </w:tcPr>
          <w:p w14:paraId="2A6BA0F6" w14:textId="29649509" w:rsidR="00EF2741" w:rsidRPr="00C27E58" w:rsidRDefault="00EF2741" w:rsidP="00ED30F7">
            <w:pPr>
              <w:ind w:firstLine="0"/>
              <w:jc w:val="center"/>
              <w:rPr>
                <w:rFonts w:eastAsia="Times New Roman" w:cs="Times New Roman"/>
                <w:b/>
                <w:bCs/>
                <w:szCs w:val="24"/>
                <w:lang w:val="lv-LV" w:eastAsia="lv-LV"/>
              </w:rPr>
            </w:pPr>
            <w:r w:rsidRPr="00C27E58">
              <w:rPr>
                <w:rFonts w:eastAsia="Times New Roman" w:cs="Times New Roman"/>
                <w:b/>
                <w:bCs/>
                <w:szCs w:val="24"/>
                <w:lang w:val="lv-LV" w:eastAsia="lv-LV"/>
              </w:rPr>
              <w:t xml:space="preserve">Maksimālā vērtība </w:t>
            </w:r>
            <w:r w:rsidR="00ED30F7" w:rsidRPr="00C27E58">
              <w:rPr>
                <w:rFonts w:eastAsia="Times New Roman" w:cs="Times New Roman"/>
                <w:b/>
                <w:bCs/>
                <w:szCs w:val="24"/>
                <w:lang w:val="lv-LV" w:eastAsia="lv-LV"/>
              </w:rPr>
              <w:t>(iedzīvotāju skaits)</w:t>
            </w:r>
          </w:p>
        </w:tc>
      </w:tr>
      <w:tr w:rsidR="00EF2741" w:rsidRPr="00C27E58" w14:paraId="79C76BAF" w14:textId="77777777" w:rsidTr="00101CE0">
        <w:trPr>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7DF24053" w14:textId="77777777" w:rsidR="00EF2741" w:rsidRPr="00C27E58" w:rsidRDefault="00EF2741" w:rsidP="00ED30F7">
            <w:pPr>
              <w:ind w:firstLine="0"/>
              <w:jc w:val="center"/>
              <w:rPr>
                <w:rFonts w:eastAsia="Times New Roman" w:cs="Times New Roman"/>
                <w:b/>
                <w:bCs/>
                <w:szCs w:val="24"/>
                <w:lang w:val="lv-LV" w:eastAsia="lv-LV"/>
              </w:rPr>
            </w:pPr>
            <w:r w:rsidRPr="00C27E58">
              <w:rPr>
                <w:rFonts w:eastAsia="Times New Roman" w:cs="Times New Roman"/>
                <w:b/>
                <w:bCs/>
                <w:i/>
                <w:iCs/>
                <w:szCs w:val="24"/>
                <w:lang w:val="lv-LV" w:eastAsia="lv-LV"/>
              </w:rPr>
              <w:t>NUTS</w:t>
            </w:r>
            <w:r w:rsidRPr="00C27E58">
              <w:rPr>
                <w:rFonts w:eastAsia="Times New Roman" w:cs="Times New Roman"/>
                <w:b/>
                <w:bCs/>
                <w:szCs w:val="24"/>
                <w:lang w:val="lv-LV" w:eastAsia="lv-LV"/>
              </w:rPr>
              <w:t xml:space="preserve"> 1 </w:t>
            </w:r>
          </w:p>
        </w:tc>
        <w:tc>
          <w:tcPr>
            <w:tcW w:w="2409" w:type="dxa"/>
            <w:tcBorders>
              <w:top w:val="single" w:sz="4" w:space="0" w:color="000000"/>
              <w:left w:val="single" w:sz="4" w:space="0" w:color="000000"/>
              <w:bottom w:val="single" w:sz="4" w:space="0" w:color="000000"/>
              <w:right w:val="single" w:sz="4" w:space="0" w:color="000000"/>
            </w:tcBorders>
            <w:vAlign w:val="center"/>
          </w:tcPr>
          <w:p w14:paraId="519A9F92" w14:textId="77777777" w:rsidR="00EF2741" w:rsidRPr="00C27E58" w:rsidRDefault="00EF2741" w:rsidP="00ED30F7">
            <w:pPr>
              <w:ind w:firstLine="0"/>
              <w:jc w:val="center"/>
              <w:rPr>
                <w:rFonts w:eastAsia="Times New Roman" w:cs="Times New Roman"/>
                <w:szCs w:val="24"/>
                <w:lang w:val="lv-LV" w:eastAsia="lv-LV"/>
              </w:rPr>
            </w:pPr>
            <w:r w:rsidRPr="00C27E58">
              <w:rPr>
                <w:rFonts w:eastAsia="Times New Roman" w:cs="Times New Roman"/>
                <w:szCs w:val="24"/>
                <w:lang w:val="lv-LV" w:eastAsia="lv-LV"/>
              </w:rPr>
              <w:t>3 000 000</w:t>
            </w:r>
          </w:p>
        </w:tc>
        <w:tc>
          <w:tcPr>
            <w:tcW w:w="2694" w:type="dxa"/>
            <w:tcBorders>
              <w:top w:val="single" w:sz="4" w:space="0" w:color="000000"/>
              <w:left w:val="single" w:sz="4" w:space="0" w:color="000000"/>
              <w:bottom w:val="single" w:sz="4" w:space="0" w:color="000000"/>
              <w:right w:val="single" w:sz="4" w:space="0" w:color="000000"/>
            </w:tcBorders>
            <w:vAlign w:val="center"/>
          </w:tcPr>
          <w:p w14:paraId="33E881C7" w14:textId="77777777" w:rsidR="00EF2741" w:rsidRPr="00C27E58" w:rsidRDefault="00EF2741" w:rsidP="00ED30F7">
            <w:pPr>
              <w:ind w:firstLine="0"/>
              <w:jc w:val="center"/>
              <w:rPr>
                <w:rFonts w:eastAsia="Times New Roman" w:cs="Times New Roman"/>
                <w:szCs w:val="24"/>
                <w:lang w:val="lv-LV" w:eastAsia="lv-LV"/>
              </w:rPr>
            </w:pPr>
            <w:r w:rsidRPr="00C27E58">
              <w:rPr>
                <w:rFonts w:eastAsia="Times New Roman" w:cs="Times New Roman"/>
                <w:szCs w:val="24"/>
                <w:lang w:val="lv-LV" w:eastAsia="lv-LV"/>
              </w:rPr>
              <w:t>7 000 000</w:t>
            </w:r>
          </w:p>
        </w:tc>
      </w:tr>
      <w:tr w:rsidR="00EF2741" w:rsidRPr="00C27E58" w14:paraId="7B069B46" w14:textId="77777777" w:rsidTr="00101CE0">
        <w:trPr>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727B01D9" w14:textId="77777777" w:rsidR="00EF2741" w:rsidRPr="00C27E58" w:rsidRDefault="00EF2741" w:rsidP="00ED30F7">
            <w:pPr>
              <w:ind w:firstLine="0"/>
              <w:jc w:val="center"/>
              <w:rPr>
                <w:rFonts w:eastAsia="Times New Roman" w:cs="Times New Roman"/>
                <w:b/>
                <w:bCs/>
                <w:szCs w:val="24"/>
                <w:lang w:val="lv-LV" w:eastAsia="lv-LV"/>
              </w:rPr>
            </w:pPr>
            <w:r w:rsidRPr="00C27E58">
              <w:rPr>
                <w:rFonts w:eastAsia="Times New Roman" w:cs="Times New Roman"/>
                <w:b/>
                <w:bCs/>
                <w:i/>
                <w:iCs/>
                <w:szCs w:val="24"/>
                <w:lang w:val="lv-LV" w:eastAsia="lv-LV"/>
              </w:rPr>
              <w:t>NUTS</w:t>
            </w:r>
            <w:r w:rsidRPr="00C27E58">
              <w:rPr>
                <w:rFonts w:eastAsia="Times New Roman" w:cs="Times New Roman"/>
                <w:b/>
                <w:bCs/>
                <w:szCs w:val="24"/>
                <w:lang w:val="lv-LV" w:eastAsia="lv-LV"/>
              </w:rPr>
              <w:t xml:space="preserve"> 2</w:t>
            </w:r>
          </w:p>
        </w:tc>
        <w:tc>
          <w:tcPr>
            <w:tcW w:w="2409" w:type="dxa"/>
            <w:tcBorders>
              <w:top w:val="single" w:sz="4" w:space="0" w:color="000000"/>
              <w:left w:val="single" w:sz="4" w:space="0" w:color="000000"/>
              <w:bottom w:val="single" w:sz="4" w:space="0" w:color="000000"/>
              <w:right w:val="single" w:sz="4" w:space="0" w:color="000000"/>
            </w:tcBorders>
            <w:vAlign w:val="center"/>
          </w:tcPr>
          <w:p w14:paraId="7402C39C" w14:textId="77777777" w:rsidR="00EF2741" w:rsidRPr="00C27E58" w:rsidRDefault="00EF2741" w:rsidP="00ED30F7">
            <w:pPr>
              <w:ind w:firstLine="0"/>
              <w:jc w:val="center"/>
              <w:rPr>
                <w:rFonts w:eastAsia="Times New Roman" w:cs="Times New Roman"/>
                <w:szCs w:val="24"/>
                <w:lang w:val="lv-LV" w:eastAsia="lv-LV"/>
              </w:rPr>
            </w:pPr>
            <w:r w:rsidRPr="00C27E58">
              <w:rPr>
                <w:rFonts w:eastAsia="Times New Roman" w:cs="Times New Roman"/>
                <w:szCs w:val="24"/>
                <w:lang w:val="lv-LV" w:eastAsia="lv-LV"/>
              </w:rPr>
              <w:t>800 000</w:t>
            </w:r>
          </w:p>
        </w:tc>
        <w:tc>
          <w:tcPr>
            <w:tcW w:w="2694" w:type="dxa"/>
            <w:tcBorders>
              <w:top w:val="single" w:sz="4" w:space="0" w:color="000000"/>
              <w:left w:val="single" w:sz="4" w:space="0" w:color="000000"/>
              <w:bottom w:val="single" w:sz="4" w:space="0" w:color="000000"/>
              <w:right w:val="single" w:sz="4" w:space="0" w:color="000000"/>
            </w:tcBorders>
            <w:vAlign w:val="center"/>
          </w:tcPr>
          <w:p w14:paraId="29173986" w14:textId="77777777" w:rsidR="00EF2741" w:rsidRPr="00C27E58" w:rsidRDefault="00EF2741" w:rsidP="00ED30F7">
            <w:pPr>
              <w:ind w:firstLine="0"/>
              <w:jc w:val="center"/>
              <w:rPr>
                <w:rFonts w:eastAsia="Times New Roman" w:cs="Times New Roman"/>
                <w:szCs w:val="24"/>
                <w:lang w:val="lv-LV" w:eastAsia="lv-LV"/>
              </w:rPr>
            </w:pPr>
            <w:r w:rsidRPr="00C27E58">
              <w:rPr>
                <w:rFonts w:eastAsia="Times New Roman" w:cs="Times New Roman"/>
                <w:szCs w:val="24"/>
                <w:lang w:val="lv-LV" w:eastAsia="lv-LV"/>
              </w:rPr>
              <w:t>3 000 000</w:t>
            </w:r>
          </w:p>
        </w:tc>
      </w:tr>
      <w:tr w:rsidR="00EF2741" w:rsidRPr="00C27E58" w14:paraId="0E8DC6B2" w14:textId="77777777" w:rsidTr="00101CE0">
        <w:trPr>
          <w:jc w:val="center"/>
        </w:trPr>
        <w:tc>
          <w:tcPr>
            <w:tcW w:w="1696" w:type="dxa"/>
            <w:tcBorders>
              <w:top w:val="single" w:sz="4" w:space="0" w:color="000000"/>
              <w:left w:val="single" w:sz="4" w:space="0" w:color="000000"/>
              <w:bottom w:val="single" w:sz="4" w:space="0" w:color="000000"/>
              <w:right w:val="single" w:sz="4" w:space="0" w:color="000000"/>
            </w:tcBorders>
            <w:vAlign w:val="center"/>
          </w:tcPr>
          <w:p w14:paraId="477FC537" w14:textId="77777777" w:rsidR="00EF2741" w:rsidRPr="00C27E58" w:rsidRDefault="00EF2741" w:rsidP="00ED30F7">
            <w:pPr>
              <w:ind w:firstLine="0"/>
              <w:jc w:val="center"/>
              <w:rPr>
                <w:rFonts w:eastAsia="Times New Roman" w:cs="Times New Roman"/>
                <w:b/>
                <w:bCs/>
                <w:szCs w:val="24"/>
                <w:lang w:val="lv-LV" w:eastAsia="lv-LV"/>
              </w:rPr>
            </w:pPr>
            <w:r w:rsidRPr="00C27E58">
              <w:rPr>
                <w:rFonts w:eastAsia="Times New Roman" w:cs="Times New Roman"/>
                <w:b/>
                <w:bCs/>
                <w:i/>
                <w:iCs/>
                <w:szCs w:val="24"/>
                <w:lang w:val="lv-LV" w:eastAsia="lv-LV"/>
              </w:rPr>
              <w:t>NUTS</w:t>
            </w:r>
            <w:r w:rsidRPr="00C27E58">
              <w:rPr>
                <w:rFonts w:eastAsia="Times New Roman" w:cs="Times New Roman"/>
                <w:b/>
                <w:bCs/>
                <w:szCs w:val="24"/>
                <w:lang w:val="lv-LV" w:eastAsia="lv-LV"/>
              </w:rPr>
              <w:t xml:space="preserve"> 3 </w:t>
            </w:r>
          </w:p>
        </w:tc>
        <w:tc>
          <w:tcPr>
            <w:tcW w:w="2409" w:type="dxa"/>
            <w:tcBorders>
              <w:top w:val="single" w:sz="4" w:space="0" w:color="000000"/>
              <w:left w:val="single" w:sz="4" w:space="0" w:color="000000"/>
              <w:bottom w:val="single" w:sz="4" w:space="0" w:color="000000"/>
              <w:right w:val="single" w:sz="4" w:space="0" w:color="000000"/>
            </w:tcBorders>
            <w:vAlign w:val="center"/>
          </w:tcPr>
          <w:p w14:paraId="0BBDA155" w14:textId="77777777" w:rsidR="00EF2741" w:rsidRPr="00C27E58" w:rsidRDefault="00EF2741" w:rsidP="00ED30F7">
            <w:pPr>
              <w:ind w:firstLine="0"/>
              <w:jc w:val="center"/>
              <w:rPr>
                <w:rFonts w:eastAsia="Times New Roman" w:cs="Times New Roman"/>
                <w:szCs w:val="24"/>
                <w:lang w:val="lv-LV" w:eastAsia="lv-LV"/>
              </w:rPr>
            </w:pPr>
            <w:r w:rsidRPr="00C27E58">
              <w:rPr>
                <w:rFonts w:eastAsia="Times New Roman" w:cs="Times New Roman"/>
                <w:szCs w:val="24"/>
                <w:lang w:val="lv-LV" w:eastAsia="lv-LV"/>
              </w:rPr>
              <w:t>150 000</w:t>
            </w:r>
          </w:p>
        </w:tc>
        <w:tc>
          <w:tcPr>
            <w:tcW w:w="2694" w:type="dxa"/>
            <w:tcBorders>
              <w:top w:val="single" w:sz="4" w:space="0" w:color="000000"/>
              <w:left w:val="single" w:sz="4" w:space="0" w:color="000000"/>
              <w:bottom w:val="single" w:sz="4" w:space="0" w:color="000000"/>
              <w:right w:val="single" w:sz="4" w:space="0" w:color="000000"/>
            </w:tcBorders>
            <w:vAlign w:val="center"/>
          </w:tcPr>
          <w:p w14:paraId="04E2DEE6" w14:textId="77777777" w:rsidR="00EF2741" w:rsidRPr="00C27E58" w:rsidRDefault="00EF2741" w:rsidP="00ED30F7">
            <w:pPr>
              <w:ind w:firstLine="0"/>
              <w:jc w:val="center"/>
              <w:rPr>
                <w:rFonts w:eastAsia="Times New Roman" w:cs="Times New Roman"/>
                <w:szCs w:val="24"/>
                <w:lang w:val="lv-LV" w:eastAsia="lv-LV"/>
              </w:rPr>
            </w:pPr>
            <w:r w:rsidRPr="00C27E58">
              <w:rPr>
                <w:rFonts w:eastAsia="Times New Roman" w:cs="Times New Roman"/>
                <w:szCs w:val="24"/>
                <w:lang w:val="lv-LV" w:eastAsia="lv-LV"/>
              </w:rPr>
              <w:t>800 000</w:t>
            </w:r>
          </w:p>
        </w:tc>
      </w:tr>
    </w:tbl>
    <w:p w14:paraId="1EC2C980" w14:textId="77777777" w:rsidR="007F6378" w:rsidRPr="00C27E58" w:rsidRDefault="007F6378" w:rsidP="007F6378">
      <w:pPr>
        <w:rPr>
          <w:lang w:val="lv-LV" w:eastAsia="lv-LV"/>
        </w:rPr>
      </w:pPr>
    </w:p>
    <w:p w14:paraId="40BBAB21" w14:textId="77777777" w:rsidR="00231F0A" w:rsidRPr="00C27E58" w:rsidRDefault="00EF2741" w:rsidP="00231F0A">
      <w:pPr>
        <w:rPr>
          <w:lang w:val="lv-LV" w:eastAsia="lv-LV"/>
        </w:rPr>
      </w:pPr>
      <w:r w:rsidRPr="00C27E58">
        <w:rPr>
          <w:lang w:val="lv-LV" w:eastAsia="lv-LV"/>
        </w:rPr>
        <w:t>Ja dalībvalstī nepastāv noteiktam klasifikācijas līmenim atbilstīga pietiekami liela administratīvā vienība, tad šo līmeni izveido, apvienojot pietiekami daudzas mazāka izmēra un blakusesošās administratīvās vienības. Šādas apvienotās vienības dēvē par “neadministratīvajām vienībām”. Neadministratīvajām vienībām ir jābūt noteiktam ekonomiskam, sociālam, vēsturiskam, kultūras, ģeogrāfiskam vai vides pamatojumam.</w:t>
      </w:r>
    </w:p>
    <w:p w14:paraId="0BE2366E" w14:textId="77777777" w:rsidR="0005413F" w:rsidRPr="00C27E58" w:rsidRDefault="00EF2741" w:rsidP="00231F0A">
      <w:pPr>
        <w:rPr>
          <w:rFonts w:eastAsia="Times New Roman" w:cs="Times New Roman"/>
          <w:lang w:val="lv-LV" w:eastAsia="lv-LV"/>
        </w:rPr>
      </w:pPr>
      <w:r w:rsidRPr="00C27E58">
        <w:rPr>
          <w:rFonts w:eastAsia="Times New Roman" w:cs="Times New Roman"/>
          <w:b/>
          <w:bCs/>
          <w:lang w:val="lv-LV" w:eastAsia="lv-LV"/>
        </w:rPr>
        <w:lastRenderedPageBreak/>
        <w:t xml:space="preserve">ES dalībvalstis var lemt par </w:t>
      </w:r>
      <w:r w:rsidRPr="00C27E58">
        <w:rPr>
          <w:rFonts w:cs="Times New Roman"/>
          <w:b/>
          <w:bCs/>
          <w:i/>
          <w:iCs/>
          <w:lang w:val="lv-LV"/>
        </w:rPr>
        <w:t>NUTS</w:t>
      </w:r>
      <w:r w:rsidRPr="00C27E58">
        <w:rPr>
          <w:rFonts w:cs="Times New Roman"/>
          <w:b/>
          <w:bCs/>
          <w:lang w:val="lv-LV"/>
        </w:rPr>
        <w:t xml:space="preserve"> klasifikācijas grozījumiem, kurus var pieņemt kalendārā gada otrajā pusē un ne biežāk kā ik pēc trim gadiem.</w:t>
      </w:r>
      <w:r w:rsidRPr="00C27E58">
        <w:rPr>
          <w:rFonts w:cs="Times New Roman"/>
          <w:lang w:val="lv-LV"/>
        </w:rPr>
        <w:t xml:space="preserve"> Vienlaikus, ja kādas dalībvalsts administratīvi teritoriālais iedalījums būtiski mainās, grozījumus var pieņemt arī īsākos intervālos. Dalībvalstīm ir jāinformē Eiropas Komisija par jebkādām administratīvo teritoriju robežu izmaiņām vai citām izmaiņām, kas var ietekmēt </w:t>
      </w:r>
      <w:r w:rsidRPr="00C27E58">
        <w:rPr>
          <w:rFonts w:cs="Times New Roman"/>
          <w:i/>
          <w:iCs/>
          <w:lang w:val="lv-LV"/>
        </w:rPr>
        <w:t>NUTS</w:t>
      </w:r>
      <w:r w:rsidRPr="00C27E58">
        <w:rPr>
          <w:rFonts w:cs="Times New Roman"/>
          <w:lang w:val="lv-LV"/>
        </w:rPr>
        <w:t xml:space="preserve"> klasifikāciju (piemēram, ja tiek mainīti komponenti, kas var ietekmēt </w:t>
      </w:r>
      <w:r w:rsidRPr="00C27E58">
        <w:rPr>
          <w:rFonts w:cs="Times New Roman"/>
          <w:i/>
          <w:iCs/>
          <w:lang w:val="lv-LV"/>
        </w:rPr>
        <w:t>NUTS</w:t>
      </w:r>
      <w:r w:rsidRPr="00C27E58">
        <w:rPr>
          <w:rFonts w:cs="Times New Roman"/>
          <w:lang w:val="lv-LV"/>
        </w:rPr>
        <w:t> 3 līmeņa robežvērtības).</w:t>
      </w:r>
      <w:r w:rsidRPr="00C27E58">
        <w:rPr>
          <w:rFonts w:eastAsia="Times New Roman" w:cs="Times New Roman"/>
          <w:lang w:val="lv-LV" w:eastAsia="lv-LV"/>
        </w:rPr>
        <w:t xml:space="preserve"> Izmaiņas nelielās administratīvajās vienībās maina </w:t>
      </w:r>
      <w:r w:rsidRPr="00C27E58">
        <w:rPr>
          <w:rFonts w:eastAsia="Times New Roman" w:cs="Times New Roman"/>
          <w:i/>
          <w:iCs/>
          <w:lang w:val="lv-LV" w:eastAsia="lv-LV"/>
        </w:rPr>
        <w:t>NUTS</w:t>
      </w:r>
      <w:r w:rsidRPr="00C27E58">
        <w:rPr>
          <w:rFonts w:eastAsia="Times New Roman" w:cs="Times New Roman"/>
          <w:lang w:val="lv-LV" w:eastAsia="lv-LV"/>
        </w:rPr>
        <w:t xml:space="preserve"> klasifikāciju, ja tās ietver iedzīvotāju skaita izmaiņas, kas pārsniedz 1% attiecīgajās </w:t>
      </w:r>
      <w:r w:rsidRPr="00C27E58">
        <w:rPr>
          <w:rFonts w:eastAsia="Times New Roman" w:cs="Times New Roman"/>
          <w:i/>
          <w:iCs/>
          <w:lang w:val="lv-LV" w:eastAsia="lv-LV"/>
        </w:rPr>
        <w:t>NUTS</w:t>
      </w:r>
      <w:r w:rsidRPr="00C27E58">
        <w:rPr>
          <w:rFonts w:eastAsia="Times New Roman" w:cs="Times New Roman"/>
          <w:lang w:val="lv-LV" w:eastAsia="lv-LV"/>
        </w:rPr>
        <w:t xml:space="preserve"> 3 teritoriālajās vienībās. Attiecībā uz dalībvalstu neadministratīvajām vienībām </w:t>
      </w:r>
      <w:r w:rsidRPr="00C27E58">
        <w:rPr>
          <w:rFonts w:eastAsia="Times New Roman" w:cs="Times New Roman"/>
          <w:i/>
          <w:iCs/>
          <w:lang w:val="lv-LV" w:eastAsia="lv-LV"/>
        </w:rPr>
        <w:t>NUTS</w:t>
      </w:r>
      <w:r w:rsidRPr="00C27E58">
        <w:rPr>
          <w:rFonts w:eastAsia="Times New Roman" w:cs="Times New Roman"/>
          <w:lang w:val="lv-LV" w:eastAsia="lv-LV"/>
        </w:rPr>
        <w:t xml:space="preserve"> klasifikācijas izmaiņas var veikt tad, ja šīs izmaiņas (iedzīvotāju skaita ziņā) samazina standartnovirzi no ES teritoriālo vienību kopuma.</w:t>
      </w:r>
      <w:r w:rsidRPr="00C27E58">
        <w:rPr>
          <w:rStyle w:val="FootnoteAnchor"/>
          <w:rFonts w:eastAsia="Times New Roman" w:cs="Times New Roman"/>
          <w:lang w:val="lv-LV" w:eastAsia="lv-LV"/>
        </w:rPr>
        <w:footnoteReference w:id="3"/>
      </w:r>
    </w:p>
    <w:p w14:paraId="183CEBF5" w14:textId="462E1A0B" w:rsidR="008A1ED0" w:rsidRPr="00C27E58" w:rsidRDefault="00EF2741" w:rsidP="008A1ED0">
      <w:pPr>
        <w:rPr>
          <w:rFonts w:eastAsia="Times New Roman" w:cs="Times New Roman"/>
          <w:lang w:val="lv-LV" w:eastAsia="lv-LV"/>
        </w:rPr>
      </w:pPr>
      <w:r w:rsidRPr="00C27E58">
        <w:rPr>
          <w:rFonts w:eastAsia="Times New Roman" w:cs="Times New Roman"/>
          <w:lang w:val="lv-LV" w:eastAsia="lv-LV"/>
        </w:rPr>
        <w:t>Saskaņā ar M</w:t>
      </w:r>
      <w:r w:rsidR="000D663E">
        <w:rPr>
          <w:rFonts w:eastAsia="Times New Roman" w:cs="Times New Roman"/>
          <w:lang w:val="lv-LV" w:eastAsia="lv-LV"/>
        </w:rPr>
        <w:t>inistru kabineta</w:t>
      </w:r>
      <w:r w:rsidRPr="00C27E58">
        <w:rPr>
          <w:rFonts w:eastAsia="Times New Roman" w:cs="Times New Roman"/>
          <w:lang w:val="lv-LV" w:eastAsia="lv-LV"/>
        </w:rPr>
        <w:t xml:space="preserve"> 2004. gada 28. aprīļa rīkojumu Nr. 271 “Par Latvijas Republikas statistiskajiem reģioniem un tajos ietilpstošajām administratīvajām vienībām”</w:t>
      </w:r>
      <w:r w:rsidR="000D663E">
        <w:rPr>
          <w:rFonts w:eastAsia="Times New Roman" w:cs="Times New Roman"/>
          <w:lang w:val="lv-LV" w:eastAsia="lv-LV"/>
        </w:rPr>
        <w:t xml:space="preserve"> (turpmāk – MK rīkojums Nr. 271)</w:t>
      </w:r>
      <w:r w:rsidRPr="00C27E58">
        <w:rPr>
          <w:rFonts w:eastAsia="Times New Roman" w:cs="Times New Roman"/>
          <w:lang w:val="lv-LV" w:eastAsia="lv-LV"/>
        </w:rPr>
        <w:t xml:space="preserve">, </w:t>
      </w:r>
      <w:r w:rsidRPr="00C27E58">
        <w:rPr>
          <w:rFonts w:cs="Times New Roman"/>
          <w:lang w:val="lv-LV"/>
        </w:rPr>
        <w:t xml:space="preserve">Latvijā noteikts šāds </w:t>
      </w:r>
      <w:r w:rsidRPr="00C27E58">
        <w:rPr>
          <w:rFonts w:cs="Times New Roman"/>
          <w:i/>
          <w:iCs/>
          <w:lang w:val="lv-LV"/>
        </w:rPr>
        <w:t>NUTS</w:t>
      </w:r>
      <w:r w:rsidRPr="00C27E58">
        <w:rPr>
          <w:rFonts w:cs="Times New Roman"/>
          <w:lang w:val="lv-LV"/>
        </w:rPr>
        <w:t xml:space="preserve"> </w:t>
      </w:r>
      <w:proofErr w:type="spellStart"/>
      <w:r w:rsidRPr="00C27E58">
        <w:rPr>
          <w:rFonts w:cs="Times New Roman"/>
          <w:lang w:val="lv-LV"/>
        </w:rPr>
        <w:t>piemērojums</w:t>
      </w:r>
      <w:proofErr w:type="spellEnd"/>
      <w:r w:rsidRPr="00C27E58">
        <w:rPr>
          <w:rFonts w:cs="Times New Roman"/>
          <w:lang w:val="lv-LV"/>
        </w:rPr>
        <w:t xml:space="preserve"> Latvijas administratīvi teritoriālajam iedalījumam:</w:t>
      </w:r>
    </w:p>
    <w:p w14:paraId="2B8FEA87" w14:textId="77777777" w:rsidR="008A1ED0" w:rsidRPr="00C27E58" w:rsidRDefault="00EF2741" w:rsidP="008A1ED0">
      <w:pPr>
        <w:pStyle w:val="ListParagraph"/>
        <w:numPr>
          <w:ilvl w:val="0"/>
          <w:numId w:val="11"/>
        </w:numPr>
        <w:spacing w:after="0"/>
        <w:ind w:left="1077" w:hanging="357"/>
        <w:rPr>
          <w:rFonts w:eastAsia="Times New Roman" w:cs="Times New Roman"/>
          <w:lang w:val="lv-LV" w:eastAsia="lv-LV"/>
        </w:rPr>
      </w:pPr>
      <w:r w:rsidRPr="00C27E58">
        <w:rPr>
          <w:rFonts w:eastAsia="Times New Roman" w:cs="Times New Roman"/>
          <w:i/>
          <w:lang w:val="lv-LV" w:eastAsia="lv-LV"/>
        </w:rPr>
        <w:t>NUTS</w:t>
      </w:r>
      <w:r w:rsidRPr="00C27E58">
        <w:rPr>
          <w:rFonts w:eastAsia="Times New Roman" w:cs="Times New Roman"/>
          <w:lang w:val="lv-LV" w:eastAsia="lv-LV"/>
        </w:rPr>
        <w:t xml:space="preserve"> 1 līmenis – visa Latvija kā viens </w:t>
      </w:r>
      <w:r w:rsidRPr="00C27E58">
        <w:rPr>
          <w:rFonts w:eastAsia="Times New Roman" w:cs="Times New Roman"/>
          <w:i/>
          <w:lang w:val="lv-LV" w:eastAsia="lv-LV"/>
        </w:rPr>
        <w:t>NUTS</w:t>
      </w:r>
      <w:r w:rsidRPr="00C27E58">
        <w:rPr>
          <w:rFonts w:eastAsia="Times New Roman" w:cs="Times New Roman"/>
          <w:lang w:val="lv-LV" w:eastAsia="lv-LV"/>
        </w:rPr>
        <w:t xml:space="preserve"> 1 reģions;</w:t>
      </w:r>
    </w:p>
    <w:p w14:paraId="2CA43231" w14:textId="77777777" w:rsidR="008A1ED0" w:rsidRPr="00C27E58" w:rsidRDefault="00EF2741" w:rsidP="008A1ED0">
      <w:pPr>
        <w:pStyle w:val="ListParagraph"/>
        <w:numPr>
          <w:ilvl w:val="0"/>
          <w:numId w:val="11"/>
        </w:numPr>
        <w:spacing w:after="0"/>
        <w:ind w:left="1077" w:hanging="357"/>
        <w:rPr>
          <w:rFonts w:eastAsia="Times New Roman" w:cs="Times New Roman"/>
          <w:lang w:val="lv-LV" w:eastAsia="lv-LV"/>
        </w:rPr>
      </w:pPr>
      <w:r w:rsidRPr="00C27E58">
        <w:rPr>
          <w:rFonts w:eastAsia="Times New Roman" w:cs="Times New Roman"/>
          <w:i/>
          <w:lang w:val="lv-LV" w:eastAsia="lv-LV"/>
        </w:rPr>
        <w:t>NUTS</w:t>
      </w:r>
      <w:r w:rsidRPr="00C27E58">
        <w:rPr>
          <w:rFonts w:eastAsia="Times New Roman" w:cs="Times New Roman"/>
          <w:lang w:val="lv-LV" w:eastAsia="lv-LV"/>
        </w:rPr>
        <w:t xml:space="preserve"> 2 līmenis – visa Latvija kā viens </w:t>
      </w:r>
      <w:r w:rsidRPr="00C27E58">
        <w:rPr>
          <w:rFonts w:eastAsia="Times New Roman" w:cs="Times New Roman"/>
          <w:i/>
          <w:lang w:val="lv-LV" w:eastAsia="lv-LV"/>
        </w:rPr>
        <w:t>NUTS</w:t>
      </w:r>
      <w:r w:rsidRPr="00C27E58">
        <w:rPr>
          <w:rFonts w:eastAsia="Times New Roman" w:cs="Times New Roman"/>
          <w:lang w:val="lv-LV" w:eastAsia="lv-LV"/>
        </w:rPr>
        <w:t xml:space="preserve"> 2 reģions;</w:t>
      </w:r>
    </w:p>
    <w:p w14:paraId="74C7ACE9" w14:textId="08D77768" w:rsidR="00EF2741" w:rsidRPr="00C27E58" w:rsidRDefault="00EF2741" w:rsidP="008A1ED0">
      <w:pPr>
        <w:pStyle w:val="ListParagraph"/>
        <w:numPr>
          <w:ilvl w:val="0"/>
          <w:numId w:val="11"/>
        </w:numPr>
        <w:spacing w:after="0"/>
        <w:ind w:left="1077" w:hanging="357"/>
        <w:rPr>
          <w:rFonts w:eastAsia="Times New Roman" w:cs="Times New Roman"/>
          <w:lang w:val="lv-LV" w:eastAsia="lv-LV"/>
        </w:rPr>
      </w:pPr>
      <w:r w:rsidRPr="00C27E58">
        <w:rPr>
          <w:rFonts w:eastAsia="Times New Roman" w:cs="Times New Roman"/>
          <w:i/>
          <w:iCs/>
          <w:lang w:val="lv-LV" w:eastAsia="lv-LV"/>
        </w:rPr>
        <w:t>NUTS</w:t>
      </w:r>
      <w:r w:rsidRPr="00C27E58">
        <w:rPr>
          <w:rFonts w:eastAsia="Times New Roman" w:cs="Times New Roman"/>
          <w:lang w:val="lv-LV" w:eastAsia="lv-LV"/>
        </w:rPr>
        <w:t xml:space="preserve"> 3 līmenis – Latvija </w:t>
      </w:r>
      <w:r w:rsidRPr="002907DF">
        <w:rPr>
          <w:rFonts w:eastAsia="Times New Roman" w:cs="Times New Roman"/>
          <w:lang w:val="lv-LV" w:eastAsia="lv-LV"/>
        </w:rPr>
        <w:t>sadalīta sešos statistiskajos reģionos</w:t>
      </w:r>
      <w:r w:rsidR="002907DF" w:rsidRPr="002907DF">
        <w:rPr>
          <w:rFonts w:eastAsia="Times New Roman" w:cs="Times New Roman"/>
          <w:lang w:val="lv-LV" w:eastAsia="lv-LV"/>
        </w:rPr>
        <w:t xml:space="preserve">, un tie ir: </w:t>
      </w:r>
      <w:r w:rsidR="002907DF" w:rsidRPr="002907DF">
        <w:rPr>
          <w:color w:val="000000" w:themeColor="text1"/>
          <w:lang w:val="lv-LV"/>
        </w:rPr>
        <w:t>Kurzemes statistiskais reģions, Latgales statistiskais reģions, Pierīgas statistiskais reģions, Rīgas statistiskais reģions, Vidzemes statistiskais reģions un Zemgales statistiskais reģions</w:t>
      </w:r>
      <w:r w:rsidR="002907DF" w:rsidRPr="00C27E58">
        <w:rPr>
          <w:rFonts w:eastAsia="Times New Roman" w:cs="Times New Roman"/>
          <w:lang w:val="lv-LV" w:eastAsia="lv-LV"/>
        </w:rPr>
        <w:t xml:space="preserve"> </w:t>
      </w:r>
      <w:r w:rsidRPr="00C27E58">
        <w:rPr>
          <w:rFonts w:eastAsia="Times New Roman" w:cs="Times New Roman"/>
          <w:lang w:val="lv-LV" w:eastAsia="lv-LV"/>
        </w:rPr>
        <w:t>(sk.</w:t>
      </w:r>
      <w:r w:rsidR="00235897">
        <w:rPr>
          <w:rFonts w:eastAsia="Times New Roman" w:cs="Times New Roman"/>
          <w:lang w:val="lv-LV" w:eastAsia="lv-LV"/>
        </w:rPr>
        <w:t> </w:t>
      </w:r>
      <w:r w:rsidRPr="00C27E58">
        <w:rPr>
          <w:rFonts w:eastAsia="Times New Roman" w:cs="Times New Roman"/>
          <w:lang w:val="lv-LV" w:eastAsia="lv-LV"/>
        </w:rPr>
        <w:t>attēlu</w:t>
      </w:r>
      <w:r w:rsidR="006D37A8">
        <w:rPr>
          <w:rFonts w:eastAsia="Times New Roman" w:cs="Times New Roman"/>
          <w:lang w:val="lv-LV" w:eastAsia="lv-LV"/>
        </w:rPr>
        <w:t xml:space="preserve"> Nr.</w:t>
      </w:r>
      <w:r w:rsidR="008B1BAF">
        <w:rPr>
          <w:rFonts w:eastAsia="Times New Roman" w:cs="Times New Roman"/>
          <w:lang w:val="lv-LV" w:eastAsia="lv-LV"/>
        </w:rPr>
        <w:t> </w:t>
      </w:r>
      <w:r w:rsidR="006D37A8">
        <w:rPr>
          <w:rFonts w:eastAsia="Times New Roman" w:cs="Times New Roman"/>
          <w:lang w:val="lv-LV" w:eastAsia="lv-LV"/>
        </w:rPr>
        <w:t>1</w:t>
      </w:r>
      <w:r w:rsidRPr="00C27E58">
        <w:rPr>
          <w:rFonts w:eastAsia="Times New Roman" w:cs="Times New Roman"/>
          <w:lang w:val="lv-LV" w:eastAsia="lv-LV"/>
        </w:rPr>
        <w:t>).</w:t>
      </w:r>
    </w:p>
    <w:p w14:paraId="2B416B0B" w14:textId="77777777" w:rsidR="00EF2741" w:rsidRPr="00C27E58" w:rsidRDefault="00EF2741" w:rsidP="000F10C1">
      <w:pPr>
        <w:spacing w:before="120"/>
        <w:ind w:firstLine="0"/>
        <w:jc w:val="center"/>
        <w:rPr>
          <w:rFonts w:eastAsia="Times New Roman" w:cs="Times New Roman"/>
          <w:szCs w:val="24"/>
          <w:lang w:val="lv-LV" w:eastAsia="lv-LV"/>
        </w:rPr>
      </w:pPr>
      <w:r w:rsidRPr="00C27E58">
        <w:rPr>
          <w:rFonts w:cs="Times New Roman"/>
          <w:noProof/>
          <w:lang w:val="lv-LV"/>
        </w:rPr>
        <w:drawing>
          <wp:inline distT="0" distB="0" distL="0" distR="0" wp14:anchorId="5C2B0B51" wp14:editId="40CCA983">
            <wp:extent cx="6018903" cy="3535680"/>
            <wp:effectExtent l="0" t="0" r="1270" b="7620"/>
            <wp:docPr id="3" name="Picture 1238189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189103"/>
                    <pic:cNvPicPr/>
                  </pic:nvPicPr>
                  <pic:blipFill>
                    <a:blip r:embed="rId8">
                      <a:extLst>
                        <a:ext uri="{28A0092B-C50C-407E-A947-70E740481C1C}">
                          <a14:useLocalDpi xmlns:a14="http://schemas.microsoft.com/office/drawing/2010/main" val="0"/>
                        </a:ext>
                      </a:extLst>
                    </a:blip>
                    <a:stretch>
                      <a:fillRect/>
                    </a:stretch>
                  </pic:blipFill>
                  <pic:spPr>
                    <a:xfrm>
                      <a:off x="0" y="0"/>
                      <a:ext cx="6018903" cy="3535680"/>
                    </a:xfrm>
                    <a:prstGeom prst="rect">
                      <a:avLst/>
                    </a:prstGeom>
                  </pic:spPr>
                </pic:pic>
              </a:graphicData>
            </a:graphic>
          </wp:inline>
        </w:drawing>
      </w:r>
    </w:p>
    <w:p w14:paraId="07B45D57" w14:textId="18FC820B" w:rsidR="00EF2741" w:rsidRPr="00C27E58" w:rsidRDefault="008A1ED0" w:rsidP="000F10C1">
      <w:pPr>
        <w:ind w:firstLine="0"/>
        <w:jc w:val="center"/>
        <w:rPr>
          <w:lang w:val="lv-LV"/>
        </w:rPr>
      </w:pPr>
      <w:r w:rsidRPr="00C27E58">
        <w:rPr>
          <w:lang w:val="lv-LV"/>
        </w:rPr>
        <w:t xml:space="preserve">Attēls Nr. 1. </w:t>
      </w:r>
      <w:r w:rsidR="00EF2741" w:rsidRPr="00C27E58">
        <w:rPr>
          <w:lang w:val="lv-LV"/>
        </w:rPr>
        <w:t xml:space="preserve">Esošais </w:t>
      </w:r>
      <w:r w:rsidR="00EF2741" w:rsidRPr="00027257">
        <w:rPr>
          <w:i/>
          <w:iCs/>
          <w:lang w:val="lv-LV"/>
        </w:rPr>
        <w:t>NUTS</w:t>
      </w:r>
      <w:r w:rsidR="00EF2741" w:rsidRPr="00C27E58">
        <w:rPr>
          <w:lang w:val="lv-LV"/>
        </w:rPr>
        <w:t xml:space="preserve"> 3 iedalījums</w:t>
      </w:r>
      <w:r w:rsidR="00A05F84" w:rsidRPr="00C27E58">
        <w:rPr>
          <w:lang w:val="lv-LV"/>
        </w:rPr>
        <w:t xml:space="preserve"> Latvijā</w:t>
      </w:r>
      <w:r w:rsidR="000F10C1" w:rsidRPr="00C27E58">
        <w:rPr>
          <w:lang w:val="lv-LV"/>
        </w:rPr>
        <w:t>.</w:t>
      </w:r>
    </w:p>
    <w:p w14:paraId="1C279C54" w14:textId="77777777" w:rsidR="006C6DAD" w:rsidRPr="00C27E58" w:rsidRDefault="006C6DAD" w:rsidP="006C6DAD">
      <w:pPr>
        <w:rPr>
          <w:lang w:val="lv-LV"/>
        </w:rPr>
      </w:pPr>
    </w:p>
    <w:p w14:paraId="2D6D8C01" w14:textId="51A3B8F7" w:rsidR="00EF2741" w:rsidRDefault="00EF2741" w:rsidP="006C6DAD">
      <w:pPr>
        <w:rPr>
          <w:lang w:val="lv-LV"/>
        </w:rPr>
      </w:pPr>
      <w:r w:rsidRPr="00C27E58">
        <w:rPr>
          <w:lang w:val="lv-LV"/>
        </w:rPr>
        <w:t xml:space="preserve">Latvijā seši statistiskie reģioni tika izveidoti, balstoties uz Eiropas Parlamenta un Padomes 2003. gada 26. maija Regulu (EK) Nr. </w:t>
      </w:r>
      <w:hyperlink r:id="rId9" w:tgtFrame="_blank">
        <w:r w:rsidRPr="00C27E58">
          <w:rPr>
            <w:rStyle w:val="Hyperlink"/>
            <w:rFonts w:cs="Times New Roman"/>
            <w:color w:val="auto"/>
            <w:u w:val="none"/>
            <w:lang w:val="lv-LV"/>
          </w:rPr>
          <w:t>1059/2003</w:t>
        </w:r>
      </w:hyperlink>
      <w:r w:rsidRPr="00C27E58">
        <w:rPr>
          <w:lang w:val="lv-LV"/>
        </w:rPr>
        <w:t xml:space="preserve"> par </w:t>
      </w:r>
      <w:r w:rsidRPr="00C27E58">
        <w:rPr>
          <w:i/>
          <w:iCs/>
          <w:lang w:val="lv-LV"/>
        </w:rPr>
        <w:t>NUTS</w:t>
      </w:r>
      <w:r w:rsidRPr="00C27E58">
        <w:rPr>
          <w:lang w:val="lv-LV"/>
        </w:rPr>
        <w:t xml:space="preserve"> izveidi (Parlamenta un Padomes regula Nr. </w:t>
      </w:r>
      <w:hyperlink r:id="rId10" w:tgtFrame="_blank">
        <w:r w:rsidRPr="00C27E58">
          <w:rPr>
            <w:rStyle w:val="Hyperlink"/>
            <w:rFonts w:cs="Times New Roman"/>
            <w:color w:val="auto"/>
            <w:u w:val="none"/>
            <w:lang w:val="lv-LV"/>
          </w:rPr>
          <w:t>1059/2003</w:t>
        </w:r>
      </w:hyperlink>
      <w:r w:rsidRPr="00C27E58">
        <w:rPr>
          <w:lang w:val="lv-LV"/>
        </w:rPr>
        <w:t>) un tajā ietvertajiem pamatprincipiem. Šī regula ir tieši attiecināma uz visām ES dalībvalstīm, un no 2004. gada 1. maija tā ir saistoša arī Latvijai. Šī hierarhiskā trīs līmeņu klasifikācija veidota, lai nodrošinātu teritoriālo vienību vienotu iedalījumu ES reģionālās statistikas mērķiem.</w:t>
      </w:r>
    </w:p>
    <w:p w14:paraId="642A7C9D" w14:textId="345E2CC2" w:rsidR="00B1750D" w:rsidRDefault="00866C59" w:rsidP="00B1750D">
      <w:pPr>
        <w:rPr>
          <w:szCs w:val="24"/>
          <w:lang w:val="lv-LV"/>
        </w:rPr>
      </w:pPr>
      <w:r>
        <w:rPr>
          <w:rFonts w:eastAsia="Times New Roman" w:cs="Times New Roman"/>
          <w:noProof/>
          <w:szCs w:val="24"/>
          <w:lang w:val="lv-LV" w:eastAsia="lv-LV"/>
        </w:rPr>
        <w:lastRenderedPageBreak/>
        <w:drawing>
          <wp:anchor distT="0" distB="0" distL="114300" distR="114300" simplePos="0" relativeHeight="251661312" behindDoc="0" locked="0" layoutInCell="1" allowOverlap="1" wp14:anchorId="4B8E7375" wp14:editId="186D7342">
            <wp:simplePos x="0" y="0"/>
            <wp:positionH relativeFrom="margin">
              <wp:align>center</wp:align>
            </wp:positionH>
            <wp:positionV relativeFrom="paragraph">
              <wp:posOffset>2000250</wp:posOffset>
            </wp:positionV>
            <wp:extent cx="5821680" cy="3420745"/>
            <wp:effectExtent l="0" t="0" r="7620" b="8255"/>
            <wp:wrapTopAndBottom/>
            <wp:docPr id="13" name="Picture 1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1680" cy="3420745"/>
                    </a:xfrm>
                    <a:prstGeom prst="rect">
                      <a:avLst/>
                    </a:prstGeom>
                  </pic:spPr>
                </pic:pic>
              </a:graphicData>
            </a:graphic>
            <wp14:sizeRelH relativeFrom="margin">
              <wp14:pctWidth>0</wp14:pctWidth>
            </wp14:sizeRelH>
            <wp14:sizeRelV relativeFrom="margin">
              <wp14:pctHeight>0</wp14:pctHeight>
            </wp14:sizeRelV>
          </wp:anchor>
        </w:drawing>
      </w:r>
      <w:r w:rsidR="00B1750D">
        <w:rPr>
          <w:color w:val="000000" w:themeColor="text1"/>
          <w:lang w:val="lv-LV"/>
        </w:rPr>
        <w:t>Vienlaikus</w:t>
      </w:r>
      <w:r w:rsidR="001F67A3">
        <w:rPr>
          <w:color w:val="000000" w:themeColor="text1"/>
          <w:lang w:val="lv-LV"/>
        </w:rPr>
        <w:t>,</w:t>
      </w:r>
      <w:r w:rsidR="00B1750D">
        <w:rPr>
          <w:color w:val="000000" w:themeColor="text1"/>
          <w:lang w:val="lv-LV"/>
        </w:rPr>
        <w:t xml:space="preserve"> s</w:t>
      </w:r>
      <w:r w:rsidR="00B1750D" w:rsidRPr="009813FA">
        <w:rPr>
          <w:color w:val="000000" w:themeColor="text1"/>
          <w:lang w:val="lv-LV"/>
        </w:rPr>
        <w:t xml:space="preserve">askaņā ar Reģionālās attīstības likuma 5. panta trešo daļu, Latvija ir sadalīta </w:t>
      </w:r>
      <w:r w:rsidR="007C218B">
        <w:rPr>
          <w:color w:val="000000" w:themeColor="text1"/>
          <w:lang w:val="lv-LV"/>
        </w:rPr>
        <w:t xml:space="preserve">arī </w:t>
      </w:r>
      <w:r w:rsidR="00B1750D" w:rsidRPr="009813FA">
        <w:rPr>
          <w:color w:val="000000" w:themeColor="text1"/>
          <w:lang w:val="lv-LV"/>
        </w:rPr>
        <w:t>piecos plānošanas reģionos, un tie ir: Kurzemes plānošanas reģions, Latgales plānošanas reģions, Rīgas plānošanas reģions, Vidzemes plānošanas reģions un Zemgales plānošanas reģions.</w:t>
      </w:r>
      <w:r w:rsidR="00B1750D">
        <w:rPr>
          <w:color w:val="000000" w:themeColor="text1"/>
          <w:lang w:val="lv-LV"/>
        </w:rPr>
        <w:t xml:space="preserve"> Ņ</w:t>
      </w:r>
      <w:r w:rsidR="00B1750D" w:rsidRPr="008A3559">
        <w:rPr>
          <w:color w:val="000000" w:themeColor="text1"/>
          <w:lang w:val="lv-LV"/>
        </w:rPr>
        <w:t>emot vērā arvien pieaugošās sociālekonomiskās un reģionālās attīstības atšķirības starp Latvijas reģioniem, t.sk. pašvaldībām, VARAM 2019.</w:t>
      </w:r>
      <w:r w:rsidR="00B1750D" w:rsidRPr="008A3559">
        <w:rPr>
          <w:rFonts w:hint="eastAsia"/>
          <w:color w:val="000000" w:themeColor="text1"/>
          <w:lang w:val="lv-LV"/>
        </w:rPr>
        <w:t> </w:t>
      </w:r>
      <w:r w:rsidR="00B1750D" w:rsidRPr="008A3559">
        <w:rPr>
          <w:color w:val="000000" w:themeColor="text1"/>
          <w:lang w:val="lv-LV"/>
        </w:rPr>
        <w:t>gadā uzsāka darbu pie administratīvi teritoriālās reformas (turpmāk – ATR), lai mazinātu šobrīd pastāvošo nevienlīdzību starp pašvaldībām.</w:t>
      </w:r>
      <w:r w:rsidR="00B1750D">
        <w:rPr>
          <w:color w:val="000000" w:themeColor="text1"/>
          <w:lang w:val="lv-LV"/>
        </w:rPr>
        <w:t xml:space="preserve"> Īstenojot </w:t>
      </w:r>
      <w:r w:rsidR="00B1750D" w:rsidRPr="00490123">
        <w:rPr>
          <w:color w:val="000000" w:themeColor="text1"/>
          <w:lang w:val="lv-LV"/>
        </w:rPr>
        <w:t>ATR</w:t>
      </w:r>
      <w:r w:rsidR="00B1750D">
        <w:rPr>
          <w:color w:val="000000" w:themeColor="text1"/>
          <w:lang w:val="lv-LV"/>
        </w:rPr>
        <w:t>,</w:t>
      </w:r>
      <w:r w:rsidR="00B1750D" w:rsidRPr="00490123">
        <w:rPr>
          <w:color w:val="000000" w:themeColor="text1"/>
          <w:lang w:val="lv-LV"/>
        </w:rPr>
        <w:t xml:space="preserve"> </w:t>
      </w:r>
      <w:r w:rsidR="00B1750D" w:rsidRPr="00C440B2">
        <w:rPr>
          <w:color w:val="000000" w:themeColor="text1"/>
          <w:lang w:val="lv-LV"/>
        </w:rPr>
        <w:t xml:space="preserve">no 2021. gada 1. jūlija Latvijā esošo 119 pašvaldību vietā </w:t>
      </w:r>
      <w:r w:rsidR="00B1750D">
        <w:rPr>
          <w:color w:val="000000" w:themeColor="text1"/>
          <w:lang w:val="lv-LV"/>
        </w:rPr>
        <w:t>ir</w:t>
      </w:r>
      <w:r w:rsidR="00B1750D" w:rsidRPr="00C440B2">
        <w:rPr>
          <w:color w:val="000000" w:themeColor="text1"/>
          <w:lang w:val="lv-LV"/>
        </w:rPr>
        <w:t xml:space="preserve"> </w:t>
      </w:r>
      <w:r w:rsidR="00B1750D">
        <w:rPr>
          <w:color w:val="000000" w:themeColor="text1"/>
          <w:lang w:val="lv-LV"/>
        </w:rPr>
        <w:t xml:space="preserve">izveidotas </w:t>
      </w:r>
      <w:r w:rsidR="00B1750D" w:rsidRPr="00C440B2">
        <w:rPr>
          <w:color w:val="000000" w:themeColor="text1"/>
          <w:lang w:val="lv-LV"/>
        </w:rPr>
        <w:t>43 pašvaldības</w:t>
      </w:r>
      <w:r w:rsidR="00B1750D">
        <w:rPr>
          <w:color w:val="000000" w:themeColor="text1"/>
          <w:lang w:val="lv-LV"/>
        </w:rPr>
        <w:t>, un a</w:t>
      </w:r>
      <w:r w:rsidR="00B1750D" w:rsidRPr="00C440B2">
        <w:rPr>
          <w:color w:val="000000" w:themeColor="text1"/>
          <w:lang w:val="lv-LV"/>
        </w:rPr>
        <w:t>tbilstoši izmaiņām pašvaldību administratīvajās teritorijās ir precizētas arī plānošanas reģionu teritorijas</w:t>
      </w:r>
      <w:r w:rsidR="00B1750D">
        <w:rPr>
          <w:color w:val="000000" w:themeColor="text1"/>
          <w:lang w:val="lv-LV"/>
        </w:rPr>
        <w:t xml:space="preserve">. Jaunās plānošanas reģionu teritorijas noteiktas </w:t>
      </w:r>
      <w:r w:rsidR="00B1750D" w:rsidRPr="00F72964">
        <w:rPr>
          <w:szCs w:val="24"/>
          <w:lang w:val="lv-LV"/>
        </w:rPr>
        <w:t xml:space="preserve">Ministru kabineta </w:t>
      </w:r>
      <w:r w:rsidR="00B1750D">
        <w:rPr>
          <w:szCs w:val="24"/>
          <w:lang w:val="lv-LV"/>
        </w:rPr>
        <w:t xml:space="preserve">2021. gada 22. jūnija </w:t>
      </w:r>
      <w:r w:rsidR="00B1750D" w:rsidRPr="00F72964">
        <w:rPr>
          <w:szCs w:val="24"/>
          <w:lang w:val="lv-LV"/>
        </w:rPr>
        <w:t>noteikum</w:t>
      </w:r>
      <w:r w:rsidR="00B1750D">
        <w:rPr>
          <w:szCs w:val="24"/>
          <w:lang w:val="lv-LV"/>
        </w:rPr>
        <w:t xml:space="preserve">os </w:t>
      </w:r>
      <w:r w:rsidR="00B1750D" w:rsidRPr="00F72964">
        <w:rPr>
          <w:szCs w:val="24"/>
          <w:lang w:val="lv-LV"/>
        </w:rPr>
        <w:t>Nr. 418 “Noteikumi par plānošanas reģionu teritorijām</w:t>
      </w:r>
      <w:r w:rsidR="00B1750D">
        <w:rPr>
          <w:szCs w:val="24"/>
          <w:lang w:val="lv-LV"/>
        </w:rPr>
        <w:t xml:space="preserve">” </w:t>
      </w:r>
      <w:r w:rsidR="0078283D">
        <w:rPr>
          <w:szCs w:val="24"/>
          <w:lang w:val="lv-LV"/>
        </w:rPr>
        <w:t xml:space="preserve">(turpmāk – MK noteikumi Nr. 418) </w:t>
      </w:r>
      <w:r w:rsidR="00B1750D">
        <w:rPr>
          <w:szCs w:val="24"/>
          <w:lang w:val="lv-LV"/>
        </w:rPr>
        <w:t>(sk. attēlu Nr. 2)</w:t>
      </w:r>
      <w:r w:rsidR="00B1750D" w:rsidRPr="00F72964">
        <w:rPr>
          <w:szCs w:val="24"/>
          <w:lang w:val="lv-LV"/>
        </w:rPr>
        <w:t>.</w:t>
      </w:r>
    </w:p>
    <w:p w14:paraId="4CFB8740" w14:textId="77777777" w:rsidR="00B1750D" w:rsidRPr="00C27E58" w:rsidRDefault="00B1750D" w:rsidP="00B1750D">
      <w:pPr>
        <w:ind w:firstLine="0"/>
        <w:jc w:val="center"/>
        <w:rPr>
          <w:lang w:val="lv-LV"/>
        </w:rPr>
      </w:pPr>
      <w:r w:rsidRPr="00C27E58">
        <w:rPr>
          <w:lang w:val="lv-LV"/>
        </w:rPr>
        <w:t>Attēls Nr. </w:t>
      </w:r>
      <w:r>
        <w:rPr>
          <w:lang w:val="lv-LV"/>
        </w:rPr>
        <w:t>2</w:t>
      </w:r>
      <w:r w:rsidRPr="00C27E58">
        <w:rPr>
          <w:lang w:val="lv-LV"/>
        </w:rPr>
        <w:t xml:space="preserve">. </w:t>
      </w:r>
      <w:r>
        <w:rPr>
          <w:lang w:val="lv-LV"/>
        </w:rPr>
        <w:t>Jaunās plānošanas reģionu robežas, kas stājās spēkā 2021. gada 1. jūlijā</w:t>
      </w:r>
      <w:r w:rsidRPr="00C27E58">
        <w:rPr>
          <w:lang w:val="lv-LV"/>
        </w:rPr>
        <w:t>.</w:t>
      </w:r>
    </w:p>
    <w:p w14:paraId="68807186" w14:textId="77777777" w:rsidR="00B1750D" w:rsidRPr="00F72964" w:rsidRDefault="00B1750D" w:rsidP="00B1750D">
      <w:pPr>
        <w:rPr>
          <w:color w:val="000000" w:themeColor="text1"/>
          <w:lang w:val="lv-LV"/>
        </w:rPr>
      </w:pPr>
    </w:p>
    <w:p w14:paraId="22900244" w14:textId="4AA5E8EF" w:rsidR="00B1750D" w:rsidRDefault="00267A71" w:rsidP="009F234E">
      <w:pPr>
        <w:rPr>
          <w:color w:val="000000" w:themeColor="text1"/>
          <w:lang w:val="lv-LV"/>
        </w:rPr>
      </w:pPr>
      <w:r>
        <w:rPr>
          <w:szCs w:val="24"/>
          <w:lang w:val="lv-LV"/>
        </w:rPr>
        <w:t>MK noteikumi Nr. 418</w:t>
      </w:r>
      <w:r w:rsidR="009F234E">
        <w:rPr>
          <w:color w:val="000000" w:themeColor="text1"/>
          <w:lang w:val="lv-LV"/>
        </w:rPr>
        <w:t xml:space="preserve">, kas stājās spēkā </w:t>
      </w:r>
      <w:r w:rsidR="00B1750D" w:rsidRPr="00DF1A6F">
        <w:rPr>
          <w:color w:val="000000" w:themeColor="text1"/>
          <w:lang w:val="lv-LV"/>
        </w:rPr>
        <w:t>2021. gada 1. jūlij</w:t>
      </w:r>
      <w:r w:rsidR="009F234E">
        <w:rPr>
          <w:color w:val="000000" w:themeColor="text1"/>
          <w:lang w:val="lv-LV"/>
        </w:rPr>
        <w:t>ā</w:t>
      </w:r>
      <w:r>
        <w:rPr>
          <w:color w:val="000000" w:themeColor="text1"/>
          <w:lang w:val="lv-LV"/>
        </w:rPr>
        <w:t xml:space="preserve">, nosaka, ka </w:t>
      </w:r>
      <w:r w:rsidR="00B1750D" w:rsidRPr="00DF1A6F">
        <w:rPr>
          <w:color w:val="000000" w:themeColor="text1"/>
          <w:lang w:val="lv-LV"/>
        </w:rPr>
        <w:t xml:space="preserve">daļa no Rīgas plānošanas reģionā ietilpstošajām pašvaldību teritorijām </w:t>
      </w:r>
      <w:r w:rsidR="00B1750D">
        <w:rPr>
          <w:color w:val="000000" w:themeColor="text1"/>
          <w:lang w:val="lv-LV"/>
        </w:rPr>
        <w:t>ir</w:t>
      </w:r>
      <w:r w:rsidR="00B1750D" w:rsidRPr="00DF1A6F">
        <w:rPr>
          <w:color w:val="000000" w:themeColor="text1"/>
          <w:lang w:val="lv-LV"/>
        </w:rPr>
        <w:t xml:space="preserve"> iekļautas Kurzemes plānošanas reģionā </w:t>
      </w:r>
      <w:r w:rsidR="00B1750D">
        <w:rPr>
          <w:color w:val="000000" w:themeColor="text1"/>
          <w:lang w:val="lv-LV"/>
        </w:rPr>
        <w:t xml:space="preserve">(Tukuma novads) </w:t>
      </w:r>
      <w:r w:rsidR="00B1750D" w:rsidRPr="00DF1A6F">
        <w:rPr>
          <w:color w:val="000000" w:themeColor="text1"/>
          <w:lang w:val="lv-LV"/>
        </w:rPr>
        <w:t>un Vidzemes plānošanas reģionā</w:t>
      </w:r>
      <w:r w:rsidR="00B1750D">
        <w:rPr>
          <w:color w:val="000000" w:themeColor="text1"/>
          <w:lang w:val="lv-LV"/>
        </w:rPr>
        <w:t xml:space="preserve"> (Limbažu novads, Saulkrastu novads un Ogres novads)</w:t>
      </w:r>
      <w:r w:rsidR="009F234E">
        <w:rPr>
          <w:color w:val="000000" w:themeColor="text1"/>
          <w:lang w:val="lv-LV"/>
        </w:rPr>
        <w:t>, s</w:t>
      </w:r>
      <w:r w:rsidR="00B1750D">
        <w:rPr>
          <w:color w:val="000000" w:themeColor="text1"/>
          <w:lang w:val="lv-LV"/>
        </w:rPr>
        <w:t xml:space="preserve">avukārt </w:t>
      </w:r>
      <w:r w:rsidR="00B1750D" w:rsidRPr="00DF1A6F">
        <w:rPr>
          <w:color w:val="000000" w:themeColor="text1"/>
          <w:lang w:val="lv-LV"/>
        </w:rPr>
        <w:t xml:space="preserve">Rīgas plānošanas reģionā </w:t>
      </w:r>
      <w:r w:rsidR="00B1750D">
        <w:rPr>
          <w:color w:val="000000" w:themeColor="text1"/>
          <w:lang w:val="lv-LV"/>
        </w:rPr>
        <w:t>ir</w:t>
      </w:r>
      <w:r w:rsidR="00B1750D" w:rsidRPr="00DF1A6F">
        <w:rPr>
          <w:color w:val="000000" w:themeColor="text1"/>
          <w:lang w:val="lv-LV"/>
        </w:rPr>
        <w:t xml:space="preserve"> iekļautas Rīgas pilsēta un tai piegulošo pašvaldību administratīvās teritorijas</w:t>
      </w:r>
      <w:r w:rsidR="00B1750D" w:rsidRPr="00452431">
        <w:rPr>
          <w:color w:val="000000" w:themeColor="text1"/>
          <w:lang w:val="lv-LV"/>
        </w:rPr>
        <w:t>, kas pilnībā atrodas tiešā Rīgas sociālekonomiskās ietekmes teritorijā</w:t>
      </w:r>
      <w:r w:rsidR="00B1750D">
        <w:rPr>
          <w:color w:val="000000" w:themeColor="text1"/>
          <w:lang w:val="lv-LV"/>
        </w:rPr>
        <w:t xml:space="preserve"> (</w:t>
      </w:r>
      <w:r w:rsidR="00B1750D" w:rsidRPr="00A92759">
        <w:rPr>
          <w:color w:val="000000" w:themeColor="text1"/>
          <w:lang w:val="lv-LV"/>
        </w:rPr>
        <w:t>Jūrmala, Mārupes novad</w:t>
      </w:r>
      <w:r w:rsidR="00B1750D">
        <w:rPr>
          <w:color w:val="000000" w:themeColor="text1"/>
          <w:lang w:val="lv-LV"/>
        </w:rPr>
        <w:t>s</w:t>
      </w:r>
      <w:r w:rsidR="00B1750D" w:rsidRPr="00A92759">
        <w:rPr>
          <w:color w:val="000000" w:themeColor="text1"/>
          <w:lang w:val="lv-LV"/>
        </w:rPr>
        <w:t>, Olaines novad</w:t>
      </w:r>
      <w:r w:rsidR="00B1750D">
        <w:rPr>
          <w:color w:val="000000" w:themeColor="text1"/>
          <w:lang w:val="lv-LV"/>
        </w:rPr>
        <w:t>s</w:t>
      </w:r>
      <w:r w:rsidR="00B1750D" w:rsidRPr="00A92759">
        <w:rPr>
          <w:color w:val="000000" w:themeColor="text1"/>
          <w:lang w:val="lv-LV"/>
        </w:rPr>
        <w:t>, Ķekavas novad</w:t>
      </w:r>
      <w:r w:rsidR="00B1750D">
        <w:rPr>
          <w:color w:val="000000" w:themeColor="text1"/>
          <w:lang w:val="lv-LV"/>
        </w:rPr>
        <w:t>s</w:t>
      </w:r>
      <w:r w:rsidR="00B1750D" w:rsidRPr="00A92759">
        <w:rPr>
          <w:color w:val="000000" w:themeColor="text1"/>
          <w:lang w:val="lv-LV"/>
        </w:rPr>
        <w:t>, Salaspils novad</w:t>
      </w:r>
      <w:r w:rsidR="00B1750D">
        <w:rPr>
          <w:color w:val="000000" w:themeColor="text1"/>
          <w:lang w:val="lv-LV"/>
        </w:rPr>
        <w:t>s, Siguldas novads</w:t>
      </w:r>
      <w:r w:rsidR="00B1750D" w:rsidRPr="00A92759">
        <w:rPr>
          <w:color w:val="000000" w:themeColor="text1"/>
          <w:lang w:val="lv-LV"/>
        </w:rPr>
        <w:t>, Ropažu novad</w:t>
      </w:r>
      <w:r w:rsidR="00B1750D">
        <w:rPr>
          <w:color w:val="000000" w:themeColor="text1"/>
          <w:lang w:val="lv-LV"/>
        </w:rPr>
        <w:t>s</w:t>
      </w:r>
      <w:r w:rsidR="00B1750D" w:rsidRPr="00A92759">
        <w:rPr>
          <w:color w:val="000000" w:themeColor="text1"/>
          <w:lang w:val="lv-LV"/>
        </w:rPr>
        <w:t xml:space="preserve"> un Ādažu novad</w:t>
      </w:r>
      <w:r w:rsidR="00B1750D">
        <w:rPr>
          <w:color w:val="000000" w:themeColor="text1"/>
          <w:lang w:val="lv-LV"/>
        </w:rPr>
        <w:t>s). Zemgales plānošanas reģiona un Latgales plānošanas reģiona robežas nemainās.</w:t>
      </w:r>
    </w:p>
    <w:p w14:paraId="1E7E8819" w14:textId="77777777" w:rsidR="000C5347" w:rsidRPr="00C27E58" w:rsidRDefault="000C5347" w:rsidP="006C6DAD">
      <w:pPr>
        <w:rPr>
          <w:lang w:val="lv-LV"/>
        </w:rPr>
      </w:pPr>
    </w:p>
    <w:p w14:paraId="573601B9" w14:textId="06956A09" w:rsidR="00EF2741" w:rsidRPr="00C27E58" w:rsidRDefault="00EF2741" w:rsidP="00C866C7">
      <w:pPr>
        <w:pStyle w:val="Heading1"/>
      </w:pPr>
      <w:r w:rsidRPr="00C27E58">
        <w:rPr>
          <w:i/>
          <w:iCs/>
        </w:rPr>
        <w:t>NUTS</w:t>
      </w:r>
      <w:r w:rsidRPr="00C27E58">
        <w:t xml:space="preserve"> </w:t>
      </w:r>
      <w:r w:rsidR="00267A71">
        <w:t xml:space="preserve">klasifikācija </w:t>
      </w:r>
      <w:r w:rsidRPr="00C27E58">
        <w:t>un ES fondi</w:t>
      </w:r>
    </w:p>
    <w:p w14:paraId="6C0C726C" w14:textId="77777777" w:rsidR="006C6DAD" w:rsidRPr="00C27E58" w:rsidRDefault="006C6DAD" w:rsidP="006C6DAD">
      <w:pPr>
        <w:rPr>
          <w:i/>
          <w:iCs/>
          <w:lang w:val="lv-LV"/>
        </w:rPr>
      </w:pPr>
    </w:p>
    <w:p w14:paraId="4DED0207" w14:textId="2B580D8C" w:rsidR="00EF2741" w:rsidRPr="00C27E58" w:rsidRDefault="00EF2741" w:rsidP="006C6DAD">
      <w:pPr>
        <w:rPr>
          <w:lang w:val="lv-LV"/>
        </w:rPr>
      </w:pPr>
      <w:r w:rsidRPr="00C27E58">
        <w:rPr>
          <w:i/>
          <w:iCs/>
          <w:lang w:val="lv-LV"/>
        </w:rPr>
        <w:t>NUTS</w:t>
      </w:r>
      <w:r w:rsidRPr="00C27E58">
        <w:rPr>
          <w:lang w:val="lv-LV"/>
        </w:rPr>
        <w:t xml:space="preserve"> klasifikācija ir nozīmīga arī ES fondu plānošanā, jo </w:t>
      </w:r>
      <w:r w:rsidRPr="00C27E58">
        <w:rPr>
          <w:i/>
          <w:iCs/>
          <w:lang w:val="lv-LV"/>
        </w:rPr>
        <w:t>NUTS</w:t>
      </w:r>
      <w:r w:rsidRPr="00C27E58">
        <w:rPr>
          <w:lang w:val="lv-LV"/>
        </w:rPr>
        <w:t xml:space="preserve"> nomenklatūra tiek izmantota ES reģionālās politikas strukturēšanā, nosakot reģionus, kas kvalificējas ES struktūrfondu atbalstam. Saskaņā ar Eiropas Parlamenta un Padomes regulas Nr.1303/2013 (2013. gada 17. decembris) 90. panta 2. punktu resursus mērķim “Investīcijas izaugsmei un nodarbinātībai” ES fondu 2014.–2020. gada plānošanas periodā piešķir par šādām </w:t>
      </w:r>
      <w:r w:rsidRPr="00C27E58">
        <w:rPr>
          <w:i/>
          <w:iCs/>
          <w:lang w:val="lv-LV"/>
        </w:rPr>
        <w:t>NUTS</w:t>
      </w:r>
      <w:r w:rsidRPr="00C27E58">
        <w:rPr>
          <w:lang w:val="lv-LV"/>
        </w:rPr>
        <w:t xml:space="preserve"> 2 līmeņa reģionu kategorijām:</w:t>
      </w:r>
    </w:p>
    <w:p w14:paraId="405CF43D" w14:textId="77777777" w:rsidR="00A01067" w:rsidRPr="00C27E58" w:rsidRDefault="00EF2741" w:rsidP="00A01067">
      <w:pPr>
        <w:pStyle w:val="ListParagraph"/>
        <w:numPr>
          <w:ilvl w:val="0"/>
          <w:numId w:val="12"/>
        </w:numPr>
        <w:spacing w:after="0"/>
        <w:ind w:left="1434" w:hanging="357"/>
        <w:rPr>
          <w:lang w:val="lv-LV"/>
        </w:rPr>
      </w:pPr>
      <w:r w:rsidRPr="00C27E58">
        <w:rPr>
          <w:i/>
          <w:lang w:val="lv-LV"/>
        </w:rPr>
        <w:t>mazāk attīstīti reģioni</w:t>
      </w:r>
      <w:r w:rsidRPr="00C27E58">
        <w:rPr>
          <w:lang w:val="lv-LV"/>
        </w:rPr>
        <w:t>, kuros IKP uz vienu iedzīvotāju ir mazāks nekā 75% no vidējā IKP ES–27 valstīs;</w:t>
      </w:r>
    </w:p>
    <w:p w14:paraId="2CC998F3" w14:textId="77777777" w:rsidR="00A01067" w:rsidRPr="00C27E58" w:rsidRDefault="00EF2741" w:rsidP="00A01067">
      <w:pPr>
        <w:pStyle w:val="ListParagraph"/>
        <w:numPr>
          <w:ilvl w:val="0"/>
          <w:numId w:val="12"/>
        </w:numPr>
        <w:spacing w:after="0"/>
        <w:ind w:left="1434" w:hanging="357"/>
        <w:rPr>
          <w:lang w:val="lv-LV"/>
        </w:rPr>
      </w:pPr>
      <w:r w:rsidRPr="00C27E58">
        <w:rPr>
          <w:rFonts w:cs="Times New Roman"/>
          <w:i/>
          <w:lang w:val="lv-LV"/>
        </w:rPr>
        <w:lastRenderedPageBreak/>
        <w:t>pārejas reģioni</w:t>
      </w:r>
      <w:r w:rsidRPr="00C27E58">
        <w:rPr>
          <w:rFonts w:cs="Times New Roman"/>
          <w:lang w:val="lv-LV"/>
        </w:rPr>
        <w:t>, kuros IKP uz vienu iedzīvotāju ir no 75% līdz 90% no vidējā IKP ES–27 valstīs;</w:t>
      </w:r>
    </w:p>
    <w:p w14:paraId="49A981C6" w14:textId="0E45F4B6" w:rsidR="00660B17" w:rsidRPr="00C27E58" w:rsidRDefault="00EF2741" w:rsidP="00A01067">
      <w:pPr>
        <w:pStyle w:val="ListParagraph"/>
        <w:numPr>
          <w:ilvl w:val="0"/>
          <w:numId w:val="12"/>
        </w:numPr>
        <w:spacing w:after="0"/>
        <w:ind w:left="1434" w:hanging="357"/>
        <w:rPr>
          <w:lang w:val="lv-LV"/>
        </w:rPr>
      </w:pPr>
      <w:r w:rsidRPr="00C27E58">
        <w:rPr>
          <w:rFonts w:cs="Times New Roman"/>
          <w:i/>
          <w:lang w:val="lv-LV"/>
        </w:rPr>
        <w:t>vairāk attīstīti reģioni</w:t>
      </w:r>
      <w:r w:rsidRPr="00C27E58">
        <w:rPr>
          <w:rFonts w:cs="Times New Roman"/>
          <w:lang w:val="lv-LV"/>
        </w:rPr>
        <w:t>, kuros IKP uz vienu iedzīvotāju ir augstāks nekā 90% no vidējā IKP ES–27 valstīs.</w:t>
      </w:r>
    </w:p>
    <w:p w14:paraId="0B79FA62" w14:textId="77777777" w:rsidR="009E6DB0" w:rsidRPr="00C27E58" w:rsidRDefault="00EF2741" w:rsidP="009E6DB0">
      <w:pPr>
        <w:rPr>
          <w:rFonts w:cs="Times New Roman"/>
          <w:lang w:val="lv-LV"/>
        </w:rPr>
      </w:pPr>
      <w:r w:rsidRPr="00C27E58">
        <w:rPr>
          <w:rFonts w:cs="Times New Roman"/>
          <w:lang w:val="lv-LV"/>
        </w:rPr>
        <w:t xml:space="preserve">Savukārt ES fondu 2021.–2027. gada plānošanas periodā ES fondu atbalstu paredzēts piešķirt par šādām </w:t>
      </w:r>
      <w:r w:rsidRPr="00C27E58">
        <w:rPr>
          <w:rFonts w:cs="Times New Roman"/>
          <w:i/>
          <w:iCs/>
          <w:lang w:val="lv-LV"/>
        </w:rPr>
        <w:t>NUTS</w:t>
      </w:r>
      <w:r w:rsidRPr="00C27E58">
        <w:rPr>
          <w:rFonts w:cs="Times New Roman"/>
          <w:lang w:val="lv-LV"/>
        </w:rPr>
        <w:t xml:space="preserve"> 2 līmeņa reģionu kategorijām:</w:t>
      </w:r>
    </w:p>
    <w:p w14:paraId="12E3458E" w14:textId="77777777" w:rsidR="009E6DB0" w:rsidRPr="00C27E58" w:rsidRDefault="00EF2741" w:rsidP="009E6DB0">
      <w:pPr>
        <w:pStyle w:val="ListParagraph"/>
        <w:numPr>
          <w:ilvl w:val="0"/>
          <w:numId w:val="13"/>
        </w:numPr>
        <w:spacing w:after="0"/>
        <w:ind w:left="1434" w:hanging="357"/>
        <w:rPr>
          <w:rFonts w:cs="Times New Roman"/>
          <w:lang w:val="lv-LV"/>
        </w:rPr>
      </w:pPr>
      <w:r w:rsidRPr="00C27E58">
        <w:rPr>
          <w:rFonts w:cs="Times New Roman"/>
          <w:i/>
          <w:lang w:val="lv-LV"/>
        </w:rPr>
        <w:t>mazāk attīstīti reģioni</w:t>
      </w:r>
      <w:r w:rsidRPr="00C27E58">
        <w:rPr>
          <w:rFonts w:cs="Times New Roman"/>
          <w:lang w:val="lv-LV"/>
        </w:rPr>
        <w:t>, kuros IKP uz vienu iedzīvotāju ir mazāks nekā 75% no vidējā IKP ES–27 valstīs;</w:t>
      </w:r>
    </w:p>
    <w:p w14:paraId="30659FE4" w14:textId="77777777" w:rsidR="009E6DB0" w:rsidRPr="00C27E58" w:rsidRDefault="00EF2741" w:rsidP="009E6DB0">
      <w:pPr>
        <w:pStyle w:val="ListParagraph"/>
        <w:numPr>
          <w:ilvl w:val="0"/>
          <w:numId w:val="13"/>
        </w:numPr>
        <w:spacing w:after="0"/>
        <w:ind w:left="1434" w:hanging="357"/>
        <w:rPr>
          <w:iCs/>
          <w:lang w:val="lv-LV"/>
        </w:rPr>
      </w:pPr>
      <w:r w:rsidRPr="00C27E58">
        <w:rPr>
          <w:rFonts w:cs="Times New Roman"/>
          <w:i/>
          <w:lang w:val="lv-LV"/>
        </w:rPr>
        <w:t>pārejas reģioni</w:t>
      </w:r>
      <w:r w:rsidRPr="00C27E58">
        <w:rPr>
          <w:rFonts w:cs="Times New Roman"/>
          <w:lang w:val="lv-LV"/>
        </w:rPr>
        <w:t>, kuros IKP uz vienu iedzīvotāju ir no 75% līdz 100% no vidējā IKP ES–27 valstīs;</w:t>
      </w:r>
    </w:p>
    <w:p w14:paraId="1B6EF9B3" w14:textId="037B6886" w:rsidR="00EF2741" w:rsidRPr="00C27E58" w:rsidRDefault="00EF2741" w:rsidP="009E6DB0">
      <w:pPr>
        <w:pStyle w:val="ListParagraph"/>
        <w:numPr>
          <w:ilvl w:val="0"/>
          <w:numId w:val="13"/>
        </w:numPr>
        <w:spacing w:after="0"/>
        <w:ind w:left="1434" w:hanging="357"/>
        <w:rPr>
          <w:iCs/>
          <w:lang w:val="lv-LV"/>
        </w:rPr>
      </w:pPr>
      <w:r w:rsidRPr="00C27E58">
        <w:rPr>
          <w:rFonts w:cs="Times New Roman"/>
          <w:i/>
          <w:lang w:val="lv-LV"/>
        </w:rPr>
        <w:t>vairāk attīstīti reģioni</w:t>
      </w:r>
      <w:r w:rsidRPr="00C27E58">
        <w:rPr>
          <w:rFonts w:cs="Times New Roman"/>
          <w:lang w:val="lv-LV"/>
        </w:rPr>
        <w:t>, kuros IKP uz vienu iedzīvotāju ir augstāks nekā 100% no vidējā IKP ES–27 valstīs.</w:t>
      </w:r>
      <w:r w:rsidRPr="00C27E58">
        <w:rPr>
          <w:rStyle w:val="FootnoteReference"/>
          <w:rFonts w:cs="Times New Roman"/>
          <w:lang w:val="lv-LV"/>
        </w:rPr>
        <w:footnoteReference w:id="4"/>
      </w:r>
    </w:p>
    <w:p w14:paraId="5BC30488" w14:textId="77777777" w:rsidR="00FB7DDD" w:rsidRPr="00C27E58" w:rsidRDefault="00EF2741" w:rsidP="00FB7DDD">
      <w:pPr>
        <w:rPr>
          <w:lang w:val="lv-LV"/>
        </w:rPr>
      </w:pPr>
      <w:r w:rsidRPr="00C27E58">
        <w:rPr>
          <w:lang w:val="lv-LV"/>
        </w:rPr>
        <w:t xml:space="preserve">ES fondu 2014.–2020. gada plānošanas periodā, kā arī ES fondu 2021.–2027. gada plānošanas periodā visa Latvijas teritorija tiek skatīta kā viens </w:t>
      </w:r>
      <w:r w:rsidRPr="00C27E58">
        <w:rPr>
          <w:i/>
          <w:iCs/>
          <w:lang w:val="lv-LV"/>
        </w:rPr>
        <w:t>NUTS</w:t>
      </w:r>
      <w:r w:rsidRPr="00C27E58">
        <w:rPr>
          <w:lang w:val="lv-LV"/>
        </w:rPr>
        <w:t xml:space="preserve"> 2 reģions, kas kvalificējas </w:t>
      </w:r>
      <w:r w:rsidRPr="00C27E58">
        <w:rPr>
          <w:i/>
          <w:iCs/>
          <w:lang w:val="lv-LV"/>
        </w:rPr>
        <w:t>mazāk attīstīta reģiona</w:t>
      </w:r>
      <w:r w:rsidRPr="00C27E58">
        <w:rPr>
          <w:lang w:val="lv-LV"/>
        </w:rPr>
        <w:t xml:space="preserve"> statusam un līdz ar to Latvijai ir pieejama maksimālā atbalsta likme ES fondos. Saskaņā ar </w:t>
      </w:r>
      <w:proofErr w:type="spellStart"/>
      <w:r w:rsidRPr="00C27E58">
        <w:rPr>
          <w:i/>
          <w:iCs/>
          <w:lang w:val="lv-LV"/>
        </w:rPr>
        <w:t>Eurostat</w:t>
      </w:r>
      <w:proofErr w:type="spellEnd"/>
      <w:r w:rsidRPr="00C27E58">
        <w:rPr>
          <w:lang w:val="lv-LV"/>
        </w:rPr>
        <w:t xml:space="preserve"> datiem, 2019. gada Latvijas IKP uz vienu iedzīvotāju veidoja 69% no ES–27 valstu vidējā rādītāja; salīdzinoši – 2010. gadā tas bija 53%. </w:t>
      </w:r>
      <w:r w:rsidRPr="00C27E58">
        <w:rPr>
          <w:b/>
          <w:bCs/>
          <w:lang w:val="lv-LV"/>
        </w:rPr>
        <w:t>Latvijas Nacionālajā attīstības plānā 2021. –2027. gadam tiek prognozēts, ka jau 2024. gadā Latvijas IKP uz vienu iedzīvotāju varētu sasniegt 75% no ES–27 vidējās vērtības</w:t>
      </w:r>
      <w:r w:rsidRPr="00C27E58">
        <w:rPr>
          <w:rStyle w:val="FootnoteAnchor"/>
          <w:rFonts w:cs="Times New Roman"/>
          <w:b/>
          <w:bCs/>
          <w:lang w:val="lv-LV"/>
        </w:rPr>
        <w:footnoteReference w:id="5"/>
      </w:r>
      <w:r w:rsidRPr="00C27E58">
        <w:rPr>
          <w:lang w:val="lv-LV"/>
        </w:rPr>
        <w:t>. Neskatoties uz Covid-19 izplatības radīto negatīvo ietekmi uz pasaules tautsaimniecību, kā rezultātā ne tikai Latvijai, bet arī citām ES dalībvalstīm tuvāko gadu laikā tiek prognozētas būtiskas IKP izmaiņas, Eiropas Komisijas jaunākās prognozes paredz Latvijai salīdzinoši straujāku IKP uz vienu iedzīvotāju pieaugumu nekā vidēji ES.</w:t>
      </w:r>
      <w:r w:rsidRPr="00C27E58">
        <w:rPr>
          <w:rStyle w:val="FootnoteAnchor"/>
          <w:rFonts w:cs="Times New Roman"/>
          <w:lang w:val="lv-LV"/>
        </w:rPr>
        <w:footnoteReference w:id="6"/>
      </w:r>
    </w:p>
    <w:p w14:paraId="16DD43F3" w14:textId="6391B84F" w:rsidR="00EF2741" w:rsidRPr="00C27E58" w:rsidRDefault="00EF2741" w:rsidP="00FB7DDD">
      <w:pPr>
        <w:rPr>
          <w:lang w:val="lv-LV"/>
        </w:rPr>
      </w:pPr>
      <w:r w:rsidRPr="00C27E58">
        <w:rPr>
          <w:rFonts w:cs="Times New Roman"/>
          <w:lang w:val="lv-LV"/>
        </w:rPr>
        <w:t>Šāda attīstības scenārija gadījumā Latvijas IKP uz vienu iedzīvotāju jau tuvākajos gados sasniegs 75% no ES–27 vidējās vērtības un Latvija</w:t>
      </w:r>
      <w:r w:rsidR="00FB7DDD" w:rsidRPr="00C27E58">
        <w:rPr>
          <w:rFonts w:cs="Times New Roman"/>
          <w:lang w:val="lv-LV"/>
        </w:rPr>
        <w:t>,</w:t>
      </w:r>
      <w:r w:rsidRPr="00C27E58">
        <w:rPr>
          <w:rFonts w:cs="Times New Roman"/>
          <w:lang w:val="lv-LV"/>
        </w:rPr>
        <w:t xml:space="preserve"> kā viens līdzšinējais </w:t>
      </w:r>
      <w:r w:rsidRPr="00C27E58">
        <w:rPr>
          <w:rFonts w:cs="Times New Roman"/>
          <w:i/>
          <w:iCs/>
          <w:lang w:val="lv-LV"/>
        </w:rPr>
        <w:t>NUTS</w:t>
      </w:r>
      <w:r w:rsidRPr="00C27E58">
        <w:rPr>
          <w:rFonts w:cs="Times New Roman"/>
          <w:lang w:val="lv-LV"/>
        </w:rPr>
        <w:t xml:space="preserve"> 2 reģions varētu klasificēties kā </w:t>
      </w:r>
      <w:r w:rsidRPr="00C27E58">
        <w:rPr>
          <w:rFonts w:cs="Times New Roman"/>
          <w:i/>
          <w:lang w:val="lv-LV"/>
        </w:rPr>
        <w:t>pārejas reģions</w:t>
      </w:r>
      <w:r w:rsidRPr="00C27E58">
        <w:rPr>
          <w:rFonts w:cs="Times New Roman"/>
          <w:lang w:val="lv-LV"/>
        </w:rPr>
        <w:t xml:space="preserve">, kas nozīmētu potenciālās Kohēzijas politikas aploksnes samazinājumu ES daudzgadu budžeta ietvaros pēc 2034. gada. Jāņem gan vērā, ka Kohēzijas politikai ar katru nākamo ES daudzgadu budžeta periodu tiek atvēlēts mazāks finansējuma apjoms. Kohēzijas politikas mērķu realizēšanai atvēlētais finansējums, salīdzinot ar iepriekšējiem ES budžeta plānošanas periodiem, ir mazināts jau divas reizes vismaz par 10%. Vienlaikus Kohēzijas fondu (ESF, ERAF) atbalsta intensitāte reģionu kategorijām ievērojami atšķiras, piemēram, ES fondu 2021.–2027. gada plānošanas periodā </w:t>
      </w:r>
      <w:r w:rsidRPr="00C27E58">
        <w:rPr>
          <w:rFonts w:cs="Times New Roman"/>
          <w:i/>
          <w:iCs/>
          <w:lang w:val="lv-LV"/>
        </w:rPr>
        <w:t>mazāk attīstīto reģionu</w:t>
      </w:r>
      <w:r w:rsidRPr="00C27E58">
        <w:rPr>
          <w:rFonts w:cs="Times New Roman"/>
          <w:lang w:val="lv-LV"/>
        </w:rPr>
        <w:t xml:space="preserve"> vidējā atbalsta intensitāte ir aptuveni 230 </w:t>
      </w:r>
      <w:proofErr w:type="spellStart"/>
      <w:r w:rsidRPr="00C27E58">
        <w:rPr>
          <w:rFonts w:cs="Times New Roman"/>
          <w:i/>
          <w:iCs/>
          <w:lang w:val="lv-LV"/>
        </w:rPr>
        <w:t>euro</w:t>
      </w:r>
      <w:proofErr w:type="spellEnd"/>
      <w:r w:rsidRPr="00C27E58">
        <w:rPr>
          <w:rFonts w:cs="Times New Roman"/>
          <w:lang w:val="lv-LV"/>
        </w:rPr>
        <w:t>/</w:t>
      </w:r>
      <w:proofErr w:type="spellStart"/>
      <w:r w:rsidRPr="00C27E58">
        <w:rPr>
          <w:rFonts w:cs="Times New Roman"/>
          <w:lang w:val="lv-LV"/>
        </w:rPr>
        <w:t>cilv</w:t>
      </w:r>
      <w:proofErr w:type="spellEnd"/>
      <w:r w:rsidRPr="00C27E58">
        <w:rPr>
          <w:rFonts w:cs="Times New Roman"/>
          <w:lang w:val="lv-LV"/>
        </w:rPr>
        <w:t xml:space="preserve">., kas ir 4 reizes vairāk nekā </w:t>
      </w:r>
      <w:r w:rsidRPr="00C27E58">
        <w:rPr>
          <w:rFonts w:cs="Times New Roman"/>
          <w:i/>
          <w:iCs/>
          <w:lang w:val="lv-LV"/>
        </w:rPr>
        <w:t>pārejas reģioniem</w:t>
      </w:r>
      <w:r w:rsidRPr="00C27E58">
        <w:rPr>
          <w:rFonts w:cs="Times New Roman"/>
          <w:lang w:val="lv-LV"/>
        </w:rPr>
        <w:t xml:space="preserve"> (aptuveni 61 </w:t>
      </w:r>
      <w:proofErr w:type="spellStart"/>
      <w:r w:rsidRPr="00C27E58">
        <w:rPr>
          <w:rFonts w:cs="Times New Roman"/>
          <w:i/>
          <w:iCs/>
          <w:lang w:val="lv-LV"/>
        </w:rPr>
        <w:t>euro</w:t>
      </w:r>
      <w:proofErr w:type="spellEnd"/>
      <w:r w:rsidRPr="00C27E58">
        <w:rPr>
          <w:rFonts w:cs="Times New Roman"/>
          <w:lang w:val="lv-LV"/>
        </w:rPr>
        <w:t>/</w:t>
      </w:r>
      <w:proofErr w:type="spellStart"/>
      <w:r w:rsidRPr="00C27E58">
        <w:rPr>
          <w:rFonts w:cs="Times New Roman"/>
          <w:lang w:val="lv-LV"/>
        </w:rPr>
        <w:t>cilv</w:t>
      </w:r>
      <w:proofErr w:type="spellEnd"/>
      <w:r w:rsidRPr="00C27E58">
        <w:rPr>
          <w:rFonts w:cs="Times New Roman"/>
          <w:lang w:val="lv-LV"/>
        </w:rPr>
        <w:t xml:space="preserve">.) un 12 reizes vairāk nekā </w:t>
      </w:r>
      <w:r w:rsidRPr="00C27E58">
        <w:rPr>
          <w:rFonts w:cs="Times New Roman"/>
          <w:i/>
          <w:iCs/>
          <w:lang w:val="lv-LV"/>
        </w:rPr>
        <w:t>vairāk attīstītiem reģioniem</w:t>
      </w:r>
      <w:r w:rsidRPr="00C27E58">
        <w:rPr>
          <w:rFonts w:cs="Times New Roman"/>
          <w:lang w:val="lv-LV"/>
        </w:rPr>
        <w:t xml:space="preserve"> aptuveni 19 </w:t>
      </w:r>
      <w:proofErr w:type="spellStart"/>
      <w:r w:rsidRPr="00C27E58">
        <w:rPr>
          <w:rFonts w:cs="Times New Roman"/>
          <w:i/>
          <w:iCs/>
          <w:lang w:val="lv-LV"/>
        </w:rPr>
        <w:t>euro</w:t>
      </w:r>
      <w:proofErr w:type="spellEnd"/>
      <w:r w:rsidRPr="00C27E58">
        <w:rPr>
          <w:rFonts w:cs="Times New Roman"/>
          <w:lang w:val="lv-LV"/>
        </w:rPr>
        <w:t>/</w:t>
      </w:r>
      <w:proofErr w:type="spellStart"/>
      <w:r w:rsidRPr="00C27E58">
        <w:rPr>
          <w:rFonts w:cs="Times New Roman"/>
          <w:lang w:val="lv-LV"/>
        </w:rPr>
        <w:t>cilv</w:t>
      </w:r>
      <w:proofErr w:type="spellEnd"/>
      <w:r w:rsidRPr="00C27E58">
        <w:rPr>
          <w:rFonts w:cs="Times New Roman"/>
          <w:lang w:val="lv-LV"/>
        </w:rPr>
        <w:t>.). Līdzīgas atbalsta intensitātes atšķirības ir arī esošajā ES fondu 2014.–2020. gada plānošanas periodā.</w:t>
      </w:r>
      <w:r w:rsidRPr="00C27E58">
        <w:rPr>
          <w:rStyle w:val="FootnoteReference"/>
          <w:rFonts w:cs="Times New Roman"/>
          <w:lang w:val="lv-LV"/>
        </w:rPr>
        <w:footnoteReference w:id="7"/>
      </w:r>
    </w:p>
    <w:p w14:paraId="592CD2DB" w14:textId="6207E514" w:rsidR="00C27E58" w:rsidRPr="00C27E58" w:rsidRDefault="00EF2741" w:rsidP="00C27E58">
      <w:pPr>
        <w:rPr>
          <w:rFonts w:eastAsiaTheme="minorEastAsia"/>
          <w:lang w:val="lv-LV"/>
        </w:rPr>
      </w:pPr>
      <w:r w:rsidRPr="00C27E58">
        <w:rPr>
          <w:lang w:val="lv-LV"/>
        </w:rPr>
        <w:t xml:space="preserve">Ņemot vērā ievērojamās reģionālās attīstības un sociālekonomiskās atšķirības starp Latvijas reģioniem, kuras pašreiz izmantotais vidējais Latvijas IKP rādītājs ES mērogā atspoguļo nepietiekami, esošā </w:t>
      </w:r>
      <w:r w:rsidRPr="00C27E58">
        <w:rPr>
          <w:i/>
          <w:lang w:val="lv-LV"/>
        </w:rPr>
        <w:t>NUTS</w:t>
      </w:r>
      <w:r w:rsidRPr="00C27E58">
        <w:rPr>
          <w:lang w:val="lv-LV"/>
        </w:rPr>
        <w:t xml:space="preserve"> </w:t>
      </w:r>
      <w:r w:rsidR="00AE1489">
        <w:rPr>
          <w:lang w:val="lv-LV"/>
        </w:rPr>
        <w:t xml:space="preserve">2 </w:t>
      </w:r>
      <w:r w:rsidRPr="00C27E58">
        <w:rPr>
          <w:lang w:val="lv-LV"/>
        </w:rPr>
        <w:t>dalījuma pārskatīšana būtu viens no veidiem līdzsvarotas reģionālās un teritoriju attīstības veicināšanai.</w:t>
      </w:r>
    </w:p>
    <w:p w14:paraId="13AD88B3" w14:textId="7ED17FB8" w:rsidR="00EF2741" w:rsidRPr="00C27E58" w:rsidRDefault="00EF2741" w:rsidP="00C27E58">
      <w:pPr>
        <w:rPr>
          <w:rFonts w:eastAsiaTheme="minorEastAsia"/>
          <w:lang w:val="lv-LV"/>
        </w:rPr>
      </w:pPr>
      <w:r w:rsidRPr="00C27E58">
        <w:rPr>
          <w:rFonts w:cs="Times New Roman"/>
          <w:lang w:val="lv-LV"/>
        </w:rPr>
        <w:t xml:space="preserve">Līdz ar to nepieciešams izvērtēt iespēju sadalīt Latviju divos </w:t>
      </w:r>
      <w:r w:rsidRPr="00C27E58">
        <w:rPr>
          <w:rFonts w:cs="Times New Roman"/>
          <w:i/>
          <w:iCs/>
          <w:lang w:val="lv-LV"/>
        </w:rPr>
        <w:t xml:space="preserve">NUTS </w:t>
      </w:r>
      <w:r w:rsidRPr="00C27E58">
        <w:rPr>
          <w:rFonts w:cs="Times New Roman"/>
          <w:lang w:val="lv-LV"/>
        </w:rPr>
        <w:t xml:space="preserve">2 reģionos – potenciāli Rīgas reģionā un pārējā Latvijā jeb vienā </w:t>
      </w:r>
      <w:proofErr w:type="spellStart"/>
      <w:r w:rsidRPr="00C27E58">
        <w:rPr>
          <w:rFonts w:cs="Times New Roman"/>
          <w:lang w:val="lv-LV"/>
        </w:rPr>
        <w:t>Rietumlatvijas</w:t>
      </w:r>
      <w:proofErr w:type="spellEnd"/>
      <w:r w:rsidRPr="00C27E58">
        <w:rPr>
          <w:rFonts w:cs="Times New Roman"/>
          <w:lang w:val="lv-LV"/>
        </w:rPr>
        <w:t xml:space="preserve"> un </w:t>
      </w:r>
      <w:proofErr w:type="spellStart"/>
      <w:r w:rsidRPr="00C27E58">
        <w:rPr>
          <w:rFonts w:cs="Times New Roman"/>
          <w:lang w:val="lv-LV"/>
        </w:rPr>
        <w:t>Austrumlatvijas</w:t>
      </w:r>
      <w:proofErr w:type="spellEnd"/>
      <w:r w:rsidRPr="00C27E58">
        <w:rPr>
          <w:rFonts w:cs="Times New Roman"/>
          <w:lang w:val="lv-LV"/>
        </w:rPr>
        <w:t xml:space="preserve"> reģionā</w:t>
      </w:r>
      <w:r w:rsidRPr="00C27E58">
        <w:rPr>
          <w:rFonts w:eastAsia="Times New Roman" w:cs="Times New Roman"/>
          <w:lang w:val="lv-LV"/>
        </w:rPr>
        <w:t xml:space="preserve">. Ņemot vērā IKP atšķirības starp Rīgu un pārējo Latviju, </w:t>
      </w:r>
      <w:proofErr w:type="spellStart"/>
      <w:r w:rsidRPr="00C27E58">
        <w:rPr>
          <w:rFonts w:eastAsia="Times New Roman" w:cs="Times New Roman"/>
          <w:lang w:val="lv-LV"/>
        </w:rPr>
        <w:t>Rietumlatvijas</w:t>
      </w:r>
      <w:proofErr w:type="spellEnd"/>
      <w:r w:rsidRPr="00C27E58">
        <w:rPr>
          <w:rFonts w:eastAsia="Times New Roman" w:cs="Times New Roman"/>
          <w:lang w:val="lv-LV"/>
        </w:rPr>
        <w:t xml:space="preserve"> un </w:t>
      </w:r>
      <w:proofErr w:type="spellStart"/>
      <w:r w:rsidRPr="00C27E58">
        <w:rPr>
          <w:rFonts w:eastAsia="Times New Roman" w:cs="Times New Roman"/>
          <w:lang w:val="lv-LV"/>
        </w:rPr>
        <w:t>Austrumlatvijas</w:t>
      </w:r>
      <w:proofErr w:type="spellEnd"/>
      <w:r w:rsidRPr="00C27E58">
        <w:rPr>
          <w:rFonts w:eastAsia="Times New Roman" w:cs="Times New Roman"/>
          <w:lang w:val="lv-LV"/>
        </w:rPr>
        <w:t xml:space="preserve"> reģions, kurā ietilptu Latvijas teritorija, neskaitot Rīgas reģionu, potenciāli k</w:t>
      </w:r>
      <w:r w:rsidRPr="00C27E58">
        <w:rPr>
          <w:rFonts w:cs="Times New Roman"/>
          <w:lang w:val="lv-LV"/>
        </w:rPr>
        <w:t xml:space="preserve">valificētos kā </w:t>
      </w:r>
      <w:r w:rsidRPr="00C27E58">
        <w:rPr>
          <w:rFonts w:cs="Times New Roman"/>
          <w:i/>
          <w:iCs/>
          <w:lang w:val="lv-LV"/>
        </w:rPr>
        <w:t>mazāk attīstītais</w:t>
      </w:r>
      <w:r w:rsidRPr="00C27E58">
        <w:rPr>
          <w:rFonts w:cs="Times New Roman"/>
          <w:lang w:val="lv-LV"/>
        </w:rPr>
        <w:t xml:space="preserve"> reģions, tādējādi nodrošinot lielākas atbalsta iespējas no Kohēzijas politikas. Vienlaikus </w:t>
      </w:r>
      <w:r w:rsidRPr="00C27E58">
        <w:rPr>
          <w:rFonts w:cs="Times New Roman"/>
          <w:i/>
          <w:iCs/>
          <w:lang w:val="lv-LV"/>
        </w:rPr>
        <w:t>NUTS </w:t>
      </w:r>
      <w:r w:rsidRPr="00C27E58">
        <w:rPr>
          <w:rFonts w:cs="Times New Roman"/>
          <w:lang w:val="lv-LV"/>
        </w:rPr>
        <w:t xml:space="preserve">2 Rīgas reģions potenciāli atbilstu </w:t>
      </w:r>
      <w:r w:rsidRPr="00C27E58">
        <w:rPr>
          <w:rFonts w:cs="Times New Roman"/>
          <w:b/>
          <w:i/>
          <w:iCs/>
          <w:lang w:val="lv-LV"/>
        </w:rPr>
        <w:t xml:space="preserve">pārejas reģiona </w:t>
      </w:r>
      <w:r w:rsidRPr="00C27E58">
        <w:rPr>
          <w:rFonts w:cs="Times New Roman"/>
          <w:b/>
          <w:lang w:val="lv-LV"/>
        </w:rPr>
        <w:t xml:space="preserve">vai </w:t>
      </w:r>
      <w:r w:rsidRPr="00C27E58">
        <w:rPr>
          <w:rFonts w:cs="Times New Roman"/>
          <w:b/>
          <w:i/>
          <w:iCs/>
          <w:lang w:val="lv-LV"/>
        </w:rPr>
        <w:t>vairāk attīstītā reģiona</w:t>
      </w:r>
      <w:r w:rsidRPr="00C27E58">
        <w:rPr>
          <w:rFonts w:cs="Times New Roman"/>
          <w:lang w:val="lv-LV"/>
        </w:rPr>
        <w:t xml:space="preserve"> statusam, saņemot mazāku atbalstu no Kohēzijas politikas.</w:t>
      </w:r>
    </w:p>
    <w:p w14:paraId="0361F434" w14:textId="77777777" w:rsidR="00EF2741" w:rsidRPr="00027257" w:rsidRDefault="00EF2741" w:rsidP="0023365F">
      <w:pPr>
        <w:rPr>
          <w:lang w:val="lv-LV"/>
        </w:rPr>
      </w:pPr>
    </w:p>
    <w:p w14:paraId="5FE212B4" w14:textId="6C30410C" w:rsidR="00EF2741" w:rsidRPr="00C27E58" w:rsidRDefault="00B756AB" w:rsidP="00C866C7">
      <w:pPr>
        <w:pStyle w:val="Heading1"/>
      </w:pPr>
      <w:r>
        <w:t>Nepieciešamās i</w:t>
      </w:r>
      <w:r w:rsidR="00126E98">
        <w:t xml:space="preserve">zmaiņas </w:t>
      </w:r>
      <w:r w:rsidR="00EF2741" w:rsidRPr="00C27E58">
        <w:t xml:space="preserve">un </w:t>
      </w:r>
      <w:r w:rsidR="00126E98">
        <w:t>risinājumi</w:t>
      </w:r>
      <w:r>
        <w:t xml:space="preserve"> </w:t>
      </w:r>
      <w:r>
        <w:rPr>
          <w:i/>
          <w:iCs/>
        </w:rPr>
        <w:t xml:space="preserve">NUTS </w:t>
      </w:r>
      <w:r>
        <w:t>dalījumam</w:t>
      </w:r>
    </w:p>
    <w:p w14:paraId="7A2D9CE4" w14:textId="77777777" w:rsidR="00222721" w:rsidRDefault="00222721" w:rsidP="00222721">
      <w:pPr>
        <w:rPr>
          <w:lang w:val="lv-LV"/>
        </w:rPr>
      </w:pPr>
    </w:p>
    <w:p w14:paraId="30705993" w14:textId="7DE7E18C" w:rsidR="00156C6E" w:rsidRPr="00156C6E" w:rsidRDefault="00CB1789" w:rsidP="00156C6E">
      <w:pPr>
        <w:rPr>
          <w:color w:val="000000" w:themeColor="text1"/>
          <w:lang w:val="lv-LV"/>
        </w:rPr>
      </w:pPr>
      <w:r>
        <w:rPr>
          <w:lang w:val="lv-LV"/>
        </w:rPr>
        <w:t>Ņ</w:t>
      </w:r>
      <w:r w:rsidR="00EF2741" w:rsidRPr="00C27E58">
        <w:rPr>
          <w:lang w:val="lv-LV"/>
        </w:rPr>
        <w:t xml:space="preserve">emot vērā </w:t>
      </w:r>
      <w:r>
        <w:rPr>
          <w:lang w:val="lv-LV"/>
        </w:rPr>
        <w:t xml:space="preserve">Informatīvā ziņojuma </w:t>
      </w:r>
      <w:r w:rsidR="00796706">
        <w:rPr>
          <w:lang w:val="lv-LV"/>
        </w:rPr>
        <w:t>1</w:t>
      </w:r>
      <w:r>
        <w:rPr>
          <w:lang w:val="lv-LV"/>
        </w:rPr>
        <w:t>. nodaļ</w:t>
      </w:r>
      <w:r w:rsidR="00EC7B37">
        <w:rPr>
          <w:lang w:val="lv-LV"/>
        </w:rPr>
        <w:t xml:space="preserve">ā minētās plānošanas reģionu robežu izmaiņas, </w:t>
      </w:r>
      <w:r w:rsidR="00F6708E">
        <w:rPr>
          <w:lang w:val="lv-LV"/>
        </w:rPr>
        <w:t>kā arī</w:t>
      </w:r>
      <w:r w:rsidR="00F6708E" w:rsidRPr="006C5B3C">
        <w:rPr>
          <w:color w:val="000000" w:themeColor="text1"/>
          <w:lang w:val="lv-LV"/>
        </w:rPr>
        <w:t xml:space="preserve">, </w:t>
      </w:r>
      <w:r w:rsidR="00156C6E" w:rsidRPr="006C5B3C">
        <w:rPr>
          <w:color w:val="000000" w:themeColor="text1"/>
          <w:lang w:val="lv-LV"/>
        </w:rPr>
        <w:t>lai nodrošinātu saskaņot</w:t>
      </w:r>
      <w:r w:rsidR="006C5B3C" w:rsidRPr="006C5B3C">
        <w:rPr>
          <w:color w:val="000000" w:themeColor="text1"/>
          <w:lang w:val="lv-LV"/>
        </w:rPr>
        <w:t>as</w:t>
      </w:r>
      <w:r w:rsidR="00156C6E" w:rsidRPr="006C5B3C">
        <w:rPr>
          <w:color w:val="000000" w:themeColor="text1"/>
          <w:lang w:val="lv-LV"/>
        </w:rPr>
        <w:t xml:space="preserve"> reģionāl</w:t>
      </w:r>
      <w:r w:rsidR="006C5B3C" w:rsidRPr="006C5B3C">
        <w:rPr>
          <w:color w:val="000000" w:themeColor="text1"/>
          <w:lang w:val="lv-LV"/>
        </w:rPr>
        <w:t xml:space="preserve">ās </w:t>
      </w:r>
      <w:r w:rsidR="00156C6E" w:rsidRPr="006C5B3C">
        <w:rPr>
          <w:color w:val="000000" w:themeColor="text1"/>
          <w:lang w:val="lv-LV"/>
        </w:rPr>
        <w:t>statistik</w:t>
      </w:r>
      <w:r w:rsidR="006C5B3C">
        <w:rPr>
          <w:color w:val="000000" w:themeColor="text1"/>
          <w:lang w:val="lv-LV"/>
        </w:rPr>
        <w:t xml:space="preserve">as sagatavošanu </w:t>
      </w:r>
      <w:r w:rsidR="00156C6E" w:rsidRPr="00156C6E">
        <w:rPr>
          <w:color w:val="000000" w:themeColor="text1"/>
          <w:lang w:val="lv-LV"/>
        </w:rPr>
        <w:t xml:space="preserve">Latvijā, </w:t>
      </w:r>
      <w:r w:rsidR="00156C6E" w:rsidRPr="001267F8">
        <w:rPr>
          <w:b/>
          <w:bCs/>
          <w:color w:val="000000" w:themeColor="text1"/>
          <w:lang w:val="lv-LV"/>
        </w:rPr>
        <w:t xml:space="preserve">ir jāmaina </w:t>
      </w:r>
      <w:r w:rsidR="00156C6E" w:rsidRPr="001267F8">
        <w:rPr>
          <w:b/>
          <w:bCs/>
          <w:i/>
          <w:iCs/>
          <w:color w:val="000000" w:themeColor="text1"/>
          <w:lang w:val="lv-LV"/>
        </w:rPr>
        <w:t>NUTS</w:t>
      </w:r>
      <w:r w:rsidR="006C5B3C" w:rsidRPr="001267F8">
        <w:rPr>
          <w:b/>
          <w:bCs/>
          <w:color w:val="000000" w:themeColor="text1"/>
          <w:lang w:val="lv-LV"/>
        </w:rPr>
        <w:t> 3 jeb</w:t>
      </w:r>
      <w:r w:rsidR="00156C6E" w:rsidRPr="001267F8">
        <w:rPr>
          <w:b/>
          <w:bCs/>
          <w:color w:val="000000" w:themeColor="text1"/>
          <w:lang w:val="lv-LV"/>
        </w:rPr>
        <w:t xml:space="preserve"> statistisko reģionu robežas</w:t>
      </w:r>
      <w:r w:rsidR="00156C6E" w:rsidRPr="00156C6E">
        <w:rPr>
          <w:color w:val="000000" w:themeColor="text1"/>
          <w:lang w:val="lv-LV"/>
        </w:rPr>
        <w:t>:</w:t>
      </w:r>
    </w:p>
    <w:p w14:paraId="61292EAC" w14:textId="26729D3B" w:rsidR="00156C6E" w:rsidRPr="00C17BE1" w:rsidRDefault="00156C6E" w:rsidP="00156C6E">
      <w:pPr>
        <w:pStyle w:val="ListParagraph"/>
        <w:numPr>
          <w:ilvl w:val="0"/>
          <w:numId w:val="14"/>
        </w:numPr>
        <w:spacing w:after="0"/>
        <w:contextualSpacing/>
        <w:rPr>
          <w:rFonts w:eastAsia="Times New Roman" w:cs="Times New Roman"/>
          <w:b/>
          <w:bCs/>
          <w:lang w:val="lv-LV"/>
        </w:rPr>
      </w:pPr>
      <w:r w:rsidRPr="00C17BE1">
        <w:rPr>
          <w:rFonts w:eastAsia="Times New Roman" w:cs="Times New Roman"/>
          <w:b/>
          <w:bCs/>
          <w:lang w:val="lv-LV"/>
        </w:rPr>
        <w:t>Latgales, Kurzemes,</w:t>
      </w:r>
      <w:r w:rsidR="001267F8" w:rsidRPr="00C17BE1">
        <w:rPr>
          <w:rFonts w:eastAsia="Times New Roman" w:cs="Times New Roman"/>
          <w:b/>
          <w:bCs/>
          <w:lang w:val="lv-LV"/>
        </w:rPr>
        <w:t xml:space="preserve"> </w:t>
      </w:r>
      <w:r w:rsidRPr="00C17BE1">
        <w:rPr>
          <w:rFonts w:eastAsia="Times New Roman" w:cs="Times New Roman"/>
          <w:b/>
          <w:bCs/>
          <w:lang w:val="lv-LV"/>
        </w:rPr>
        <w:t>Vidzemes un Zemgales statistisko reģionu (</w:t>
      </w:r>
      <w:r w:rsidRPr="00C17BE1">
        <w:rPr>
          <w:rFonts w:eastAsia="Times New Roman" w:cs="Times New Roman"/>
          <w:b/>
          <w:bCs/>
          <w:i/>
          <w:iCs/>
          <w:lang w:val="lv-LV"/>
        </w:rPr>
        <w:t xml:space="preserve">NUTS </w:t>
      </w:r>
      <w:r w:rsidRPr="00C17BE1">
        <w:rPr>
          <w:rFonts w:eastAsia="Times New Roman" w:cs="Times New Roman"/>
          <w:b/>
          <w:bCs/>
          <w:lang w:val="lv-LV"/>
        </w:rPr>
        <w:t xml:space="preserve">3) robežas jāpielīdzina </w:t>
      </w:r>
      <w:r w:rsidR="006C5B3C" w:rsidRPr="00C17BE1">
        <w:rPr>
          <w:b/>
          <w:bCs/>
          <w:szCs w:val="24"/>
          <w:lang w:val="lv-LV"/>
        </w:rPr>
        <w:t xml:space="preserve">MK noteikumos Nr. 418 </w:t>
      </w:r>
      <w:r w:rsidRPr="00C17BE1">
        <w:rPr>
          <w:b/>
          <w:bCs/>
          <w:color w:val="000000" w:themeColor="text1"/>
          <w:lang w:val="lv-LV"/>
        </w:rPr>
        <w:t>noteiktajām plānošanas reģionu robežām;</w:t>
      </w:r>
    </w:p>
    <w:p w14:paraId="03F06743" w14:textId="4847B0E5" w:rsidR="00156C6E" w:rsidRPr="00844C61" w:rsidRDefault="00844C61" w:rsidP="00156C6E">
      <w:pPr>
        <w:pStyle w:val="ListParagraph"/>
        <w:numPr>
          <w:ilvl w:val="0"/>
          <w:numId w:val="14"/>
        </w:numPr>
        <w:spacing w:after="0"/>
        <w:contextualSpacing/>
        <w:rPr>
          <w:rFonts w:eastAsia="Times New Roman" w:cs="Times New Roman"/>
          <w:lang w:val="lv-LV"/>
        </w:rPr>
      </w:pPr>
      <w:r>
        <w:rPr>
          <w:rFonts w:eastAsia="Times New Roman" w:cs="Times New Roman"/>
          <w:noProof/>
          <w:szCs w:val="24"/>
          <w:lang w:val="lv-LV" w:eastAsia="lv-LV"/>
        </w:rPr>
        <w:drawing>
          <wp:anchor distT="0" distB="0" distL="114300" distR="114300" simplePos="0" relativeHeight="251663360" behindDoc="0" locked="0" layoutInCell="1" allowOverlap="1" wp14:anchorId="7B783782" wp14:editId="23895797">
            <wp:simplePos x="0" y="0"/>
            <wp:positionH relativeFrom="margin">
              <wp:align>center</wp:align>
            </wp:positionH>
            <wp:positionV relativeFrom="paragraph">
              <wp:posOffset>552450</wp:posOffset>
            </wp:positionV>
            <wp:extent cx="5821680" cy="3420745"/>
            <wp:effectExtent l="0" t="0" r="7620" b="8255"/>
            <wp:wrapTopAndBottom/>
            <wp:docPr id="14" name="Picture 1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1680" cy="3420745"/>
                    </a:xfrm>
                    <a:prstGeom prst="rect">
                      <a:avLst/>
                    </a:prstGeom>
                  </pic:spPr>
                </pic:pic>
              </a:graphicData>
            </a:graphic>
            <wp14:sizeRelH relativeFrom="margin">
              <wp14:pctWidth>0</wp14:pctWidth>
            </wp14:sizeRelH>
            <wp14:sizeRelV relativeFrom="margin">
              <wp14:pctHeight>0</wp14:pctHeight>
            </wp14:sizeRelV>
          </wp:anchor>
        </w:drawing>
      </w:r>
      <w:r w:rsidR="00156C6E" w:rsidRPr="00C17BE1">
        <w:rPr>
          <w:rFonts w:eastAsia="Times New Roman" w:cs="Times New Roman"/>
          <w:b/>
          <w:bCs/>
          <w:lang w:val="lv-LV"/>
        </w:rPr>
        <w:t>jāapvieno Rīgas statistisko reģionu un Pierīgas statistisko reģionu vienā Rīgas statistiskajā reģionā</w:t>
      </w:r>
      <w:r w:rsidR="00907A28">
        <w:rPr>
          <w:rFonts w:eastAsia="Times New Roman" w:cs="Times New Roman"/>
          <w:b/>
          <w:bCs/>
          <w:lang w:val="lv-LV"/>
        </w:rPr>
        <w:t>,</w:t>
      </w:r>
      <w:r w:rsidR="00156C6E" w:rsidRPr="00C17BE1">
        <w:rPr>
          <w:rFonts w:eastAsia="Times New Roman" w:cs="Times New Roman"/>
          <w:b/>
          <w:bCs/>
          <w:lang w:val="lv-LV"/>
        </w:rPr>
        <w:t xml:space="preserve"> un jāpielīdzina to </w:t>
      </w:r>
      <w:r w:rsidR="00603A81" w:rsidRPr="00C17BE1">
        <w:rPr>
          <w:b/>
          <w:bCs/>
          <w:szCs w:val="24"/>
          <w:lang w:val="lv-LV"/>
        </w:rPr>
        <w:t xml:space="preserve">MK noteikumos Nr. 418 </w:t>
      </w:r>
      <w:r w:rsidR="00156C6E" w:rsidRPr="00C17BE1">
        <w:rPr>
          <w:b/>
          <w:bCs/>
          <w:color w:val="000000" w:themeColor="text1"/>
          <w:lang w:val="lv-LV"/>
        </w:rPr>
        <w:t>noteiktajām plānošanas reģionu robežām</w:t>
      </w:r>
      <w:r>
        <w:rPr>
          <w:color w:val="000000" w:themeColor="text1"/>
          <w:lang w:val="lv-LV"/>
        </w:rPr>
        <w:t xml:space="preserve"> (sk. attēlā Nr. 3)</w:t>
      </w:r>
      <w:r w:rsidR="008B1BAF">
        <w:rPr>
          <w:color w:val="000000" w:themeColor="text1"/>
          <w:lang w:val="lv-LV"/>
        </w:rPr>
        <w:t>.</w:t>
      </w:r>
    </w:p>
    <w:p w14:paraId="63F2F97C" w14:textId="5C8B5FE7" w:rsidR="00844C61" w:rsidRPr="00844C61" w:rsidRDefault="00844C61" w:rsidP="00844C61">
      <w:pPr>
        <w:ind w:firstLine="0"/>
        <w:contextualSpacing/>
        <w:jc w:val="center"/>
        <w:rPr>
          <w:rFonts w:eastAsia="Times New Roman" w:cs="Times New Roman"/>
          <w:lang w:val="lv-LV"/>
        </w:rPr>
      </w:pPr>
      <w:r w:rsidRPr="00844C61">
        <w:rPr>
          <w:lang w:val="lv-LV"/>
        </w:rPr>
        <w:t>Attēls Nr. </w:t>
      </w:r>
      <w:r w:rsidR="00645194">
        <w:rPr>
          <w:lang w:val="lv-LV"/>
        </w:rPr>
        <w:t>3</w:t>
      </w:r>
      <w:r w:rsidRPr="008B1BAF">
        <w:rPr>
          <w:lang w:val="lv-LV"/>
        </w:rPr>
        <w:t xml:space="preserve">. </w:t>
      </w:r>
      <w:r w:rsidR="008B1BAF" w:rsidRPr="008B1BAF">
        <w:rPr>
          <w:lang w:val="lv-LV"/>
        </w:rPr>
        <w:t>P</w:t>
      </w:r>
      <w:r w:rsidR="004A42D8" w:rsidRPr="008B1BAF">
        <w:rPr>
          <w:lang w:val="lv-LV"/>
        </w:rPr>
        <w:t>lānot</w:t>
      </w:r>
      <w:r w:rsidR="008B1BAF" w:rsidRPr="008B1BAF">
        <w:rPr>
          <w:lang w:val="lv-LV"/>
        </w:rPr>
        <w:t>ās</w:t>
      </w:r>
      <w:r w:rsidR="00645194" w:rsidRPr="008B1BAF">
        <w:rPr>
          <w:lang w:val="lv-LV"/>
        </w:rPr>
        <w:t xml:space="preserve"> </w:t>
      </w:r>
      <w:r w:rsidR="00645194" w:rsidRPr="008B1BAF">
        <w:rPr>
          <w:i/>
          <w:iCs/>
          <w:lang w:val="lv-LV"/>
        </w:rPr>
        <w:t>NUTS</w:t>
      </w:r>
      <w:r w:rsidR="00645194" w:rsidRPr="008B1BAF">
        <w:rPr>
          <w:lang w:val="lv-LV"/>
        </w:rPr>
        <w:t xml:space="preserve"> 3 </w:t>
      </w:r>
      <w:r w:rsidR="008B1BAF" w:rsidRPr="008B1BAF">
        <w:rPr>
          <w:lang w:val="lv-LV"/>
        </w:rPr>
        <w:t>robežas</w:t>
      </w:r>
      <w:r w:rsidRPr="00844C61">
        <w:rPr>
          <w:lang w:val="lv-LV"/>
        </w:rPr>
        <w:t>.</w:t>
      </w:r>
    </w:p>
    <w:p w14:paraId="1E1F54E9" w14:textId="50FC8829" w:rsidR="00844C61" w:rsidRPr="00844C61" w:rsidRDefault="00844C61" w:rsidP="00844C61">
      <w:pPr>
        <w:ind w:firstLine="0"/>
        <w:contextualSpacing/>
        <w:rPr>
          <w:rFonts w:eastAsia="Times New Roman" w:cs="Times New Roman"/>
          <w:lang w:val="lv-LV"/>
        </w:rPr>
      </w:pPr>
    </w:p>
    <w:p w14:paraId="79F79465" w14:textId="362A90DD" w:rsidR="008C6E68" w:rsidRDefault="00841E7E" w:rsidP="004A63D0">
      <w:pPr>
        <w:rPr>
          <w:color w:val="000000" w:themeColor="text1"/>
          <w:lang w:val="lv-LV"/>
        </w:rPr>
      </w:pPr>
      <w:r w:rsidRPr="00841E7E">
        <w:rPr>
          <w:color w:val="000000" w:themeColor="text1"/>
          <w:lang w:val="lv-LV"/>
        </w:rPr>
        <w:t>Vērtējot kopējās valsts reģionālās attīstības tendences, jāsecina, ka Rīgas pilsēta un tai pieguļošās pašvaldības būtiski atšķiras no pārējās Latvijas – tajās ir augstāka ekonomiskā attīstība, kā arī pozitīvas demogrāfiskās prognozes, kas lielā mērā ir saistītas ar Rīgas ekonomisko ietekmi un darba iespējām.</w:t>
      </w:r>
      <w:r w:rsidR="00447BAC">
        <w:rPr>
          <w:color w:val="000000" w:themeColor="text1"/>
          <w:lang w:val="lv-LV"/>
        </w:rPr>
        <w:t xml:space="preserve"> Līdz ar to</w:t>
      </w:r>
      <w:r w:rsidR="00314CB8">
        <w:rPr>
          <w:color w:val="000000" w:themeColor="text1"/>
          <w:lang w:val="lv-LV"/>
        </w:rPr>
        <w:t xml:space="preserve"> </w:t>
      </w:r>
      <w:r w:rsidR="00314CB8" w:rsidRPr="00314CB8">
        <w:rPr>
          <w:rFonts w:eastAsia="Times New Roman" w:cs="Times New Roman"/>
          <w:lang w:val="lv-LV"/>
        </w:rPr>
        <w:t xml:space="preserve">lai radītu priekšnoteikumus vienmērīgākai Latvijas reģionu attīstībai, </w:t>
      </w:r>
      <w:r w:rsidR="00314CB8" w:rsidRPr="00314CB8">
        <w:rPr>
          <w:rFonts w:eastAsia="Times New Roman" w:cs="Times New Roman"/>
          <w:b/>
          <w:bCs/>
          <w:lang w:val="lv-LV"/>
        </w:rPr>
        <w:t>viens no iespējamajiem risinājumiem ir Rīgas un Pierīgas statistisko reģionu apvienošana vienā reģionā</w:t>
      </w:r>
      <w:r w:rsidR="00314CB8" w:rsidRPr="00314CB8">
        <w:rPr>
          <w:rFonts w:eastAsia="Times New Roman" w:cs="Times New Roman"/>
          <w:lang w:val="lv-LV"/>
        </w:rPr>
        <w:t xml:space="preserve">, kas būtu kā atsevišķs </w:t>
      </w:r>
      <w:r w:rsidR="00314CB8" w:rsidRPr="00314CB8">
        <w:rPr>
          <w:rFonts w:eastAsia="Times New Roman" w:cs="Times New Roman"/>
          <w:i/>
          <w:iCs/>
          <w:lang w:val="lv-LV"/>
        </w:rPr>
        <w:t>NUTS </w:t>
      </w:r>
      <w:r w:rsidR="00314CB8" w:rsidRPr="00314CB8">
        <w:rPr>
          <w:rFonts w:eastAsia="Times New Roman" w:cs="Times New Roman"/>
          <w:lang w:val="lv-LV"/>
        </w:rPr>
        <w:t>2 reģions.</w:t>
      </w:r>
    </w:p>
    <w:p w14:paraId="4BB27004" w14:textId="77777777" w:rsidR="006F283F" w:rsidRDefault="004A63D0" w:rsidP="00A96717">
      <w:pPr>
        <w:rPr>
          <w:color w:val="000000" w:themeColor="text1"/>
          <w:lang w:val="lv-LV"/>
        </w:rPr>
      </w:pPr>
      <w:r w:rsidRPr="004A63D0">
        <w:rPr>
          <w:i/>
          <w:iCs/>
          <w:lang w:val="lv-LV"/>
        </w:rPr>
        <w:t>NUTS</w:t>
      </w:r>
      <w:r w:rsidRPr="004A63D0">
        <w:rPr>
          <w:lang w:val="lv-LV"/>
        </w:rPr>
        <w:t xml:space="preserve"> dalījums ietekmē ne tikai Latvijas, bet arī visas ES reģionālo politiku, kuras uzdevums ir palīdzēt ikvienam reģionam pilnīgi izmantot savu potenciālu, palielinot konkurētspēju un paaugstinot dzīves līmeni nabadzīgākajos reģionos, tādējādi tuvinot to ES vidējam līmenim. Līdz ar to </w:t>
      </w:r>
      <w:r w:rsidRPr="004A63D0">
        <w:rPr>
          <w:i/>
          <w:iCs/>
          <w:lang w:val="lv-LV"/>
        </w:rPr>
        <w:t>NUTS </w:t>
      </w:r>
      <w:r w:rsidRPr="004A63D0">
        <w:rPr>
          <w:lang w:val="lv-LV"/>
        </w:rPr>
        <w:t>2</w:t>
      </w:r>
      <w:r w:rsidRPr="004A63D0">
        <w:rPr>
          <w:i/>
          <w:iCs/>
          <w:lang w:val="lv-LV"/>
        </w:rPr>
        <w:t xml:space="preserve"> </w:t>
      </w:r>
      <w:r w:rsidRPr="004A63D0">
        <w:rPr>
          <w:lang w:val="lv-LV"/>
        </w:rPr>
        <w:t xml:space="preserve">dalījums ir svarīgs, lai veicinātu ieguldījumus reģionos ar zemāku ekonomisko aktivitāti un sliktāku sociālekonomisko situāciju. Lielāka ieguldījumu koncentrācija mazāk attīstītajos reģionos var uzlabot reģionu sasniedzamību, sekmēt inovāciju un uzņēmējdarbības attīstību, kā arī veicināt darbavietu radīšanu. Vienlaikus tādā veidā iespējams mazināt reģionālās attīstības atšķirības, kas var izpausties kā augstāks bezdarba līmenis vai neatbilstīga infrastruktūra. </w:t>
      </w:r>
      <w:r w:rsidRPr="004A63D0">
        <w:rPr>
          <w:i/>
          <w:iCs/>
          <w:lang w:val="lv-LV"/>
        </w:rPr>
        <w:t>NUTS </w:t>
      </w:r>
      <w:r w:rsidRPr="004A63D0">
        <w:rPr>
          <w:lang w:val="lv-LV"/>
        </w:rPr>
        <w:t>2 dalījuma Latvijā izmaiņu mērķis ir padarīt reģionus konkurētspējīgākus un veicināt ekonomisko izaugsmi mazāk attīstītajos reģionos, radot tiem papildu iespējas attīstībai caur ES reģionālās politikas instrumentiem.</w:t>
      </w:r>
    </w:p>
    <w:p w14:paraId="27BD4A60" w14:textId="77AE97BF" w:rsidR="00EF2741" w:rsidRDefault="00EF2741" w:rsidP="00190ADF">
      <w:pPr>
        <w:rPr>
          <w:rFonts w:eastAsia="Times New Roman" w:cs="Times New Roman"/>
          <w:lang w:val="lv-LV" w:eastAsia="lv-LV"/>
        </w:rPr>
      </w:pPr>
      <w:r w:rsidRPr="00C27E58">
        <w:rPr>
          <w:rFonts w:eastAsia="Times New Roman" w:cs="Times New Roman"/>
          <w:lang w:val="lv-LV"/>
        </w:rPr>
        <w:t xml:space="preserve">Latvijā izveidojot divus </w:t>
      </w:r>
      <w:r w:rsidRPr="00C27E58">
        <w:rPr>
          <w:rFonts w:eastAsia="Times New Roman" w:cs="Times New Roman"/>
          <w:i/>
          <w:iCs/>
          <w:lang w:val="lv-LV"/>
        </w:rPr>
        <w:t>NUTS</w:t>
      </w:r>
      <w:r w:rsidRPr="00C27E58">
        <w:rPr>
          <w:rFonts w:eastAsia="Times New Roman" w:cs="Times New Roman"/>
          <w:lang w:val="lv-LV"/>
        </w:rPr>
        <w:t xml:space="preserve"> 2 reģionus (piemēram, Rīgas reģions un </w:t>
      </w:r>
      <w:proofErr w:type="spellStart"/>
      <w:r w:rsidRPr="00C27E58">
        <w:rPr>
          <w:rFonts w:eastAsia="Times New Roman" w:cs="Times New Roman"/>
          <w:lang w:val="lv-LV"/>
        </w:rPr>
        <w:t>Rietumlatvijas</w:t>
      </w:r>
      <w:proofErr w:type="spellEnd"/>
      <w:r w:rsidRPr="00C27E58">
        <w:rPr>
          <w:rFonts w:eastAsia="Times New Roman" w:cs="Times New Roman"/>
          <w:lang w:val="lv-LV"/>
        </w:rPr>
        <w:t xml:space="preserve"> un </w:t>
      </w:r>
      <w:proofErr w:type="spellStart"/>
      <w:r w:rsidRPr="00C27E58">
        <w:rPr>
          <w:rFonts w:eastAsia="Times New Roman" w:cs="Times New Roman"/>
          <w:lang w:val="lv-LV"/>
        </w:rPr>
        <w:t>Austrumlatvijas</w:t>
      </w:r>
      <w:proofErr w:type="spellEnd"/>
      <w:r w:rsidRPr="00C27E58">
        <w:rPr>
          <w:rFonts w:eastAsia="Times New Roman" w:cs="Times New Roman"/>
          <w:lang w:val="lv-LV"/>
        </w:rPr>
        <w:t xml:space="preserve"> reģions), atkarībā no potenciālajā </w:t>
      </w:r>
      <w:r w:rsidRPr="00C27E58">
        <w:rPr>
          <w:rFonts w:eastAsia="Times New Roman" w:cs="Times New Roman"/>
          <w:i/>
          <w:iCs/>
          <w:lang w:val="lv-LV"/>
        </w:rPr>
        <w:t>NUTS</w:t>
      </w:r>
      <w:r w:rsidRPr="00C27E58">
        <w:rPr>
          <w:rFonts w:eastAsia="Times New Roman" w:cs="Times New Roman"/>
          <w:lang w:val="lv-LV"/>
        </w:rPr>
        <w:t> 2 Rīgas reģionā iekļautajām teritorijām</w:t>
      </w:r>
      <w:r w:rsidR="009436DB">
        <w:rPr>
          <w:rFonts w:eastAsia="Times New Roman" w:cs="Times New Roman"/>
          <w:lang w:val="lv-LV"/>
        </w:rPr>
        <w:t>,</w:t>
      </w:r>
      <w:r w:rsidRPr="00C27E58">
        <w:rPr>
          <w:rFonts w:eastAsia="Times New Roman" w:cs="Times New Roman"/>
          <w:lang w:val="lv-LV"/>
        </w:rPr>
        <w:t xml:space="preserve"> pie esošajiem nosacījumiem tas atbilstu jau </w:t>
      </w:r>
      <w:r w:rsidRPr="00C27E58">
        <w:rPr>
          <w:rFonts w:eastAsia="Times New Roman" w:cs="Times New Roman"/>
          <w:i/>
          <w:iCs/>
          <w:lang w:val="lv-LV"/>
        </w:rPr>
        <w:t>pārejas reģiona</w:t>
      </w:r>
      <w:r w:rsidRPr="00C27E58">
        <w:rPr>
          <w:rFonts w:eastAsia="Times New Roman" w:cs="Times New Roman"/>
          <w:lang w:val="lv-LV"/>
        </w:rPr>
        <w:t xml:space="preserve"> vai </w:t>
      </w:r>
      <w:r w:rsidRPr="00C27E58">
        <w:rPr>
          <w:rFonts w:eastAsia="Times New Roman" w:cs="Times New Roman"/>
          <w:i/>
          <w:iCs/>
          <w:lang w:val="lv-LV"/>
        </w:rPr>
        <w:t>vairāk attīstītā reģiona</w:t>
      </w:r>
      <w:r w:rsidRPr="00C27E58">
        <w:rPr>
          <w:rFonts w:eastAsia="Times New Roman" w:cs="Times New Roman"/>
          <w:lang w:val="lv-LV"/>
        </w:rPr>
        <w:t xml:space="preserve"> statusam. </w:t>
      </w:r>
      <w:r w:rsidRPr="00C27E58">
        <w:rPr>
          <w:rFonts w:eastAsia="Times New Roman" w:cs="Times New Roman"/>
          <w:lang w:val="lv-LV"/>
        </w:rPr>
        <w:lastRenderedPageBreak/>
        <w:t xml:space="preserve">Savukārt </w:t>
      </w:r>
      <w:proofErr w:type="spellStart"/>
      <w:r w:rsidRPr="00C27E58">
        <w:rPr>
          <w:rFonts w:eastAsia="Times New Roman" w:cs="Times New Roman"/>
          <w:lang w:val="lv-LV"/>
        </w:rPr>
        <w:t>Rietumlatvijas</w:t>
      </w:r>
      <w:proofErr w:type="spellEnd"/>
      <w:r w:rsidRPr="00C27E58">
        <w:rPr>
          <w:rFonts w:eastAsia="Times New Roman" w:cs="Times New Roman"/>
          <w:lang w:val="lv-LV"/>
        </w:rPr>
        <w:t xml:space="preserve"> un </w:t>
      </w:r>
      <w:proofErr w:type="spellStart"/>
      <w:r w:rsidRPr="00C27E58">
        <w:rPr>
          <w:rFonts w:eastAsia="Times New Roman" w:cs="Times New Roman"/>
          <w:lang w:val="lv-LV"/>
        </w:rPr>
        <w:t>Austrumlatvijas</w:t>
      </w:r>
      <w:proofErr w:type="spellEnd"/>
      <w:r w:rsidRPr="00C27E58">
        <w:rPr>
          <w:rFonts w:eastAsia="Times New Roman" w:cs="Times New Roman"/>
          <w:lang w:val="lv-LV"/>
        </w:rPr>
        <w:t xml:space="preserve"> reģions jeb pārējā Latvijas teritorija atbilstu </w:t>
      </w:r>
      <w:r w:rsidRPr="00C27E58">
        <w:rPr>
          <w:rFonts w:eastAsia="Times New Roman" w:cs="Times New Roman"/>
          <w:i/>
          <w:iCs/>
          <w:lang w:val="lv-LV"/>
        </w:rPr>
        <w:t>mazāk attīstīta reģiona</w:t>
      </w:r>
      <w:r w:rsidRPr="00C27E58">
        <w:rPr>
          <w:rFonts w:eastAsia="Times New Roman" w:cs="Times New Roman"/>
          <w:lang w:val="lv-LV"/>
        </w:rPr>
        <w:t xml:space="preserve"> statusam, kas nozīmētu maksimālo atbalsta likmi ES fondos. </w:t>
      </w:r>
      <w:r w:rsidRPr="00C27E58">
        <w:rPr>
          <w:rFonts w:eastAsia="Times New Roman" w:cs="Times New Roman"/>
          <w:lang w:val="lv-LV" w:eastAsia="lv-LV"/>
        </w:rPr>
        <w:t xml:space="preserve">Iespējamie varianti </w:t>
      </w:r>
      <w:r w:rsidRPr="00C27E58">
        <w:rPr>
          <w:rFonts w:eastAsia="Times New Roman" w:cs="Times New Roman"/>
          <w:i/>
          <w:iCs/>
          <w:lang w:val="lv-LV" w:eastAsia="lv-LV"/>
        </w:rPr>
        <w:t>NUTS </w:t>
      </w:r>
      <w:r w:rsidRPr="00C27E58">
        <w:rPr>
          <w:rFonts w:eastAsia="Times New Roman" w:cs="Times New Roman"/>
          <w:lang w:val="lv-LV" w:eastAsia="lv-LV"/>
        </w:rPr>
        <w:t>2 līmeņa reģioniem (ņemot vērā jauno administratīvi teritoriālo iedalījumu</w:t>
      </w:r>
      <w:r w:rsidR="004022C5">
        <w:rPr>
          <w:rFonts w:eastAsia="Times New Roman" w:cs="Times New Roman"/>
          <w:lang w:val="lv-LV" w:eastAsia="lv-LV"/>
        </w:rPr>
        <w:t>, plānošanas reģionu robežas</w:t>
      </w:r>
      <w:r w:rsidRPr="00C27E58">
        <w:rPr>
          <w:rFonts w:eastAsia="Times New Roman" w:cs="Times New Roman"/>
          <w:lang w:val="lv-LV" w:eastAsia="lv-LV"/>
        </w:rPr>
        <w:t xml:space="preserve"> un iedzīvotāju skaitu pašvaldībās):</w:t>
      </w:r>
    </w:p>
    <w:p w14:paraId="158CCB51" w14:textId="54578728" w:rsidR="0088784E" w:rsidRPr="00C27E58" w:rsidRDefault="0088784E" w:rsidP="00190ADF">
      <w:pPr>
        <w:rPr>
          <w:rFonts w:eastAsia="Times New Roman" w:cs="Times New Roman"/>
          <w:lang w:val="lv-LV"/>
        </w:rPr>
      </w:pPr>
    </w:p>
    <w:p w14:paraId="266FF896" w14:textId="0F69292A" w:rsidR="00EF2741" w:rsidRPr="0088784E" w:rsidRDefault="00EF2741" w:rsidP="00180B74">
      <w:pPr>
        <w:pStyle w:val="ListParagraph"/>
        <w:numPr>
          <w:ilvl w:val="0"/>
          <w:numId w:val="15"/>
        </w:numPr>
        <w:spacing w:after="0"/>
        <w:ind w:left="714" w:hanging="357"/>
        <w:rPr>
          <w:rFonts w:eastAsia="Times New Roman"/>
          <w:lang w:val="lv-LV" w:eastAsia="lv-LV"/>
        </w:rPr>
      </w:pPr>
      <w:r w:rsidRPr="0088784E">
        <w:rPr>
          <w:rFonts w:eastAsia="Times New Roman"/>
          <w:b/>
          <w:bCs/>
          <w:i/>
          <w:iCs/>
          <w:lang w:val="lv-LV" w:eastAsia="lv-LV"/>
        </w:rPr>
        <w:t xml:space="preserve">variants – </w:t>
      </w:r>
      <w:r w:rsidRPr="0088784E">
        <w:rPr>
          <w:rFonts w:eastAsia="Times New Roman"/>
          <w:lang w:val="lv-LV" w:eastAsia="lv-LV"/>
        </w:rPr>
        <w:t xml:space="preserve">paliek spēkā esošais modelis (visa Latvija kā viens </w:t>
      </w:r>
      <w:r w:rsidRPr="0088784E">
        <w:rPr>
          <w:rFonts w:eastAsia="Times New Roman"/>
          <w:i/>
          <w:iCs/>
          <w:lang w:val="lv-LV" w:eastAsia="lv-LV"/>
        </w:rPr>
        <w:t>NUTS</w:t>
      </w:r>
      <w:r w:rsidRPr="0088784E">
        <w:rPr>
          <w:rFonts w:eastAsia="Times New Roman"/>
          <w:lang w:val="lv-LV" w:eastAsia="lv-LV"/>
        </w:rPr>
        <w:t xml:space="preserve"> 2 reģions) (sk. </w:t>
      </w:r>
      <w:r w:rsidR="0088784E">
        <w:rPr>
          <w:rFonts w:eastAsia="Times New Roman"/>
          <w:lang w:val="lv-LV" w:eastAsia="lv-LV"/>
        </w:rPr>
        <w:t>a</w:t>
      </w:r>
      <w:r w:rsidRPr="0088784E">
        <w:rPr>
          <w:rFonts w:eastAsia="Times New Roman"/>
          <w:lang w:val="lv-LV" w:eastAsia="lv-LV"/>
        </w:rPr>
        <w:t>ttēlu</w:t>
      </w:r>
      <w:r w:rsidR="0088784E">
        <w:rPr>
          <w:rFonts w:eastAsia="Times New Roman"/>
          <w:lang w:val="lv-LV" w:eastAsia="lv-LV"/>
        </w:rPr>
        <w:t xml:space="preserve"> Nr. 4</w:t>
      </w:r>
      <w:r w:rsidRPr="0088784E">
        <w:rPr>
          <w:rFonts w:eastAsia="Times New Roman"/>
          <w:lang w:val="lv-LV" w:eastAsia="lv-LV"/>
        </w:rPr>
        <w:t>);</w:t>
      </w:r>
    </w:p>
    <w:p w14:paraId="30A06AD5" w14:textId="77777777" w:rsidR="00EF2741" w:rsidRPr="00C27E58" w:rsidRDefault="00EF2741" w:rsidP="00A20C96">
      <w:pPr>
        <w:spacing w:before="120"/>
        <w:ind w:firstLine="0"/>
        <w:jc w:val="center"/>
        <w:rPr>
          <w:rFonts w:eastAsia="Times New Roman" w:cs="Times New Roman"/>
          <w:lang w:val="lv-LV" w:eastAsia="lv-LV"/>
        </w:rPr>
      </w:pPr>
      <w:r w:rsidRPr="00C27E58">
        <w:rPr>
          <w:rFonts w:cs="Times New Roman"/>
          <w:noProof/>
          <w:lang w:val="lv-LV"/>
        </w:rPr>
        <w:drawing>
          <wp:inline distT="0" distB="0" distL="0" distR="0" wp14:anchorId="0E70AA77" wp14:editId="0A8A1772">
            <wp:extent cx="5341360" cy="3219450"/>
            <wp:effectExtent l="0" t="0" r="0" b="0"/>
            <wp:docPr id="7" name="Picture 206307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07542"/>
                    <pic:cNvPicPr/>
                  </pic:nvPicPr>
                  <pic:blipFill rotWithShape="1">
                    <a:blip r:embed="rId12">
                      <a:extLst>
                        <a:ext uri="{28A0092B-C50C-407E-A947-70E740481C1C}">
                          <a14:useLocalDpi xmlns:a14="http://schemas.microsoft.com/office/drawing/2010/main" val="0"/>
                        </a:ext>
                      </a:extLst>
                    </a:blip>
                    <a:srcRect l="1457" r="1078"/>
                    <a:stretch/>
                  </pic:blipFill>
                  <pic:spPr bwMode="auto">
                    <a:xfrm>
                      <a:off x="0" y="0"/>
                      <a:ext cx="5388111" cy="3247629"/>
                    </a:xfrm>
                    <a:prstGeom prst="rect">
                      <a:avLst/>
                    </a:prstGeom>
                    <a:ln>
                      <a:noFill/>
                    </a:ln>
                    <a:extLst>
                      <a:ext uri="{53640926-AAD7-44D8-BBD7-CCE9431645EC}">
                        <a14:shadowObscured xmlns:a14="http://schemas.microsoft.com/office/drawing/2010/main"/>
                      </a:ext>
                    </a:extLst>
                  </pic:spPr>
                </pic:pic>
              </a:graphicData>
            </a:graphic>
          </wp:inline>
        </w:drawing>
      </w:r>
    </w:p>
    <w:p w14:paraId="152F4D24" w14:textId="128446B3" w:rsidR="00EF2741" w:rsidRDefault="0088784E" w:rsidP="0088784E">
      <w:pPr>
        <w:ind w:firstLine="0"/>
        <w:contextualSpacing/>
        <w:jc w:val="center"/>
        <w:rPr>
          <w:lang w:val="lv-LV"/>
        </w:rPr>
      </w:pPr>
      <w:r>
        <w:rPr>
          <w:lang w:val="lv-LV"/>
        </w:rPr>
        <w:t>A</w:t>
      </w:r>
      <w:r w:rsidR="00EF2741" w:rsidRPr="0088784E">
        <w:rPr>
          <w:lang w:val="lv-LV"/>
        </w:rPr>
        <w:t>ttēls</w:t>
      </w:r>
      <w:r>
        <w:rPr>
          <w:lang w:val="lv-LV"/>
        </w:rPr>
        <w:t xml:space="preserve"> Nr. 4. </w:t>
      </w:r>
      <w:r w:rsidR="00EF2741" w:rsidRPr="0088784E">
        <w:rPr>
          <w:lang w:val="lv-LV"/>
        </w:rPr>
        <w:t xml:space="preserve">Plānotais </w:t>
      </w:r>
      <w:r w:rsidR="00EF2741" w:rsidRPr="0088784E">
        <w:rPr>
          <w:i/>
          <w:iCs/>
          <w:lang w:val="lv-LV"/>
        </w:rPr>
        <w:t>NUTS</w:t>
      </w:r>
      <w:r w:rsidR="00EF2741" w:rsidRPr="0088784E">
        <w:rPr>
          <w:lang w:val="lv-LV"/>
        </w:rPr>
        <w:t xml:space="preserve"> 2 iedalījuma 1. variants</w:t>
      </w:r>
      <w:r>
        <w:rPr>
          <w:lang w:val="lv-LV"/>
        </w:rPr>
        <w:t>.</w:t>
      </w:r>
    </w:p>
    <w:p w14:paraId="381505DC" w14:textId="230D6FAD" w:rsidR="0088784E" w:rsidRPr="0088784E" w:rsidRDefault="0088784E" w:rsidP="0088784E">
      <w:pPr>
        <w:ind w:firstLine="0"/>
        <w:contextualSpacing/>
        <w:jc w:val="center"/>
        <w:rPr>
          <w:lang w:val="lv-LV"/>
        </w:rPr>
      </w:pPr>
    </w:p>
    <w:p w14:paraId="52AF16CC" w14:textId="4E9B2CCC" w:rsidR="00EF2741" w:rsidRPr="0088784E" w:rsidRDefault="00180B74" w:rsidP="00180B74">
      <w:pPr>
        <w:pStyle w:val="ListParagraph"/>
        <w:numPr>
          <w:ilvl w:val="0"/>
          <w:numId w:val="15"/>
        </w:numPr>
        <w:spacing w:after="0"/>
        <w:ind w:left="714" w:hanging="357"/>
        <w:rPr>
          <w:rFonts w:eastAsia="Times New Roman"/>
          <w:b/>
          <w:bCs/>
          <w:i/>
          <w:iCs/>
          <w:lang w:val="lv-LV" w:eastAsia="lv-LV"/>
        </w:rPr>
      </w:pPr>
      <w:r>
        <w:rPr>
          <w:noProof/>
          <w:lang w:val="lv-LV" w:eastAsia="lv-LV"/>
        </w:rPr>
        <w:drawing>
          <wp:anchor distT="0" distB="0" distL="114300" distR="114300" simplePos="0" relativeHeight="251664384" behindDoc="0" locked="0" layoutInCell="1" allowOverlap="1" wp14:anchorId="46A34072" wp14:editId="113421E3">
            <wp:simplePos x="0" y="0"/>
            <wp:positionH relativeFrom="margin">
              <wp:align>center</wp:align>
            </wp:positionH>
            <wp:positionV relativeFrom="paragraph">
              <wp:posOffset>594360</wp:posOffset>
            </wp:positionV>
            <wp:extent cx="5376545" cy="3251200"/>
            <wp:effectExtent l="0" t="0" r="0" b="6350"/>
            <wp:wrapTopAndBottom/>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pic:nvPicPr>
                  <pic:blipFill rotWithShape="1">
                    <a:blip r:embed="rId13" cstate="print">
                      <a:extLst>
                        <a:ext uri="{28A0092B-C50C-407E-A947-70E740481C1C}">
                          <a14:useLocalDpi xmlns:a14="http://schemas.microsoft.com/office/drawing/2010/main" val="0"/>
                        </a:ext>
                      </a:extLst>
                    </a:blip>
                    <a:srcRect l="1556" r="1268"/>
                    <a:stretch/>
                  </pic:blipFill>
                  <pic:spPr bwMode="auto">
                    <a:xfrm>
                      <a:off x="0" y="0"/>
                      <a:ext cx="5376545" cy="325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2741" w:rsidRPr="0088784E">
        <w:rPr>
          <w:rFonts w:eastAsia="Times New Roman"/>
          <w:b/>
          <w:bCs/>
          <w:i/>
          <w:iCs/>
          <w:lang w:val="lv-LV" w:eastAsia="lv-LV"/>
        </w:rPr>
        <w:t xml:space="preserve">variants – </w:t>
      </w:r>
      <w:r w:rsidR="00EF2741" w:rsidRPr="00DF288D">
        <w:rPr>
          <w:rFonts w:eastAsia="Times New Roman"/>
          <w:lang w:val="lv-LV" w:eastAsia="lv-LV"/>
        </w:rPr>
        <w:t xml:space="preserve">divi </w:t>
      </w:r>
      <w:r w:rsidR="00EF2741" w:rsidRPr="00DF288D">
        <w:rPr>
          <w:rFonts w:eastAsia="Times New Roman"/>
          <w:i/>
          <w:iCs/>
          <w:lang w:val="lv-LV" w:eastAsia="lv-LV"/>
        </w:rPr>
        <w:t>NUTS</w:t>
      </w:r>
      <w:r w:rsidR="00EF2741" w:rsidRPr="00DF288D">
        <w:rPr>
          <w:rFonts w:eastAsia="Times New Roman"/>
          <w:lang w:val="lv-LV" w:eastAsia="lv-LV"/>
        </w:rPr>
        <w:t xml:space="preserve"> 2 reģioni, kur viens </w:t>
      </w:r>
      <w:r w:rsidR="00EF2741" w:rsidRPr="00DF288D">
        <w:rPr>
          <w:rFonts w:eastAsia="Times New Roman"/>
          <w:i/>
          <w:iCs/>
          <w:lang w:val="lv-LV" w:eastAsia="lv-LV"/>
        </w:rPr>
        <w:t>NUTS</w:t>
      </w:r>
      <w:r w:rsidR="00EF2741" w:rsidRPr="00DF288D">
        <w:rPr>
          <w:rFonts w:eastAsia="Times New Roman"/>
          <w:lang w:val="lv-LV" w:eastAsia="lv-LV"/>
        </w:rPr>
        <w:t xml:space="preserve"> 2 reģions – Rīgas reģions (</w:t>
      </w:r>
      <w:r w:rsidR="00EF2741" w:rsidRPr="00617943">
        <w:rPr>
          <w:rFonts w:eastAsia="Times New Roman"/>
          <w:u w:val="single"/>
          <w:lang w:val="lv-LV" w:eastAsia="lv-LV"/>
        </w:rPr>
        <w:t xml:space="preserve">sakrīt ar Rīgas </w:t>
      </w:r>
      <w:r w:rsidR="00DF288D" w:rsidRPr="00617943">
        <w:rPr>
          <w:rFonts w:eastAsia="Times New Roman"/>
          <w:u w:val="single"/>
          <w:lang w:val="lv-LV" w:eastAsia="lv-LV"/>
        </w:rPr>
        <w:t>plānošanas reģiona</w:t>
      </w:r>
      <w:r w:rsidR="00EF2741" w:rsidRPr="00617943">
        <w:rPr>
          <w:rFonts w:eastAsia="Times New Roman"/>
          <w:u w:val="single"/>
          <w:lang w:val="lv-LV" w:eastAsia="lv-LV"/>
        </w:rPr>
        <w:t xml:space="preserve"> robežām</w:t>
      </w:r>
      <w:r w:rsidR="00EF2741" w:rsidRPr="00DF288D">
        <w:rPr>
          <w:rFonts w:eastAsia="Times New Roman"/>
          <w:lang w:val="lv-LV" w:eastAsia="lv-LV"/>
        </w:rPr>
        <w:t xml:space="preserve">), bet otrs </w:t>
      </w:r>
      <w:r w:rsidR="00EF2741" w:rsidRPr="00DF288D">
        <w:rPr>
          <w:rFonts w:eastAsia="Times New Roman"/>
          <w:i/>
          <w:iCs/>
          <w:lang w:val="lv-LV" w:eastAsia="lv-LV"/>
        </w:rPr>
        <w:t>NUTS</w:t>
      </w:r>
      <w:r w:rsidR="00EF2741" w:rsidRPr="00DF288D">
        <w:rPr>
          <w:rFonts w:eastAsia="Times New Roman"/>
          <w:lang w:val="lv-LV" w:eastAsia="lv-LV"/>
        </w:rPr>
        <w:t xml:space="preserve"> 2 reģions – </w:t>
      </w:r>
      <w:proofErr w:type="spellStart"/>
      <w:r w:rsidR="00EF2741" w:rsidRPr="00DF288D">
        <w:rPr>
          <w:rFonts w:eastAsia="Times New Roman"/>
          <w:lang w:val="lv-LV" w:eastAsia="lv-LV"/>
        </w:rPr>
        <w:t>Rietumlatvijas</w:t>
      </w:r>
      <w:proofErr w:type="spellEnd"/>
      <w:r w:rsidR="00EF2741" w:rsidRPr="00DF288D">
        <w:rPr>
          <w:rFonts w:eastAsia="Times New Roman"/>
          <w:lang w:val="lv-LV" w:eastAsia="lv-LV"/>
        </w:rPr>
        <w:t xml:space="preserve"> un </w:t>
      </w:r>
      <w:proofErr w:type="spellStart"/>
      <w:r w:rsidR="00EF2741" w:rsidRPr="00DF288D">
        <w:rPr>
          <w:rFonts w:eastAsia="Times New Roman"/>
          <w:lang w:val="lv-LV" w:eastAsia="lv-LV"/>
        </w:rPr>
        <w:t>Austrumlatvijas</w:t>
      </w:r>
      <w:proofErr w:type="spellEnd"/>
      <w:r w:rsidR="00EF2741" w:rsidRPr="00DF288D">
        <w:rPr>
          <w:rFonts w:eastAsia="Times New Roman"/>
          <w:lang w:val="lv-LV" w:eastAsia="lv-LV"/>
        </w:rPr>
        <w:t xml:space="preserve"> reģions (</w:t>
      </w:r>
      <w:r w:rsidR="00EF2741" w:rsidRPr="00617943">
        <w:rPr>
          <w:rFonts w:eastAsia="Times New Roman"/>
          <w:u w:val="single"/>
          <w:lang w:val="lv-LV" w:eastAsia="lv-LV"/>
        </w:rPr>
        <w:t>pārējā Latvijas teritorija</w:t>
      </w:r>
      <w:r w:rsidR="00EF2741" w:rsidRPr="00DF288D">
        <w:rPr>
          <w:rFonts w:eastAsia="Times New Roman"/>
          <w:lang w:val="lv-LV" w:eastAsia="lv-LV"/>
        </w:rPr>
        <w:t xml:space="preserve">) (sk. </w:t>
      </w:r>
      <w:r w:rsidR="0092620D">
        <w:rPr>
          <w:rFonts w:eastAsia="Times New Roman"/>
          <w:lang w:val="lv-LV" w:eastAsia="lv-LV"/>
        </w:rPr>
        <w:t>attēlu Nr. 5</w:t>
      </w:r>
      <w:r w:rsidR="00EF2741" w:rsidRPr="00DF288D">
        <w:rPr>
          <w:rFonts w:eastAsia="Times New Roman"/>
          <w:lang w:val="lv-LV" w:eastAsia="lv-LV"/>
        </w:rPr>
        <w:t>).</w:t>
      </w:r>
    </w:p>
    <w:p w14:paraId="145DE4BC" w14:textId="15E17AA7" w:rsidR="0088784E" w:rsidRDefault="0088784E" w:rsidP="0088784E">
      <w:pPr>
        <w:ind w:firstLine="0"/>
        <w:contextualSpacing/>
        <w:jc w:val="center"/>
        <w:rPr>
          <w:lang w:val="lv-LV"/>
        </w:rPr>
      </w:pPr>
      <w:r>
        <w:rPr>
          <w:lang w:val="lv-LV"/>
        </w:rPr>
        <w:t>A</w:t>
      </w:r>
      <w:r w:rsidRPr="0088784E">
        <w:rPr>
          <w:lang w:val="lv-LV"/>
        </w:rPr>
        <w:t>ttēls</w:t>
      </w:r>
      <w:r>
        <w:rPr>
          <w:lang w:val="lv-LV"/>
        </w:rPr>
        <w:t xml:space="preserve"> Nr. 5. </w:t>
      </w:r>
      <w:r w:rsidRPr="0088784E">
        <w:rPr>
          <w:lang w:val="lv-LV"/>
        </w:rPr>
        <w:t xml:space="preserve">Plānotais </w:t>
      </w:r>
      <w:r w:rsidRPr="0088784E">
        <w:rPr>
          <w:i/>
          <w:iCs/>
          <w:lang w:val="lv-LV"/>
        </w:rPr>
        <w:t>NUTS</w:t>
      </w:r>
      <w:r w:rsidRPr="0088784E">
        <w:rPr>
          <w:lang w:val="lv-LV"/>
        </w:rPr>
        <w:t xml:space="preserve"> 2 iedalījuma </w:t>
      </w:r>
      <w:r>
        <w:rPr>
          <w:lang w:val="lv-LV"/>
        </w:rPr>
        <w:t>2</w:t>
      </w:r>
      <w:r w:rsidRPr="0088784E">
        <w:rPr>
          <w:lang w:val="lv-LV"/>
        </w:rPr>
        <w:t>. variants</w:t>
      </w:r>
      <w:r>
        <w:rPr>
          <w:lang w:val="lv-LV"/>
        </w:rPr>
        <w:t>.</w:t>
      </w:r>
    </w:p>
    <w:p w14:paraId="77E6E50B" w14:textId="77777777" w:rsidR="0088784E" w:rsidRDefault="0088784E" w:rsidP="0088784E">
      <w:pPr>
        <w:ind w:firstLine="0"/>
        <w:contextualSpacing/>
        <w:jc w:val="center"/>
        <w:rPr>
          <w:lang w:val="lv-LV"/>
        </w:rPr>
      </w:pPr>
    </w:p>
    <w:p w14:paraId="40377191" w14:textId="68960DB2" w:rsidR="00EF2741" w:rsidRPr="00C27E58" w:rsidRDefault="00EF2741" w:rsidP="00EF2741">
      <w:pPr>
        <w:rPr>
          <w:rFonts w:cs="Times New Roman"/>
          <w:i/>
          <w:iCs/>
          <w:lang w:val="lv-LV" w:eastAsia="lv-LV"/>
        </w:rPr>
      </w:pPr>
      <w:r w:rsidRPr="00C27E58">
        <w:rPr>
          <w:rFonts w:cs="Times New Roman"/>
          <w:lang w:val="lv-LV"/>
        </w:rPr>
        <w:lastRenderedPageBreak/>
        <w:t xml:space="preserve">Atšķirības starp piedāvātajiem </w:t>
      </w:r>
      <w:r w:rsidRPr="00C27E58">
        <w:rPr>
          <w:rFonts w:cs="Times New Roman"/>
          <w:i/>
          <w:iCs/>
          <w:lang w:val="lv-LV"/>
        </w:rPr>
        <w:t>NUTS</w:t>
      </w:r>
      <w:r w:rsidRPr="00C27E58">
        <w:rPr>
          <w:rFonts w:cs="Times New Roman"/>
          <w:lang w:val="lv-LV"/>
        </w:rPr>
        <w:t xml:space="preserve"> 2 reģionu variantiem pašvaldību skaita un iedzīvotāju skaita ziņā norādītas </w:t>
      </w:r>
      <w:r w:rsidR="0092620D">
        <w:rPr>
          <w:rFonts w:cs="Times New Roman"/>
          <w:lang w:val="lv-LV"/>
        </w:rPr>
        <w:t>tabulā Nr. 2</w:t>
      </w:r>
      <w:r w:rsidRPr="00C27E58">
        <w:rPr>
          <w:rFonts w:cs="Times New Roman"/>
          <w:lang w:val="lv-LV"/>
        </w:rPr>
        <w:t>.</w:t>
      </w:r>
    </w:p>
    <w:p w14:paraId="2A0CA975" w14:textId="77777777" w:rsidR="00EF2741" w:rsidRPr="00A20C96" w:rsidRDefault="00EF2741" w:rsidP="006141B3">
      <w:pPr>
        <w:rPr>
          <w:lang w:val="lv-LV"/>
        </w:rPr>
      </w:pPr>
    </w:p>
    <w:p w14:paraId="42CDC8EB" w14:textId="25BB3296" w:rsidR="00EF2741" w:rsidRPr="00A20C96" w:rsidRDefault="00A20C96" w:rsidP="00A20C96">
      <w:pPr>
        <w:ind w:firstLine="0"/>
        <w:jc w:val="right"/>
        <w:rPr>
          <w:rFonts w:cs="Times New Roman"/>
          <w:i/>
          <w:iCs/>
          <w:lang w:val="lv-LV"/>
        </w:rPr>
      </w:pPr>
      <w:r w:rsidRPr="00A20C96">
        <w:rPr>
          <w:rFonts w:cs="Times New Roman"/>
          <w:i/>
          <w:iCs/>
          <w:lang w:val="lv-LV"/>
        </w:rPr>
        <w:t>Tabula Nr. 2</w:t>
      </w:r>
      <w:r w:rsidR="00EF2741" w:rsidRPr="00A20C96">
        <w:rPr>
          <w:rFonts w:cs="Times New Roman"/>
          <w:i/>
          <w:iCs/>
          <w:lang w:val="lv-LV"/>
        </w:rPr>
        <w:t>. Iespējamie NUTS 2 līmeņa reģionu varianti</w:t>
      </w:r>
      <w:r>
        <w:rPr>
          <w:rFonts w:cs="Times New Roman"/>
          <w:i/>
          <w:iCs/>
          <w:lang w:val="lv-LV"/>
        </w:rPr>
        <w:t>.</w:t>
      </w:r>
    </w:p>
    <w:tbl>
      <w:tblPr>
        <w:tblW w:w="8789" w:type="dxa"/>
        <w:jc w:val="center"/>
        <w:tblLook w:val="04A0" w:firstRow="1" w:lastRow="0" w:firstColumn="1" w:lastColumn="0" w:noHBand="0" w:noVBand="1"/>
      </w:tblPr>
      <w:tblGrid>
        <w:gridCol w:w="4962"/>
        <w:gridCol w:w="1701"/>
        <w:gridCol w:w="2126"/>
      </w:tblGrid>
      <w:tr w:rsidR="00EF2741" w:rsidRPr="00C27E58" w14:paraId="57BFE008" w14:textId="77777777" w:rsidTr="00181D67">
        <w:trPr>
          <w:trHeight w:val="264"/>
          <w:jc w:val="center"/>
        </w:trPr>
        <w:tc>
          <w:tcPr>
            <w:tcW w:w="4962" w:type="dxa"/>
            <w:tcBorders>
              <w:right w:val="single" w:sz="4" w:space="0" w:color="000000"/>
            </w:tcBorders>
            <w:shd w:val="clear" w:color="auto" w:fill="auto"/>
            <w:vAlign w:val="center"/>
          </w:tcPr>
          <w:p w14:paraId="6BA1A9EC" w14:textId="77777777" w:rsidR="00EF2741" w:rsidRPr="00C27E58" w:rsidRDefault="00EF2741" w:rsidP="00181D67">
            <w:pPr>
              <w:ind w:firstLine="0"/>
              <w:jc w:val="left"/>
              <w:rPr>
                <w:rFonts w:eastAsia="Times New Roman" w:cs="Times New Roman"/>
                <w:lang w:val="lv-LV" w:eastAsia="lv-LV"/>
              </w:rPr>
            </w:pPr>
          </w:p>
        </w:tc>
        <w:tc>
          <w:tcPr>
            <w:tcW w:w="1701" w:type="dxa"/>
            <w:tcBorders>
              <w:top w:val="single" w:sz="4" w:space="0" w:color="000000"/>
              <w:bottom w:val="single" w:sz="4" w:space="0" w:color="000000"/>
              <w:right w:val="single" w:sz="4" w:space="0" w:color="000000"/>
            </w:tcBorders>
            <w:shd w:val="clear" w:color="auto" w:fill="auto"/>
            <w:vAlign w:val="center"/>
          </w:tcPr>
          <w:p w14:paraId="3400B8AC" w14:textId="77777777" w:rsidR="00EF2741" w:rsidRPr="00C27E58" w:rsidRDefault="00EF2741" w:rsidP="00181D67">
            <w:pPr>
              <w:ind w:firstLine="0"/>
              <w:jc w:val="center"/>
              <w:rPr>
                <w:rFonts w:eastAsia="Times New Roman" w:cs="Times New Roman"/>
                <w:b/>
                <w:bCs/>
                <w:lang w:val="lv-LV" w:eastAsia="lv-LV"/>
              </w:rPr>
            </w:pPr>
            <w:r w:rsidRPr="00C27E58">
              <w:rPr>
                <w:rFonts w:eastAsia="Times New Roman" w:cs="Times New Roman"/>
                <w:b/>
                <w:bCs/>
                <w:lang w:val="lv-LV" w:eastAsia="lv-LV"/>
              </w:rPr>
              <w:t>Pašvaldību skaits</w:t>
            </w:r>
          </w:p>
        </w:tc>
        <w:tc>
          <w:tcPr>
            <w:tcW w:w="2126" w:type="dxa"/>
            <w:tcBorders>
              <w:top w:val="single" w:sz="4" w:space="0" w:color="000000"/>
              <w:bottom w:val="single" w:sz="4" w:space="0" w:color="000000"/>
              <w:right w:val="single" w:sz="4" w:space="0" w:color="000000"/>
            </w:tcBorders>
            <w:shd w:val="clear" w:color="auto" w:fill="auto"/>
            <w:vAlign w:val="center"/>
          </w:tcPr>
          <w:p w14:paraId="1AB974BB" w14:textId="264A88BC" w:rsidR="00EF2741" w:rsidRPr="00C27E58" w:rsidRDefault="00EF2741" w:rsidP="00181D67">
            <w:pPr>
              <w:ind w:firstLine="0"/>
              <w:jc w:val="center"/>
              <w:rPr>
                <w:rFonts w:eastAsia="Times New Roman" w:cs="Times New Roman"/>
                <w:b/>
                <w:bCs/>
                <w:lang w:val="lv-LV" w:eastAsia="lv-LV"/>
              </w:rPr>
            </w:pPr>
            <w:r w:rsidRPr="00C27E58">
              <w:rPr>
                <w:rFonts w:eastAsia="Times New Roman" w:cs="Times New Roman"/>
                <w:b/>
                <w:bCs/>
                <w:lang w:val="lv-LV" w:eastAsia="lv-LV"/>
              </w:rPr>
              <w:t xml:space="preserve">Iedzīvotāju skaits </w:t>
            </w:r>
            <w:r w:rsidRPr="00C27E58">
              <w:rPr>
                <w:rFonts w:eastAsia="Times New Roman" w:cs="Times New Roman"/>
                <w:sz w:val="20"/>
                <w:szCs w:val="18"/>
                <w:lang w:val="lv-LV" w:eastAsia="lv-LV"/>
              </w:rPr>
              <w:t>(CSP, 20</w:t>
            </w:r>
            <w:r w:rsidR="00181D67">
              <w:rPr>
                <w:rFonts w:eastAsia="Times New Roman" w:cs="Times New Roman"/>
                <w:sz w:val="20"/>
                <w:szCs w:val="18"/>
                <w:lang w:val="lv-LV" w:eastAsia="lv-LV"/>
              </w:rPr>
              <w:t>21</w:t>
            </w:r>
            <w:r w:rsidRPr="00C27E58">
              <w:rPr>
                <w:rFonts w:eastAsia="Times New Roman" w:cs="Times New Roman"/>
                <w:sz w:val="20"/>
                <w:szCs w:val="18"/>
                <w:lang w:val="lv-LV" w:eastAsia="lv-LV"/>
              </w:rPr>
              <w:t>)</w:t>
            </w:r>
          </w:p>
        </w:tc>
      </w:tr>
      <w:tr w:rsidR="00EF2741" w:rsidRPr="00C27E58" w14:paraId="4EE08DBF" w14:textId="77777777" w:rsidTr="00101CE0">
        <w:trPr>
          <w:trHeight w:val="70"/>
          <w:jc w:val="center"/>
        </w:trPr>
        <w:tc>
          <w:tcPr>
            <w:tcW w:w="4962" w:type="dxa"/>
            <w:tcBorders>
              <w:bottom w:val="single" w:sz="4" w:space="0" w:color="000000"/>
              <w:right w:val="single" w:sz="4" w:space="0" w:color="000000"/>
            </w:tcBorders>
            <w:vAlign w:val="center"/>
          </w:tcPr>
          <w:p w14:paraId="77027249" w14:textId="77777777" w:rsidR="00EF2741" w:rsidRPr="00C27E58" w:rsidRDefault="00EF2741" w:rsidP="00181D67">
            <w:pPr>
              <w:ind w:firstLine="0"/>
              <w:jc w:val="left"/>
              <w:rPr>
                <w:rFonts w:eastAsia="Times New Roman" w:cs="Times New Roman"/>
                <w:lang w:val="lv-LV" w:eastAsia="lv-LV"/>
              </w:rPr>
            </w:pPr>
          </w:p>
        </w:tc>
        <w:tc>
          <w:tcPr>
            <w:tcW w:w="3827" w:type="dxa"/>
            <w:gridSpan w:val="2"/>
            <w:tcBorders>
              <w:bottom w:val="single" w:sz="4" w:space="0" w:color="000000"/>
              <w:right w:val="single" w:sz="4" w:space="0" w:color="000000"/>
            </w:tcBorders>
            <w:shd w:val="clear" w:color="auto" w:fill="auto"/>
            <w:vAlign w:val="center"/>
          </w:tcPr>
          <w:p w14:paraId="33E7637D" w14:textId="77777777" w:rsidR="00EF2741" w:rsidRPr="00C27E58" w:rsidRDefault="00EF2741" w:rsidP="00181D67">
            <w:pPr>
              <w:ind w:firstLine="0"/>
              <w:jc w:val="center"/>
              <w:rPr>
                <w:rFonts w:eastAsia="Times New Roman" w:cs="Times New Roman"/>
                <w:b/>
                <w:bCs/>
                <w:lang w:val="lv-LV" w:eastAsia="lv-LV"/>
              </w:rPr>
            </w:pPr>
            <w:r w:rsidRPr="00C27E58">
              <w:rPr>
                <w:rFonts w:eastAsia="Times New Roman" w:cs="Times New Roman"/>
                <w:b/>
                <w:bCs/>
                <w:i/>
                <w:iCs/>
                <w:lang w:val="lv-LV" w:eastAsia="lv-LV"/>
              </w:rPr>
              <w:t>1. variants</w:t>
            </w:r>
          </w:p>
        </w:tc>
      </w:tr>
      <w:tr w:rsidR="00EF2741" w:rsidRPr="00C27E58" w14:paraId="0AA56255" w14:textId="77777777" w:rsidTr="00181D67">
        <w:trPr>
          <w:trHeight w:val="315"/>
          <w:jc w:val="center"/>
        </w:trPr>
        <w:tc>
          <w:tcPr>
            <w:tcW w:w="4962" w:type="dxa"/>
            <w:tcBorders>
              <w:left w:val="single" w:sz="4" w:space="0" w:color="000000"/>
              <w:bottom w:val="single" w:sz="4" w:space="0" w:color="000000"/>
              <w:right w:val="single" w:sz="4" w:space="0" w:color="000000"/>
            </w:tcBorders>
            <w:shd w:val="clear" w:color="auto" w:fill="auto"/>
            <w:vAlign w:val="center"/>
          </w:tcPr>
          <w:p w14:paraId="17AAC257" w14:textId="77777777" w:rsidR="00EF2741" w:rsidRPr="00C27E58" w:rsidRDefault="00EF2741" w:rsidP="00181D67">
            <w:pPr>
              <w:ind w:firstLine="0"/>
              <w:jc w:val="left"/>
              <w:rPr>
                <w:rFonts w:eastAsia="Times New Roman" w:cs="Times New Roman"/>
                <w:b/>
                <w:bCs/>
                <w:lang w:val="lv-LV" w:eastAsia="lv-LV"/>
              </w:rPr>
            </w:pPr>
            <w:r w:rsidRPr="00C27E58">
              <w:rPr>
                <w:rFonts w:eastAsia="Times New Roman" w:cs="Times New Roman"/>
                <w:b/>
                <w:bCs/>
                <w:lang w:val="lv-LV" w:eastAsia="lv-LV"/>
              </w:rPr>
              <w:t>Visa Latvija</w:t>
            </w:r>
          </w:p>
        </w:tc>
        <w:tc>
          <w:tcPr>
            <w:tcW w:w="1701" w:type="dxa"/>
            <w:tcBorders>
              <w:bottom w:val="single" w:sz="4" w:space="0" w:color="000000"/>
              <w:right w:val="single" w:sz="4" w:space="0" w:color="000000"/>
            </w:tcBorders>
            <w:shd w:val="clear" w:color="auto" w:fill="auto"/>
            <w:vAlign w:val="center"/>
          </w:tcPr>
          <w:p w14:paraId="0CEE30F1" w14:textId="7442969C" w:rsidR="00EF2741" w:rsidRPr="00C27E58" w:rsidRDefault="00EF2741" w:rsidP="00181D67">
            <w:pPr>
              <w:ind w:firstLine="0"/>
              <w:jc w:val="center"/>
              <w:rPr>
                <w:rFonts w:eastAsia="Times New Roman" w:cs="Times New Roman"/>
                <w:lang w:val="lv-LV" w:eastAsia="lv-LV"/>
              </w:rPr>
            </w:pPr>
            <w:r w:rsidRPr="00C27E58">
              <w:rPr>
                <w:rFonts w:eastAsia="Times New Roman" w:cs="Times New Roman"/>
                <w:lang w:val="lv-LV" w:eastAsia="lv-LV"/>
              </w:rPr>
              <w:t>4</w:t>
            </w:r>
            <w:r w:rsidR="00181D67">
              <w:rPr>
                <w:rFonts w:eastAsia="Times New Roman" w:cs="Times New Roman"/>
                <w:lang w:val="lv-LV" w:eastAsia="lv-LV"/>
              </w:rPr>
              <w:t>3</w:t>
            </w:r>
          </w:p>
        </w:tc>
        <w:tc>
          <w:tcPr>
            <w:tcW w:w="2126" w:type="dxa"/>
            <w:tcBorders>
              <w:bottom w:val="single" w:sz="4" w:space="0" w:color="000000"/>
              <w:right w:val="single" w:sz="4" w:space="0" w:color="000000"/>
            </w:tcBorders>
            <w:shd w:val="clear" w:color="auto" w:fill="auto"/>
            <w:vAlign w:val="center"/>
          </w:tcPr>
          <w:p w14:paraId="28D83CE8" w14:textId="3169CD41" w:rsidR="00EF2741" w:rsidRPr="00C27E58" w:rsidRDefault="00D80FBD" w:rsidP="00181D67">
            <w:pPr>
              <w:ind w:firstLine="0"/>
              <w:jc w:val="center"/>
              <w:rPr>
                <w:rFonts w:eastAsia="Times New Roman" w:cs="Times New Roman"/>
                <w:lang w:val="lv-LV" w:eastAsia="lv-LV"/>
              </w:rPr>
            </w:pPr>
            <w:r>
              <w:rPr>
                <w:rFonts w:eastAsia="Times New Roman" w:cs="Times New Roman"/>
                <w:lang w:val="lv-LV" w:eastAsia="lv-LV"/>
              </w:rPr>
              <w:t>1 893 223</w:t>
            </w:r>
          </w:p>
        </w:tc>
      </w:tr>
      <w:tr w:rsidR="00EF2741" w:rsidRPr="00C27E58" w14:paraId="5ADCF11E" w14:textId="77777777" w:rsidTr="00101CE0">
        <w:trPr>
          <w:trHeight w:val="315"/>
          <w:jc w:val="center"/>
        </w:trPr>
        <w:tc>
          <w:tcPr>
            <w:tcW w:w="4962" w:type="dxa"/>
            <w:tcBorders>
              <w:left w:val="single" w:sz="4" w:space="0" w:color="000000"/>
              <w:bottom w:val="single" w:sz="4" w:space="0" w:color="000000"/>
              <w:right w:val="single" w:sz="4" w:space="0" w:color="000000"/>
            </w:tcBorders>
            <w:shd w:val="clear" w:color="auto" w:fill="auto"/>
            <w:vAlign w:val="center"/>
          </w:tcPr>
          <w:p w14:paraId="05BA0663" w14:textId="77777777" w:rsidR="00EF2741" w:rsidRPr="00C27E58" w:rsidRDefault="00EF2741" w:rsidP="00181D67">
            <w:pPr>
              <w:ind w:firstLine="0"/>
              <w:jc w:val="left"/>
              <w:rPr>
                <w:rFonts w:eastAsia="Times New Roman" w:cs="Times New Roman"/>
                <w:b/>
                <w:bCs/>
                <w:lang w:val="lv-LV" w:eastAsia="lv-LV"/>
              </w:rPr>
            </w:pPr>
          </w:p>
        </w:tc>
        <w:tc>
          <w:tcPr>
            <w:tcW w:w="3827" w:type="dxa"/>
            <w:gridSpan w:val="2"/>
            <w:tcBorders>
              <w:bottom w:val="single" w:sz="4" w:space="0" w:color="000000"/>
              <w:right w:val="single" w:sz="4" w:space="0" w:color="000000"/>
            </w:tcBorders>
            <w:shd w:val="clear" w:color="auto" w:fill="auto"/>
            <w:vAlign w:val="center"/>
          </w:tcPr>
          <w:p w14:paraId="4C93BD96" w14:textId="77777777" w:rsidR="00EF2741" w:rsidRPr="00C27E58" w:rsidRDefault="00EF2741" w:rsidP="00181D67">
            <w:pPr>
              <w:ind w:firstLine="0"/>
              <w:jc w:val="center"/>
              <w:rPr>
                <w:rFonts w:eastAsia="Times New Roman" w:cs="Times New Roman"/>
                <w:lang w:val="lv-LV" w:eastAsia="lv-LV"/>
              </w:rPr>
            </w:pPr>
            <w:r w:rsidRPr="00C27E58">
              <w:rPr>
                <w:rFonts w:eastAsia="Times New Roman" w:cs="Times New Roman"/>
                <w:b/>
                <w:bCs/>
                <w:i/>
                <w:iCs/>
                <w:lang w:val="lv-LV" w:eastAsia="lv-LV"/>
              </w:rPr>
              <w:t>2. variants</w:t>
            </w:r>
          </w:p>
        </w:tc>
      </w:tr>
      <w:tr w:rsidR="00EF2741" w:rsidRPr="00C27E58" w14:paraId="4D6332F2" w14:textId="77777777" w:rsidTr="00181D67">
        <w:trPr>
          <w:trHeight w:val="315"/>
          <w:jc w:val="center"/>
        </w:trPr>
        <w:tc>
          <w:tcPr>
            <w:tcW w:w="4962" w:type="dxa"/>
            <w:tcBorders>
              <w:left w:val="single" w:sz="4" w:space="0" w:color="000000"/>
              <w:bottom w:val="single" w:sz="4" w:space="0" w:color="000000"/>
              <w:right w:val="single" w:sz="4" w:space="0" w:color="000000"/>
            </w:tcBorders>
            <w:shd w:val="clear" w:color="auto" w:fill="auto"/>
            <w:vAlign w:val="center"/>
          </w:tcPr>
          <w:p w14:paraId="691AECA1" w14:textId="77777777" w:rsidR="00EF2741" w:rsidRPr="00C27E58" w:rsidRDefault="00EF2741" w:rsidP="00181D67">
            <w:pPr>
              <w:ind w:firstLine="0"/>
              <w:jc w:val="left"/>
              <w:rPr>
                <w:rFonts w:eastAsia="Times New Roman" w:cs="Times New Roman"/>
                <w:b/>
                <w:bCs/>
                <w:lang w:val="lv-LV" w:eastAsia="lv-LV"/>
              </w:rPr>
            </w:pPr>
            <w:r w:rsidRPr="00C27E58">
              <w:rPr>
                <w:rFonts w:eastAsia="Times New Roman" w:cs="Times New Roman"/>
                <w:b/>
                <w:bCs/>
                <w:lang w:val="lv-LV" w:eastAsia="lv-LV"/>
              </w:rPr>
              <w:t>Rīgas reģions</w:t>
            </w:r>
          </w:p>
        </w:tc>
        <w:tc>
          <w:tcPr>
            <w:tcW w:w="1701" w:type="dxa"/>
            <w:tcBorders>
              <w:bottom w:val="single" w:sz="4" w:space="0" w:color="000000"/>
              <w:right w:val="single" w:sz="4" w:space="0" w:color="000000"/>
            </w:tcBorders>
            <w:shd w:val="clear" w:color="auto" w:fill="auto"/>
            <w:vAlign w:val="center"/>
          </w:tcPr>
          <w:p w14:paraId="48F4C96F" w14:textId="37EA71B6" w:rsidR="00EF2741" w:rsidRPr="00C27E58" w:rsidRDefault="00181D67" w:rsidP="00181D67">
            <w:pPr>
              <w:ind w:firstLine="0"/>
              <w:jc w:val="center"/>
              <w:rPr>
                <w:rFonts w:eastAsia="Times New Roman" w:cs="Times New Roman"/>
                <w:lang w:val="lv-LV" w:eastAsia="lv-LV"/>
              </w:rPr>
            </w:pPr>
            <w:r>
              <w:rPr>
                <w:rFonts w:eastAsia="Times New Roman" w:cs="Times New Roman"/>
                <w:lang w:val="lv-LV" w:eastAsia="lv-LV"/>
              </w:rPr>
              <w:t>9</w:t>
            </w:r>
          </w:p>
        </w:tc>
        <w:tc>
          <w:tcPr>
            <w:tcW w:w="2126" w:type="dxa"/>
            <w:tcBorders>
              <w:bottom w:val="single" w:sz="4" w:space="0" w:color="000000"/>
              <w:right w:val="single" w:sz="4" w:space="0" w:color="000000"/>
            </w:tcBorders>
            <w:shd w:val="clear" w:color="auto" w:fill="auto"/>
            <w:vAlign w:val="center"/>
          </w:tcPr>
          <w:p w14:paraId="71E08535" w14:textId="5CAF0D12" w:rsidR="00EF2741" w:rsidRPr="00C27E58" w:rsidRDefault="00071A71" w:rsidP="00181D67">
            <w:pPr>
              <w:ind w:firstLine="0"/>
              <w:jc w:val="center"/>
              <w:rPr>
                <w:rFonts w:eastAsia="Times New Roman" w:cs="Times New Roman"/>
                <w:lang w:val="lv-LV"/>
              </w:rPr>
            </w:pPr>
            <w:r>
              <w:rPr>
                <w:rFonts w:eastAsia="Times New Roman" w:cs="Times New Roman"/>
                <w:lang w:val="lv-LV"/>
              </w:rPr>
              <w:t>853 796</w:t>
            </w:r>
          </w:p>
        </w:tc>
      </w:tr>
      <w:tr w:rsidR="00EF2741" w:rsidRPr="00C27E58" w14:paraId="63323D93" w14:textId="77777777" w:rsidTr="00181D67">
        <w:trPr>
          <w:trHeight w:val="315"/>
          <w:jc w:val="center"/>
        </w:trPr>
        <w:tc>
          <w:tcPr>
            <w:tcW w:w="4962" w:type="dxa"/>
            <w:tcBorders>
              <w:left w:val="single" w:sz="4" w:space="0" w:color="000000"/>
              <w:bottom w:val="single" w:sz="4" w:space="0" w:color="000000"/>
              <w:right w:val="single" w:sz="4" w:space="0" w:color="000000"/>
            </w:tcBorders>
            <w:shd w:val="clear" w:color="auto" w:fill="auto"/>
            <w:vAlign w:val="center"/>
          </w:tcPr>
          <w:p w14:paraId="71A64EF2" w14:textId="77777777" w:rsidR="00EF2741" w:rsidRPr="00C27E58" w:rsidRDefault="00EF2741" w:rsidP="00181D67">
            <w:pPr>
              <w:ind w:firstLine="0"/>
              <w:jc w:val="left"/>
              <w:rPr>
                <w:rFonts w:eastAsia="Times New Roman" w:cs="Times New Roman"/>
                <w:b/>
                <w:bCs/>
                <w:lang w:val="lv-LV" w:eastAsia="lv-LV"/>
              </w:rPr>
            </w:pPr>
            <w:proofErr w:type="spellStart"/>
            <w:r w:rsidRPr="00C27E58">
              <w:rPr>
                <w:rFonts w:eastAsia="Times New Roman" w:cs="Times New Roman"/>
                <w:b/>
                <w:bCs/>
                <w:lang w:val="lv-LV" w:eastAsia="lv-LV"/>
              </w:rPr>
              <w:t>Rietumlatvijas</w:t>
            </w:r>
            <w:proofErr w:type="spellEnd"/>
            <w:r w:rsidRPr="00C27E58">
              <w:rPr>
                <w:rFonts w:eastAsia="Times New Roman" w:cs="Times New Roman"/>
                <w:b/>
                <w:bCs/>
                <w:lang w:val="lv-LV" w:eastAsia="lv-LV"/>
              </w:rPr>
              <w:t xml:space="preserve"> un </w:t>
            </w:r>
            <w:proofErr w:type="spellStart"/>
            <w:r w:rsidRPr="00C27E58">
              <w:rPr>
                <w:rFonts w:eastAsia="Times New Roman" w:cs="Times New Roman"/>
                <w:b/>
                <w:bCs/>
                <w:lang w:val="lv-LV" w:eastAsia="lv-LV"/>
              </w:rPr>
              <w:t>Austrumlatvijas</w:t>
            </w:r>
            <w:proofErr w:type="spellEnd"/>
            <w:r w:rsidRPr="00C27E58">
              <w:rPr>
                <w:rFonts w:eastAsia="Times New Roman" w:cs="Times New Roman"/>
                <w:b/>
                <w:bCs/>
                <w:lang w:val="lv-LV" w:eastAsia="lv-LV"/>
              </w:rPr>
              <w:t xml:space="preserve"> reģions (pārējā Latvijas teritorija)</w:t>
            </w:r>
          </w:p>
        </w:tc>
        <w:tc>
          <w:tcPr>
            <w:tcW w:w="1701" w:type="dxa"/>
            <w:tcBorders>
              <w:bottom w:val="single" w:sz="4" w:space="0" w:color="000000"/>
              <w:right w:val="single" w:sz="4" w:space="0" w:color="000000"/>
            </w:tcBorders>
            <w:shd w:val="clear" w:color="auto" w:fill="auto"/>
            <w:vAlign w:val="center"/>
          </w:tcPr>
          <w:p w14:paraId="142F7C5F" w14:textId="39EF9864" w:rsidR="00EF2741" w:rsidRPr="00C27E58" w:rsidRDefault="00EF2741" w:rsidP="00181D67">
            <w:pPr>
              <w:ind w:firstLine="0"/>
              <w:jc w:val="center"/>
              <w:rPr>
                <w:rFonts w:eastAsia="Times New Roman" w:cs="Times New Roman"/>
                <w:lang w:val="lv-LV" w:eastAsia="lv-LV"/>
              </w:rPr>
            </w:pPr>
            <w:r w:rsidRPr="00C27E58">
              <w:rPr>
                <w:rFonts w:eastAsia="Times New Roman" w:cs="Times New Roman"/>
                <w:lang w:val="lv-LV" w:eastAsia="lv-LV"/>
              </w:rPr>
              <w:t>3</w:t>
            </w:r>
            <w:r w:rsidR="00181D67">
              <w:rPr>
                <w:rFonts w:eastAsia="Times New Roman" w:cs="Times New Roman"/>
                <w:lang w:val="lv-LV" w:eastAsia="lv-LV"/>
              </w:rPr>
              <w:t>4</w:t>
            </w:r>
          </w:p>
        </w:tc>
        <w:tc>
          <w:tcPr>
            <w:tcW w:w="2126" w:type="dxa"/>
            <w:tcBorders>
              <w:bottom w:val="single" w:sz="4" w:space="0" w:color="000000"/>
              <w:right w:val="single" w:sz="4" w:space="0" w:color="000000"/>
            </w:tcBorders>
            <w:shd w:val="clear" w:color="auto" w:fill="auto"/>
            <w:vAlign w:val="center"/>
          </w:tcPr>
          <w:p w14:paraId="7CC3160F" w14:textId="1B6F0B56" w:rsidR="00EF2741" w:rsidRPr="00C27E58" w:rsidRDefault="00071A71" w:rsidP="00181D67">
            <w:pPr>
              <w:ind w:firstLine="0"/>
              <w:jc w:val="center"/>
              <w:rPr>
                <w:rFonts w:eastAsia="Times New Roman" w:cs="Times New Roman"/>
                <w:lang w:val="lv-LV" w:eastAsia="lv-LV"/>
              </w:rPr>
            </w:pPr>
            <w:r>
              <w:rPr>
                <w:rFonts w:eastAsia="Times New Roman" w:cs="Times New Roman"/>
                <w:lang w:val="lv-LV" w:eastAsia="lv-LV"/>
              </w:rPr>
              <w:t>1 039 427</w:t>
            </w:r>
          </w:p>
        </w:tc>
      </w:tr>
    </w:tbl>
    <w:p w14:paraId="1F608728" w14:textId="77777777" w:rsidR="006141B3" w:rsidRDefault="006141B3" w:rsidP="006141B3">
      <w:pPr>
        <w:rPr>
          <w:lang w:val="lv-LV"/>
        </w:rPr>
      </w:pPr>
    </w:p>
    <w:p w14:paraId="4DE6780A" w14:textId="1BEEC56B" w:rsidR="006141B3" w:rsidRDefault="00EF2741" w:rsidP="006141B3">
      <w:pPr>
        <w:rPr>
          <w:lang w:val="lv-LV"/>
        </w:rPr>
      </w:pPr>
      <w:r w:rsidRPr="00C27E58">
        <w:rPr>
          <w:lang w:val="lv-LV"/>
        </w:rPr>
        <w:t>Latvijas Nacionālajā attīstības plānā 2021.–2027. gadam tiek prognozēts, ka jau 2024. gadā Latvijas IKP uz vienu iedzīvotāju varētu sasniegt 75% no ES–27 vidējās vērtības.</w:t>
      </w:r>
      <w:r w:rsidRPr="00C27E58">
        <w:rPr>
          <w:rStyle w:val="FootnoteAnchor"/>
          <w:rFonts w:eastAsia="Times New Roman" w:cs="Times New Roman"/>
          <w:lang w:val="lv-LV"/>
        </w:rPr>
        <w:footnoteReference w:id="8"/>
      </w:r>
      <w:r w:rsidRPr="00C27E58">
        <w:rPr>
          <w:lang w:val="lv-LV"/>
        </w:rPr>
        <w:t xml:space="preserve"> Šāda attīstības scenārija gadījumā Latvija</w:t>
      </w:r>
      <w:r w:rsidR="005C782F">
        <w:rPr>
          <w:lang w:val="lv-LV"/>
        </w:rPr>
        <w:t>,</w:t>
      </w:r>
      <w:r w:rsidRPr="00C27E58">
        <w:rPr>
          <w:lang w:val="lv-LV"/>
        </w:rPr>
        <w:t xml:space="preserve"> kā viens līdzšinējais </w:t>
      </w:r>
      <w:r w:rsidRPr="00C27E58">
        <w:rPr>
          <w:i/>
          <w:lang w:val="lv-LV"/>
        </w:rPr>
        <w:t xml:space="preserve">NUTS </w:t>
      </w:r>
      <w:r w:rsidRPr="00C27E58">
        <w:rPr>
          <w:iCs/>
          <w:lang w:val="lv-LV"/>
        </w:rPr>
        <w:t>2</w:t>
      </w:r>
      <w:r w:rsidRPr="00C27E58">
        <w:rPr>
          <w:lang w:val="lv-LV"/>
        </w:rPr>
        <w:t xml:space="preserve"> reģions</w:t>
      </w:r>
      <w:r w:rsidR="005C782F">
        <w:rPr>
          <w:lang w:val="lv-LV"/>
        </w:rPr>
        <w:t>,</w:t>
      </w:r>
      <w:r w:rsidRPr="00C27E58">
        <w:rPr>
          <w:lang w:val="lv-LV"/>
        </w:rPr>
        <w:t xml:space="preserve"> varētu jau tuvākajos gados klasificēties kā </w:t>
      </w:r>
      <w:r w:rsidRPr="00AC47D8">
        <w:rPr>
          <w:i/>
          <w:iCs/>
          <w:lang w:val="lv-LV"/>
        </w:rPr>
        <w:t>pārejas reģions</w:t>
      </w:r>
      <w:r w:rsidRPr="00C27E58">
        <w:rPr>
          <w:lang w:val="lv-LV"/>
        </w:rPr>
        <w:t>, kas nozīmētu potenciālās kohēzijas politikas aploksnes samazinājumu ES daudzgadu budžeta ietvaros pēc 2034. gada, jo 2028.–2034. gada plānošanas periodam vēl tiktu izmantoti dati par 2021.–2023. g</w:t>
      </w:r>
      <w:r w:rsidR="00AC47D8">
        <w:rPr>
          <w:lang w:val="lv-LV"/>
        </w:rPr>
        <w:t>adu</w:t>
      </w:r>
      <w:r w:rsidRPr="00C27E58">
        <w:rPr>
          <w:lang w:val="lv-LV"/>
        </w:rPr>
        <w:t xml:space="preserve">, kad jaunais </w:t>
      </w:r>
      <w:r w:rsidRPr="00C27E58">
        <w:rPr>
          <w:i/>
          <w:iCs/>
          <w:lang w:val="lv-LV"/>
        </w:rPr>
        <w:t xml:space="preserve">NUTS </w:t>
      </w:r>
      <w:r w:rsidRPr="00C27E58">
        <w:rPr>
          <w:lang w:val="lv-LV"/>
        </w:rPr>
        <w:t>2 iedalījums vēl nebūtu stājies spēkā.</w:t>
      </w:r>
    </w:p>
    <w:p w14:paraId="1B3F2FBE" w14:textId="4A6ECA0C" w:rsidR="0013008F" w:rsidRDefault="00EF2741" w:rsidP="00DC3204">
      <w:pPr>
        <w:tabs>
          <w:tab w:val="left" w:pos="851"/>
          <w:tab w:val="left" w:pos="993"/>
        </w:tabs>
        <w:rPr>
          <w:lang w:val="lv-LV"/>
        </w:rPr>
      </w:pPr>
      <w:r w:rsidRPr="00C27E58">
        <w:rPr>
          <w:rFonts w:eastAsia="Times New Roman" w:cs="Times New Roman"/>
          <w:lang w:val="lv-LV"/>
        </w:rPr>
        <w:t xml:space="preserve">Savukārt, izveidojot atsevišķu Rīgas </w:t>
      </w:r>
      <w:r w:rsidRPr="00C27E58">
        <w:rPr>
          <w:rFonts w:eastAsia="Times New Roman" w:cs="Times New Roman"/>
          <w:i/>
          <w:lang w:val="lv-LV"/>
        </w:rPr>
        <w:t>NUTS</w:t>
      </w:r>
      <w:r w:rsidRPr="00C27E58">
        <w:rPr>
          <w:rFonts w:eastAsia="Times New Roman" w:cs="Times New Roman"/>
          <w:lang w:val="lv-LV"/>
        </w:rPr>
        <w:t xml:space="preserve"> 2 reģionu, tas atbilstu </w:t>
      </w:r>
      <w:r w:rsidRPr="00C27E58">
        <w:rPr>
          <w:rFonts w:eastAsia="Times New Roman" w:cs="Times New Roman"/>
          <w:i/>
          <w:lang w:val="lv-LV"/>
        </w:rPr>
        <w:t>pārejas reģiona</w:t>
      </w:r>
      <w:r w:rsidRPr="00C27E58">
        <w:rPr>
          <w:rFonts w:eastAsia="Times New Roman" w:cs="Times New Roman"/>
          <w:lang w:val="lv-LV"/>
        </w:rPr>
        <w:t xml:space="preserve"> vai </w:t>
      </w:r>
      <w:r w:rsidRPr="00C27E58">
        <w:rPr>
          <w:rFonts w:eastAsia="Times New Roman" w:cs="Times New Roman"/>
          <w:i/>
          <w:lang w:val="lv-LV"/>
        </w:rPr>
        <w:t>vairāk attīstītā reģiona</w:t>
      </w:r>
      <w:r w:rsidRPr="00C27E58">
        <w:rPr>
          <w:rFonts w:eastAsia="Times New Roman" w:cs="Times New Roman"/>
          <w:lang w:val="lv-LV"/>
        </w:rPr>
        <w:t xml:space="preserve"> statusam, un šādā gadījumā atbilstoši ES fondu 2014.–2020. gada plānošanas perioda regulējumam ES fondu maksimālās atbalsta likmes Rīgas reģionam samazinātos. </w:t>
      </w:r>
      <w:r w:rsidRPr="00C27E58">
        <w:rPr>
          <w:rFonts w:cs="Times New Roman"/>
          <w:lang w:val="lv-LV"/>
        </w:rPr>
        <w:t xml:space="preserve">Attiecīgi </w:t>
      </w:r>
      <w:r w:rsidRPr="00C27E58">
        <w:rPr>
          <w:rFonts w:cs="Times New Roman"/>
          <w:i/>
          <w:iCs/>
          <w:lang w:val="lv-LV"/>
        </w:rPr>
        <w:t>NUTS</w:t>
      </w:r>
      <w:r w:rsidRPr="00C27E58">
        <w:rPr>
          <w:rFonts w:cs="Times New Roman"/>
          <w:lang w:val="lv-LV"/>
        </w:rPr>
        <w:t xml:space="preserve"> 2 Rīgas reģiona ES fondu līdzfinansējuma likme plānošanas periodos pēc 2034. gada samazinātos no 85% līdz 60% vai 40% (atkarībā no tā, vai </w:t>
      </w:r>
      <w:r w:rsidRPr="00C27E58">
        <w:rPr>
          <w:rFonts w:cs="Times New Roman"/>
          <w:i/>
          <w:iCs/>
          <w:lang w:val="lv-LV"/>
        </w:rPr>
        <w:t>NUTS</w:t>
      </w:r>
      <w:r w:rsidRPr="00C27E58">
        <w:rPr>
          <w:rFonts w:cs="Times New Roman"/>
          <w:lang w:val="lv-LV"/>
        </w:rPr>
        <w:t xml:space="preserve"> 2 Rīgas reģions atbilstu </w:t>
      </w:r>
      <w:r w:rsidRPr="00C27E58">
        <w:rPr>
          <w:rFonts w:cs="Times New Roman"/>
          <w:bCs/>
          <w:i/>
          <w:iCs/>
          <w:lang w:val="lv-LV"/>
        </w:rPr>
        <w:t>pārejas reģiona</w:t>
      </w:r>
      <w:r w:rsidRPr="00C27E58">
        <w:rPr>
          <w:rFonts w:cs="Times New Roman"/>
          <w:bCs/>
          <w:lang w:val="lv-LV"/>
        </w:rPr>
        <w:t xml:space="preserve">, vai arī </w:t>
      </w:r>
      <w:r w:rsidRPr="00C27E58">
        <w:rPr>
          <w:rFonts w:cs="Times New Roman"/>
          <w:bCs/>
          <w:i/>
          <w:iCs/>
          <w:lang w:val="lv-LV"/>
        </w:rPr>
        <w:t>vairāk attīstītā reģiona</w:t>
      </w:r>
      <w:r w:rsidRPr="00C27E58">
        <w:rPr>
          <w:rFonts w:cs="Times New Roman"/>
          <w:bCs/>
          <w:lang w:val="lv-LV"/>
        </w:rPr>
        <w:t xml:space="preserve"> </w:t>
      </w:r>
      <w:r w:rsidRPr="00C27E58">
        <w:rPr>
          <w:rFonts w:cs="Times New Roman"/>
          <w:lang w:val="lv-LV"/>
        </w:rPr>
        <w:t xml:space="preserve">statusam), savukārt </w:t>
      </w:r>
      <w:proofErr w:type="spellStart"/>
      <w:r w:rsidRPr="00C27E58">
        <w:rPr>
          <w:rFonts w:eastAsia="Times New Roman" w:cs="Times New Roman"/>
          <w:lang w:val="lv-LV"/>
        </w:rPr>
        <w:t>Rietumlatvijas</w:t>
      </w:r>
      <w:proofErr w:type="spellEnd"/>
      <w:r w:rsidRPr="00C27E58">
        <w:rPr>
          <w:rFonts w:eastAsia="Times New Roman" w:cs="Times New Roman"/>
          <w:lang w:val="lv-LV"/>
        </w:rPr>
        <w:t xml:space="preserve"> un </w:t>
      </w:r>
      <w:proofErr w:type="spellStart"/>
      <w:r w:rsidRPr="00C27E58">
        <w:rPr>
          <w:rFonts w:eastAsia="Times New Roman" w:cs="Times New Roman"/>
          <w:lang w:val="lv-LV"/>
        </w:rPr>
        <w:t>Austrumlatvijas</w:t>
      </w:r>
      <w:proofErr w:type="spellEnd"/>
      <w:r w:rsidRPr="00C27E58">
        <w:rPr>
          <w:rFonts w:eastAsia="Times New Roman" w:cs="Times New Roman"/>
          <w:lang w:val="lv-LV"/>
        </w:rPr>
        <w:t xml:space="preserve"> reģionam (pārējā Latvijas teritorija) saglabātos esošā </w:t>
      </w:r>
      <w:r w:rsidRPr="00C27E58">
        <w:rPr>
          <w:rFonts w:cs="Times New Roman"/>
          <w:lang w:val="lv-LV"/>
        </w:rPr>
        <w:t>ES fondu līdzfinansējuma likme – 85</w:t>
      </w:r>
      <w:r w:rsidRPr="00263128">
        <w:rPr>
          <w:rFonts w:cs="Times New Roman"/>
          <w:lang w:val="lv-LV"/>
        </w:rPr>
        <w:t xml:space="preserve">%. </w:t>
      </w:r>
      <w:r w:rsidRPr="00263128">
        <w:rPr>
          <w:rFonts w:eastAsia="Times New Roman" w:cs="Times New Roman"/>
          <w:lang w:val="lv-LV"/>
        </w:rPr>
        <w:t xml:space="preserve">Ja Latvija šobrīd vēlētos grozīt </w:t>
      </w:r>
      <w:r w:rsidRPr="00263128">
        <w:rPr>
          <w:rFonts w:eastAsia="Times New Roman" w:cs="Times New Roman"/>
          <w:i/>
          <w:iCs/>
          <w:lang w:val="lv-LV"/>
        </w:rPr>
        <w:t>NUTS</w:t>
      </w:r>
      <w:r w:rsidRPr="00263128">
        <w:rPr>
          <w:rFonts w:eastAsia="Times New Roman" w:cs="Times New Roman"/>
          <w:lang w:val="lv-LV"/>
        </w:rPr>
        <w:t xml:space="preserve"> 2 dalījumu, grozījumi varētu ietekmēt ES fondu </w:t>
      </w:r>
      <w:r w:rsidRPr="00263128">
        <w:rPr>
          <w:rFonts w:cs="Times New Roman"/>
          <w:lang w:val="lv-LV"/>
        </w:rPr>
        <w:t>plānošanas periodu tikai pēc 2034. gada</w:t>
      </w:r>
      <w:r w:rsidRPr="00263128">
        <w:rPr>
          <w:rFonts w:eastAsia="Times New Roman" w:cs="Times New Roman"/>
          <w:lang w:val="lv-LV"/>
        </w:rPr>
        <w:t xml:space="preserve">, kad aprēķinu veikšanai varētu tikt izmantoti dati par periodu no </w:t>
      </w:r>
      <w:r w:rsidRPr="00263128">
        <w:rPr>
          <w:rFonts w:cs="Times New Roman"/>
          <w:lang w:val="lv-LV"/>
        </w:rPr>
        <w:t>2024.–2026. gadam</w:t>
      </w:r>
      <w:r w:rsidRPr="00263128">
        <w:rPr>
          <w:rFonts w:eastAsia="Times New Roman" w:cs="Times New Roman"/>
          <w:lang w:val="lv-LV"/>
        </w:rPr>
        <w:t>.</w:t>
      </w:r>
      <w:r w:rsidR="0013008F" w:rsidRPr="00263128">
        <w:rPr>
          <w:rFonts w:eastAsia="Times New Roman" w:cs="Times New Roman"/>
          <w:lang w:val="lv-LV"/>
        </w:rPr>
        <w:t xml:space="preserve"> </w:t>
      </w:r>
      <w:r w:rsidR="0013008F" w:rsidRPr="00263128">
        <w:rPr>
          <w:rFonts w:cs="Times New Roman"/>
          <w:lang w:val="lv-LV"/>
        </w:rPr>
        <w:t xml:space="preserve">Vienlaikus nacionālā līmenī jauno </w:t>
      </w:r>
      <w:r w:rsidR="0013008F" w:rsidRPr="00263128">
        <w:rPr>
          <w:rFonts w:cs="Times New Roman"/>
          <w:i/>
          <w:iCs/>
          <w:lang w:val="lv-LV"/>
        </w:rPr>
        <w:t>NUTS</w:t>
      </w:r>
      <w:r w:rsidR="0013008F" w:rsidRPr="00263128">
        <w:rPr>
          <w:rFonts w:cs="Times New Roman"/>
          <w:lang w:val="lv-LV"/>
        </w:rPr>
        <w:t xml:space="preserve"> 2 dalījumu attīstības plānošanas procesam Latvija varētu piemērot ātrāk, lai </w:t>
      </w:r>
      <w:r w:rsidR="004C24C2" w:rsidRPr="00263128">
        <w:rPr>
          <w:rFonts w:cs="Times New Roman"/>
          <w:lang w:val="lv-LV"/>
        </w:rPr>
        <w:t>virzītos uz reģionālās poli</w:t>
      </w:r>
      <w:r w:rsidR="00EB29F5" w:rsidRPr="00263128">
        <w:rPr>
          <w:rFonts w:cs="Times New Roman"/>
          <w:lang w:val="lv-LV"/>
        </w:rPr>
        <w:t xml:space="preserve">tikas izvirzītajiem mērķiem un lai </w:t>
      </w:r>
      <w:r w:rsidR="00DC3204" w:rsidRPr="00263128">
        <w:rPr>
          <w:rFonts w:cs="Times New Roman"/>
          <w:lang w:val="lv-LV"/>
        </w:rPr>
        <w:t xml:space="preserve">samazinātu </w:t>
      </w:r>
      <w:r w:rsidR="00DC3204" w:rsidRPr="00263128">
        <w:rPr>
          <w:lang w:val="lv-LV"/>
        </w:rPr>
        <w:t>ievērojamās reģionālās attīstības un sociālekonomiskās atšķirības starp reģioniem Latvijā.</w:t>
      </w:r>
    </w:p>
    <w:p w14:paraId="6BD71C6F" w14:textId="693FEAFF" w:rsidR="006141B3" w:rsidRDefault="0013008F" w:rsidP="006141B3">
      <w:pPr>
        <w:rPr>
          <w:lang w:val="lv-LV"/>
        </w:rPr>
      </w:pPr>
      <w:r>
        <w:rPr>
          <w:rFonts w:eastAsia="Times New Roman" w:cs="Times New Roman"/>
          <w:lang w:val="lv-LV"/>
        </w:rPr>
        <w:t>S</w:t>
      </w:r>
      <w:r w:rsidR="00EF2741" w:rsidRPr="00C27E58">
        <w:rPr>
          <w:rFonts w:eastAsia="Times New Roman" w:cs="Times New Roman"/>
          <w:lang w:val="lv-LV"/>
        </w:rPr>
        <w:t xml:space="preserve">adalot Latviju divos atsevišķos </w:t>
      </w:r>
      <w:r w:rsidR="00EF2741" w:rsidRPr="00C27E58">
        <w:rPr>
          <w:rFonts w:eastAsia="Times New Roman" w:cs="Times New Roman"/>
          <w:i/>
          <w:iCs/>
          <w:lang w:val="lv-LV"/>
        </w:rPr>
        <w:t>NUTS</w:t>
      </w:r>
      <w:r w:rsidR="00EF2741" w:rsidRPr="00C27E58">
        <w:rPr>
          <w:rFonts w:eastAsia="Times New Roman" w:cs="Times New Roman"/>
          <w:lang w:val="lv-LV"/>
        </w:rPr>
        <w:t> 2 reģionos, varētu tikt ierobežotas iespējas nepieciešamības gadījumā pārdalīt finansējumu ES fondu darbības programmas ietvaros. Tomēr šāda pieeja nodrošinātu daudz mērķtiecīgāku un konkrētā reģiona vajadzībām atbilstošāku atbalsta veidu, jo katram reģionam būtu nodalīts savs atbalsta veids un mehānisms. Tādējādi reģionus būtu iespējams padarīt konkurētspējīgākus, kā arī tiktu veicināta ekonomiskā izaugsme mazāk attīstītajos reģionos, radot tiem papildu iespējas attīstībai caur ES reģionālās politikas instrumentiem.</w:t>
      </w:r>
    </w:p>
    <w:p w14:paraId="31D44597" w14:textId="77777777" w:rsidR="006141B3" w:rsidRDefault="00EF2741" w:rsidP="006141B3">
      <w:pPr>
        <w:rPr>
          <w:lang w:val="lv-LV"/>
        </w:rPr>
      </w:pPr>
      <w:r w:rsidRPr="00C27E58">
        <w:rPr>
          <w:rFonts w:eastAsia="Times New Roman" w:cs="Times New Roman"/>
          <w:lang w:val="lv-LV"/>
        </w:rPr>
        <w:t xml:space="preserve">Līdzīgas </w:t>
      </w:r>
      <w:r w:rsidRPr="00C27E58">
        <w:rPr>
          <w:rFonts w:eastAsia="Times New Roman" w:cs="Times New Roman"/>
          <w:i/>
          <w:lang w:val="lv-LV"/>
        </w:rPr>
        <w:t>NUTS</w:t>
      </w:r>
      <w:r w:rsidRPr="00C27E58">
        <w:rPr>
          <w:rFonts w:eastAsia="Times New Roman" w:cs="Times New Roman"/>
          <w:lang w:val="lv-LV"/>
        </w:rPr>
        <w:t xml:space="preserve"> 2 iedalījuma izmaiņas ir veiktas arī citās valstīs. Piemēram, Lietuvas IKP uz vienu iedzīvotāju līmenis 2014. gadā sasniedza 75% no ES vidējās vērtības, kā rezultātā Lietuvas Republikas valdība 2016. gadā nolēma grozīt esošo </w:t>
      </w:r>
      <w:r w:rsidRPr="00C27E58">
        <w:rPr>
          <w:rFonts w:eastAsia="Times New Roman" w:cs="Times New Roman"/>
          <w:i/>
          <w:lang w:val="lv-LV"/>
        </w:rPr>
        <w:t>NUTS</w:t>
      </w:r>
      <w:r w:rsidRPr="00C27E58">
        <w:rPr>
          <w:rFonts w:eastAsia="Times New Roman" w:cs="Times New Roman"/>
          <w:lang w:val="lv-LV"/>
        </w:rPr>
        <w:t xml:space="preserve"> 2 dalījumu, sadalot vienu esošo </w:t>
      </w:r>
      <w:r w:rsidRPr="00C27E58">
        <w:rPr>
          <w:rFonts w:eastAsia="Times New Roman" w:cs="Times New Roman"/>
          <w:i/>
          <w:lang w:val="lv-LV"/>
        </w:rPr>
        <w:t>NUTS</w:t>
      </w:r>
      <w:r w:rsidRPr="00C27E58">
        <w:rPr>
          <w:rFonts w:eastAsia="Times New Roman" w:cs="Times New Roman"/>
          <w:lang w:val="lv-LV"/>
        </w:rPr>
        <w:t xml:space="preserve"> 2 reģionu divos atsevišķos </w:t>
      </w:r>
      <w:r w:rsidRPr="00C27E58">
        <w:rPr>
          <w:rFonts w:eastAsia="Times New Roman" w:cs="Times New Roman"/>
          <w:i/>
          <w:lang w:val="lv-LV"/>
        </w:rPr>
        <w:t>NUTS</w:t>
      </w:r>
      <w:r w:rsidRPr="00C27E58">
        <w:rPr>
          <w:rFonts w:eastAsia="Times New Roman" w:cs="Times New Roman"/>
          <w:lang w:val="lv-LV"/>
        </w:rPr>
        <w:t xml:space="preserve"> 2 reģionos.</w:t>
      </w:r>
      <w:r w:rsidRPr="00C27E58">
        <w:rPr>
          <w:rStyle w:val="FootnoteAnchor"/>
          <w:rFonts w:cs="Times New Roman"/>
          <w:lang w:val="lv-LV" w:eastAsia="lv-LV"/>
        </w:rPr>
        <w:footnoteReference w:id="9"/>
      </w:r>
      <w:hyperlink r:id="rId14" w:anchor="_ftn1" w:history="1">
        <w:r w:rsidRPr="00C27E58">
          <w:rPr>
            <w:rFonts w:eastAsia="Times New Roman" w:cs="Times New Roman"/>
            <w:lang w:val="lv-LV"/>
          </w:rPr>
          <w:t xml:space="preserve"> Saskaņā ar Komisijas 2016. gada 21. novembra Regulu (ES) 2016/2066, Lietuvai kopš 2018. gada 1. janvāra ir piemēroti šādi </w:t>
        </w:r>
      </w:hyperlink>
      <w:r w:rsidRPr="00C27E58">
        <w:rPr>
          <w:rFonts w:eastAsia="Times New Roman" w:cs="Times New Roman"/>
          <w:i/>
          <w:lang w:val="lv-LV"/>
        </w:rPr>
        <w:t>NUTS</w:t>
      </w:r>
      <w:r w:rsidRPr="00C27E58">
        <w:rPr>
          <w:rFonts w:eastAsia="Times New Roman" w:cs="Times New Roman"/>
          <w:lang w:val="lv-LV"/>
        </w:rPr>
        <w:t xml:space="preserve"> 2 līmeņa reģioni – Galvaspilsētas reģions (</w:t>
      </w:r>
      <w:r w:rsidRPr="00C27E58">
        <w:rPr>
          <w:rFonts w:eastAsia="Times New Roman" w:cs="Times New Roman"/>
          <w:i/>
          <w:lang w:val="lv-LV"/>
        </w:rPr>
        <w:t xml:space="preserve">lietuviešu val. – </w:t>
      </w:r>
      <w:proofErr w:type="spellStart"/>
      <w:r w:rsidRPr="00C27E58">
        <w:rPr>
          <w:rFonts w:eastAsia="Times New Roman" w:cs="Times New Roman"/>
          <w:i/>
          <w:lang w:val="lv-LV"/>
        </w:rPr>
        <w:t>Sostinės</w:t>
      </w:r>
      <w:proofErr w:type="spellEnd"/>
      <w:r w:rsidRPr="00C27E58">
        <w:rPr>
          <w:rFonts w:eastAsia="Times New Roman" w:cs="Times New Roman"/>
          <w:i/>
          <w:lang w:val="lv-LV"/>
        </w:rPr>
        <w:t xml:space="preserve"> </w:t>
      </w:r>
      <w:proofErr w:type="spellStart"/>
      <w:r w:rsidRPr="00C27E58">
        <w:rPr>
          <w:rFonts w:eastAsia="Times New Roman" w:cs="Times New Roman"/>
          <w:i/>
          <w:lang w:val="lv-LV"/>
        </w:rPr>
        <w:t>regionas</w:t>
      </w:r>
      <w:proofErr w:type="spellEnd"/>
      <w:r w:rsidRPr="00C27E58">
        <w:rPr>
          <w:rFonts w:eastAsia="Times New Roman" w:cs="Times New Roman"/>
          <w:lang w:val="lv-LV"/>
        </w:rPr>
        <w:t>) un Centrālās un rietumu Lietuvas reģions (</w:t>
      </w:r>
      <w:r w:rsidRPr="00C27E58">
        <w:rPr>
          <w:rFonts w:eastAsia="Times New Roman" w:cs="Times New Roman"/>
          <w:i/>
          <w:lang w:val="lv-LV"/>
        </w:rPr>
        <w:t xml:space="preserve">lietuviešu val. – </w:t>
      </w:r>
      <w:proofErr w:type="spellStart"/>
      <w:r w:rsidRPr="00C27E58">
        <w:rPr>
          <w:rFonts w:eastAsia="Times New Roman" w:cs="Times New Roman"/>
          <w:i/>
          <w:lang w:val="lv-LV"/>
        </w:rPr>
        <w:t>Vidurio</w:t>
      </w:r>
      <w:proofErr w:type="spellEnd"/>
      <w:r w:rsidRPr="00C27E58">
        <w:rPr>
          <w:rFonts w:eastAsia="Times New Roman" w:cs="Times New Roman"/>
          <w:i/>
          <w:lang w:val="lv-LV"/>
        </w:rPr>
        <w:t xml:space="preserve"> ir </w:t>
      </w:r>
      <w:proofErr w:type="spellStart"/>
      <w:r w:rsidRPr="00C27E58">
        <w:rPr>
          <w:rFonts w:eastAsia="Times New Roman" w:cs="Times New Roman"/>
          <w:i/>
          <w:lang w:val="lv-LV"/>
        </w:rPr>
        <w:t>vakarų</w:t>
      </w:r>
      <w:proofErr w:type="spellEnd"/>
      <w:r w:rsidRPr="00C27E58">
        <w:rPr>
          <w:rFonts w:eastAsia="Times New Roman" w:cs="Times New Roman"/>
          <w:i/>
          <w:lang w:val="lv-LV"/>
        </w:rPr>
        <w:t xml:space="preserve"> </w:t>
      </w:r>
      <w:proofErr w:type="spellStart"/>
      <w:r w:rsidRPr="00C27E58">
        <w:rPr>
          <w:rFonts w:eastAsia="Times New Roman" w:cs="Times New Roman"/>
          <w:i/>
          <w:lang w:val="lv-LV"/>
        </w:rPr>
        <w:t>Lietuvos</w:t>
      </w:r>
      <w:proofErr w:type="spellEnd"/>
      <w:r w:rsidRPr="00C27E58">
        <w:rPr>
          <w:rFonts w:eastAsia="Times New Roman" w:cs="Times New Roman"/>
          <w:i/>
          <w:lang w:val="lv-LV"/>
        </w:rPr>
        <w:t xml:space="preserve"> </w:t>
      </w:r>
      <w:proofErr w:type="spellStart"/>
      <w:r w:rsidRPr="00C27E58">
        <w:rPr>
          <w:rFonts w:eastAsia="Times New Roman" w:cs="Times New Roman"/>
          <w:i/>
          <w:lang w:val="lv-LV"/>
        </w:rPr>
        <w:t>regionas</w:t>
      </w:r>
      <w:proofErr w:type="spellEnd"/>
      <w:r w:rsidRPr="00C27E58">
        <w:rPr>
          <w:rFonts w:eastAsia="Times New Roman" w:cs="Times New Roman"/>
          <w:lang w:val="lv-LV"/>
        </w:rPr>
        <w:t xml:space="preserve">). Lietuvā sadalīšana divos </w:t>
      </w:r>
      <w:r w:rsidRPr="00C27E58">
        <w:rPr>
          <w:rFonts w:eastAsia="Times New Roman" w:cs="Times New Roman"/>
          <w:i/>
          <w:iCs/>
          <w:lang w:val="lv-LV"/>
        </w:rPr>
        <w:t>NUTS</w:t>
      </w:r>
      <w:r w:rsidRPr="00C27E58">
        <w:rPr>
          <w:rFonts w:eastAsia="Times New Roman" w:cs="Times New Roman"/>
          <w:lang w:val="lv-LV"/>
        </w:rPr>
        <w:t xml:space="preserve"> 2 reģionos tika veikta ar mērķi pretendēt uz ievērojami izdevīgākiem ES fondu ieviešanas nosacījumiem vismaz </w:t>
      </w:r>
      <w:r w:rsidRPr="00C27E58">
        <w:rPr>
          <w:rFonts w:eastAsia="Times New Roman" w:cs="Times New Roman"/>
          <w:lang w:val="lv-LV"/>
        </w:rPr>
        <w:lastRenderedPageBreak/>
        <w:t xml:space="preserve">tai valsts daļai, kas kvalificējas kā </w:t>
      </w:r>
      <w:r w:rsidRPr="00C27E58">
        <w:rPr>
          <w:rFonts w:eastAsia="Times New Roman" w:cs="Times New Roman"/>
          <w:i/>
          <w:iCs/>
          <w:lang w:val="lv-LV"/>
        </w:rPr>
        <w:t>mazāk attīstītais</w:t>
      </w:r>
      <w:r w:rsidRPr="00C27E58">
        <w:rPr>
          <w:rFonts w:eastAsia="Times New Roman" w:cs="Times New Roman"/>
          <w:lang w:val="lv-LV"/>
        </w:rPr>
        <w:t xml:space="preserve"> </w:t>
      </w:r>
      <w:r w:rsidRPr="00C27E58">
        <w:rPr>
          <w:rFonts w:eastAsia="Times New Roman" w:cs="Times New Roman"/>
          <w:i/>
          <w:iCs/>
          <w:lang w:val="lv-LV"/>
        </w:rPr>
        <w:t>NUTS</w:t>
      </w:r>
      <w:r w:rsidRPr="00C27E58">
        <w:rPr>
          <w:rFonts w:eastAsia="Times New Roman" w:cs="Times New Roman"/>
          <w:lang w:val="lv-LV"/>
        </w:rPr>
        <w:t> 2 reģions</w:t>
      </w:r>
      <w:r w:rsidRPr="00C27E58">
        <w:rPr>
          <w:rStyle w:val="FootnoteReference"/>
          <w:rFonts w:eastAsia="Times New Roman" w:cs="Times New Roman"/>
          <w:lang w:val="lv-LV"/>
        </w:rPr>
        <w:footnoteReference w:id="10"/>
      </w:r>
      <w:r w:rsidRPr="00C27E58">
        <w:rPr>
          <w:rFonts w:eastAsia="Times New Roman" w:cs="Times New Roman"/>
          <w:lang w:val="lv-LV"/>
        </w:rPr>
        <w:t xml:space="preserve">. Vienlaikus jāņem vērā, ka minēto </w:t>
      </w:r>
      <w:r w:rsidRPr="00C27E58">
        <w:rPr>
          <w:rFonts w:eastAsia="Times New Roman" w:cs="Times New Roman"/>
          <w:i/>
          <w:lang w:val="lv-LV"/>
        </w:rPr>
        <w:t>NUTS</w:t>
      </w:r>
      <w:r w:rsidRPr="00C27E58">
        <w:rPr>
          <w:rFonts w:eastAsia="Times New Roman" w:cs="Times New Roman"/>
          <w:lang w:val="lv-LV"/>
        </w:rPr>
        <w:t xml:space="preserve"> 2 reģionu robežu izmaiņu rezultātā Lietuvā ir identificētas arī problēmas, piemēram, ārpus Galvaspilsētas reģiona ES fondu finansējuma absorbcijas spēja ir salīdzinoši zemāka.</w:t>
      </w:r>
    </w:p>
    <w:p w14:paraId="2D494D6A" w14:textId="77777777" w:rsidR="006141B3" w:rsidRDefault="00EF2741" w:rsidP="006141B3">
      <w:pPr>
        <w:rPr>
          <w:rFonts w:eastAsia="Times New Roman" w:cs="Times New Roman"/>
          <w:lang w:val="lv-LV"/>
        </w:rPr>
      </w:pPr>
      <w:r w:rsidRPr="00C27E58">
        <w:rPr>
          <w:rFonts w:eastAsia="Times New Roman" w:cs="Times New Roman"/>
          <w:lang w:val="lv-LV"/>
        </w:rPr>
        <w:t xml:space="preserve">Savukārt otra mūsu Baltijas kaimiņvalsts Igaunija kā viens </w:t>
      </w:r>
      <w:r w:rsidRPr="00C27E58">
        <w:rPr>
          <w:rFonts w:eastAsia="Times New Roman" w:cs="Times New Roman"/>
          <w:i/>
          <w:lang w:val="lv-LV"/>
        </w:rPr>
        <w:t>NUTS</w:t>
      </w:r>
      <w:r w:rsidRPr="00C27E58">
        <w:rPr>
          <w:rFonts w:eastAsia="Times New Roman" w:cs="Times New Roman"/>
          <w:lang w:val="lv-LV"/>
        </w:rPr>
        <w:t xml:space="preserve"> 2 reģions 75% no ES vidējā IKP uz vienu iedzīvotāju līmeni sasniedza jau 2013. gadā. Tomēr Igaunija līdz šim nav nolēmusi grozīt esošo </w:t>
      </w:r>
      <w:r w:rsidRPr="00C27E58">
        <w:rPr>
          <w:rFonts w:eastAsia="Times New Roman" w:cs="Times New Roman"/>
          <w:i/>
          <w:lang w:val="lv-LV"/>
        </w:rPr>
        <w:t>NUTS</w:t>
      </w:r>
      <w:r w:rsidRPr="00C27E58">
        <w:rPr>
          <w:rFonts w:eastAsia="Times New Roman" w:cs="Times New Roman"/>
          <w:lang w:val="lv-LV"/>
        </w:rPr>
        <w:t xml:space="preserve"> 2 dalījumu, un, ņemot vērā, ka </w:t>
      </w:r>
      <w:r w:rsidRPr="00C27E58">
        <w:rPr>
          <w:rFonts w:eastAsia="Times New Roman" w:cs="Times New Roman"/>
          <w:i/>
          <w:iCs/>
          <w:lang w:val="lv-LV"/>
        </w:rPr>
        <w:t xml:space="preserve">NUTS </w:t>
      </w:r>
      <w:r w:rsidRPr="00C27E58">
        <w:rPr>
          <w:rFonts w:eastAsia="Times New Roman" w:cs="Times New Roman"/>
          <w:lang w:val="lv-LV"/>
        </w:rPr>
        <w:t xml:space="preserve">2 līmeņa reģiona minimālais nepieciešamais iedzīvotāju skaits ir 800 000, šobrīd priekšlikums grozīt </w:t>
      </w:r>
      <w:r w:rsidRPr="00C27E58">
        <w:rPr>
          <w:rFonts w:eastAsia="Times New Roman" w:cs="Times New Roman"/>
          <w:i/>
          <w:lang w:val="lv-LV"/>
        </w:rPr>
        <w:t>NUTS</w:t>
      </w:r>
      <w:r w:rsidRPr="00C27E58">
        <w:rPr>
          <w:rFonts w:eastAsia="Times New Roman" w:cs="Times New Roman"/>
          <w:lang w:val="lv-LV"/>
        </w:rPr>
        <w:t xml:space="preserve"> 2 līmeņa reģiona robežas Igaunijā netiek izskatīts.</w:t>
      </w:r>
    </w:p>
    <w:p w14:paraId="5F4D8336" w14:textId="7F7FAAFC" w:rsidR="00EF2741" w:rsidRPr="006141B3" w:rsidRDefault="00B931D0" w:rsidP="006141B3">
      <w:pPr>
        <w:rPr>
          <w:lang w:val="lv-LV"/>
        </w:rPr>
      </w:pPr>
      <w:r>
        <w:rPr>
          <w:rFonts w:eastAsia="Times New Roman" w:cs="Times New Roman"/>
          <w:b/>
          <w:lang w:val="lv-LV"/>
        </w:rPr>
        <w:t>L</w:t>
      </w:r>
      <w:r w:rsidR="00EF2741" w:rsidRPr="00C27E58">
        <w:rPr>
          <w:rFonts w:eastAsia="Times New Roman" w:cs="Times New Roman"/>
          <w:b/>
          <w:lang w:val="lv-LV"/>
        </w:rPr>
        <w:t xml:space="preserve">emjot par </w:t>
      </w:r>
      <w:r w:rsidR="00EF2741" w:rsidRPr="00C27E58">
        <w:rPr>
          <w:rFonts w:eastAsia="Times New Roman" w:cs="Times New Roman"/>
          <w:b/>
          <w:i/>
          <w:lang w:val="lv-LV"/>
        </w:rPr>
        <w:t>NUTS </w:t>
      </w:r>
      <w:r w:rsidR="00EF2741" w:rsidRPr="00C27E58">
        <w:rPr>
          <w:rFonts w:eastAsia="Times New Roman" w:cs="Times New Roman"/>
          <w:b/>
          <w:lang w:val="lv-LV"/>
        </w:rPr>
        <w:t xml:space="preserve">2 līmeņa iedalījuma pārskatīšanu, iespējamo variantu ietekmes uz reģionālās attīstības tendencēm izvērtēšanai nepieciešams veikt padziļinātu analīzi par ES fondu atbalsta reģionu sadalījumu, kā arī vērtēt, kā </w:t>
      </w:r>
      <w:r w:rsidR="00EF2741" w:rsidRPr="00C27E58">
        <w:rPr>
          <w:rFonts w:eastAsia="Times New Roman" w:cs="Times New Roman"/>
          <w:b/>
          <w:i/>
          <w:lang w:val="lv-LV"/>
        </w:rPr>
        <w:t>NUTS</w:t>
      </w:r>
      <w:r w:rsidR="00517DF2">
        <w:rPr>
          <w:rFonts w:eastAsia="Times New Roman" w:cs="Times New Roman"/>
          <w:b/>
          <w:lang w:val="lv-LV"/>
        </w:rPr>
        <w:t xml:space="preserve"> 2 </w:t>
      </w:r>
      <w:r w:rsidR="00EF2741" w:rsidRPr="00C27E58">
        <w:rPr>
          <w:rFonts w:eastAsia="Times New Roman" w:cs="Times New Roman"/>
          <w:b/>
          <w:lang w:val="lv-LV"/>
        </w:rPr>
        <w:t>klasifikācijas izmaiņas varētu ietekmēt kopējo pieejamo ES fondu finansējuma apjomu Latvijas teritorijai</w:t>
      </w:r>
      <w:r w:rsidR="001B04AA">
        <w:rPr>
          <w:rFonts w:eastAsia="Times New Roman" w:cs="Times New Roman"/>
          <w:b/>
          <w:lang w:val="lv-LV"/>
        </w:rPr>
        <w:t xml:space="preserve"> plānošanas periodā pēc 2034. gada</w:t>
      </w:r>
      <w:r w:rsidR="00EF2741" w:rsidRPr="00C27E58">
        <w:rPr>
          <w:rFonts w:eastAsia="Times New Roman" w:cs="Times New Roman"/>
          <w:lang w:val="lv-LV"/>
        </w:rPr>
        <w:t xml:space="preserve">. </w:t>
      </w:r>
      <w:r w:rsidR="00EF2741" w:rsidRPr="00C27E58">
        <w:rPr>
          <w:rFonts w:cs="Times New Roman"/>
          <w:lang w:val="lv-LV"/>
        </w:rPr>
        <w:t>Vienlaikus jāņem vērā, ka Latvijai ir jārēķinās ar no Kohēzijas politikas fondiem pieejamā finansējuma samazinājumu arī periodā pēc 2027. gada gan</w:t>
      </w:r>
      <w:r w:rsidR="00EF2741" w:rsidRPr="00C27E58" w:rsidDel="00BA5C2A">
        <w:rPr>
          <w:rFonts w:cs="Times New Roman"/>
          <w:lang w:val="lv-LV"/>
        </w:rPr>
        <w:t xml:space="preserve"> </w:t>
      </w:r>
      <w:r w:rsidR="00EF2741" w:rsidRPr="00C27E58">
        <w:rPr>
          <w:rFonts w:cs="Times New Roman"/>
          <w:lang w:val="lv-LV"/>
        </w:rPr>
        <w:t>konverģences, gan Kohēzijas politikas kopējā finansējuma samazinājuma dēļ.</w:t>
      </w:r>
      <w:r w:rsidR="00EF2741" w:rsidRPr="00C27E58">
        <w:rPr>
          <w:rStyle w:val="FootnoteReference"/>
          <w:rFonts w:cs="Times New Roman"/>
          <w:lang w:val="lv-LV"/>
        </w:rPr>
        <w:footnoteReference w:id="11"/>
      </w:r>
      <w:r w:rsidR="00EF2741" w:rsidRPr="00C27E58">
        <w:rPr>
          <w:rStyle w:val="FootnoteReference"/>
          <w:rFonts w:cs="Times New Roman"/>
          <w:lang w:val="lv-LV"/>
        </w:rPr>
        <w:t xml:space="preserve"> </w:t>
      </w:r>
    </w:p>
    <w:p w14:paraId="3BAF987E" w14:textId="77777777" w:rsidR="00EF2741" w:rsidRPr="00C27E58" w:rsidRDefault="00EF2741" w:rsidP="006141B3">
      <w:pPr>
        <w:rPr>
          <w:lang w:val="lv-LV"/>
        </w:rPr>
      </w:pPr>
    </w:p>
    <w:p w14:paraId="5A79E680" w14:textId="119C1990" w:rsidR="00EF2741" w:rsidRPr="00C27E58" w:rsidRDefault="00EF2741" w:rsidP="00C866C7">
      <w:pPr>
        <w:pStyle w:val="Heading1"/>
      </w:pPr>
      <w:bookmarkStart w:id="4" w:name="_Toc54076255"/>
      <w:bookmarkStart w:id="5" w:name="_Toc47363223"/>
      <w:bookmarkStart w:id="6" w:name="_Toc78818254"/>
      <w:r w:rsidRPr="00C27E58">
        <w:t>Laika grafiks</w:t>
      </w:r>
      <w:r w:rsidR="00DA0A22">
        <w:t xml:space="preserve"> un turpmākā rīcība</w:t>
      </w:r>
      <w:r w:rsidRPr="00C27E58">
        <w:t xml:space="preserve"> </w:t>
      </w:r>
      <w:r w:rsidRPr="00C27E58">
        <w:rPr>
          <w:i/>
          <w:iCs/>
        </w:rPr>
        <w:t>NUTS</w:t>
      </w:r>
      <w:r w:rsidRPr="00C27E58">
        <w:t xml:space="preserve"> dalījuma izmaiņām</w:t>
      </w:r>
      <w:bookmarkEnd w:id="4"/>
      <w:bookmarkEnd w:id="5"/>
      <w:bookmarkEnd w:id="6"/>
    </w:p>
    <w:p w14:paraId="11874170" w14:textId="77777777" w:rsidR="00C866C7" w:rsidRDefault="00C866C7" w:rsidP="006141B3">
      <w:pPr>
        <w:rPr>
          <w:lang w:val="lv-LV"/>
        </w:rPr>
      </w:pPr>
    </w:p>
    <w:p w14:paraId="118C9658" w14:textId="59E6B66D" w:rsidR="00EF2741" w:rsidRPr="00C27E58" w:rsidRDefault="004B1D65" w:rsidP="00C866C7">
      <w:pPr>
        <w:rPr>
          <w:lang w:val="lv-LV"/>
        </w:rPr>
      </w:pPr>
      <w:r w:rsidRPr="004B1D65">
        <w:rPr>
          <w:rFonts w:cs="Times New Roman"/>
          <w:noProof/>
        </w:rPr>
        <w:drawing>
          <wp:anchor distT="0" distB="0" distL="114300" distR="114300" simplePos="0" relativeHeight="251666432" behindDoc="0" locked="0" layoutInCell="1" allowOverlap="1" wp14:anchorId="20559DC4" wp14:editId="02F16BB6">
            <wp:simplePos x="0" y="0"/>
            <wp:positionH relativeFrom="margin">
              <wp:align>center</wp:align>
            </wp:positionH>
            <wp:positionV relativeFrom="paragraph">
              <wp:posOffset>593725</wp:posOffset>
            </wp:positionV>
            <wp:extent cx="6120130" cy="3533140"/>
            <wp:effectExtent l="0" t="0" r="0" b="0"/>
            <wp:wrapThrough wrapText="bothSides">
              <wp:wrapPolygon edited="0">
                <wp:start x="0" y="0"/>
                <wp:lineTo x="0" y="21429"/>
                <wp:lineTo x="21515" y="21429"/>
                <wp:lineTo x="21515" y="0"/>
                <wp:lineTo x="0" y="0"/>
              </wp:wrapPolygon>
            </wp:wrapThrough>
            <wp:docPr id="4" name="Picture 3">
              <a:extLst xmlns:a="http://schemas.openxmlformats.org/drawingml/2006/main">
                <a:ext uri="{FF2B5EF4-FFF2-40B4-BE49-F238E27FC236}">
                  <a16:creationId xmlns:a16="http://schemas.microsoft.com/office/drawing/2014/main" id="{6A9042C5-82ED-4555-8C39-E3CF17C3B0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A9042C5-82ED-4555-8C39-E3CF17C3B0D8}"/>
                        </a:ext>
                      </a:extLst>
                    </pic:cNvPr>
                    <pic:cNvPicPr>
                      <a:picLocks noChangeAspect="1"/>
                    </pic:cNvPicPr>
                  </pic:nvPicPr>
                  <pic:blipFill>
                    <a:blip r:embed="rId15"/>
                    <a:stretch>
                      <a:fillRect/>
                    </a:stretch>
                  </pic:blipFill>
                  <pic:spPr>
                    <a:xfrm>
                      <a:off x="0" y="0"/>
                      <a:ext cx="6120130" cy="3533140"/>
                    </a:xfrm>
                    <a:prstGeom prst="rect">
                      <a:avLst/>
                    </a:prstGeom>
                  </pic:spPr>
                </pic:pic>
              </a:graphicData>
            </a:graphic>
          </wp:anchor>
        </w:drawing>
      </w:r>
      <w:r w:rsidR="007A16D7">
        <w:rPr>
          <w:lang w:val="lv-LV"/>
        </w:rPr>
        <w:t>Informatīvajā ziņojumā minēts, ka g</w:t>
      </w:r>
      <w:r w:rsidR="00EF2741" w:rsidRPr="00C27E58">
        <w:rPr>
          <w:lang w:val="lv-LV"/>
        </w:rPr>
        <w:t xml:space="preserve">rozījumi </w:t>
      </w:r>
      <w:r w:rsidR="00EF2741" w:rsidRPr="00C27E58">
        <w:rPr>
          <w:i/>
          <w:iCs/>
          <w:lang w:val="lv-LV"/>
        </w:rPr>
        <w:t>NUTS</w:t>
      </w:r>
      <w:r w:rsidR="00D25CE8">
        <w:rPr>
          <w:lang w:val="lv-LV"/>
        </w:rPr>
        <w:t> </w:t>
      </w:r>
      <w:r w:rsidR="00EF2741" w:rsidRPr="00C27E58">
        <w:rPr>
          <w:lang w:val="lv-LV"/>
        </w:rPr>
        <w:t xml:space="preserve">3 reģionos varētu tikt pieņemti 2022. gadā, kas ļautu tos aprēķinam izmantot no 2024.–2026. gada perioda (provizorisko laika grafiku sk. </w:t>
      </w:r>
      <w:r w:rsidR="006F2DC4">
        <w:rPr>
          <w:lang w:val="lv-LV"/>
        </w:rPr>
        <w:t>attēlā Nr. 6</w:t>
      </w:r>
      <w:r w:rsidR="00EF2741" w:rsidRPr="00C27E58">
        <w:rPr>
          <w:lang w:val="lv-LV"/>
        </w:rPr>
        <w:t>).</w:t>
      </w:r>
      <w:r w:rsidR="00EF2741" w:rsidRPr="00C27E58">
        <w:rPr>
          <w:rStyle w:val="FootnoteReference"/>
          <w:rFonts w:cs="Times New Roman"/>
          <w:lang w:val="lv-LV"/>
        </w:rPr>
        <w:footnoteReference w:id="12"/>
      </w:r>
      <w:r w:rsidR="00EF2741" w:rsidRPr="00C27E58">
        <w:rPr>
          <w:lang w:val="lv-LV"/>
        </w:rPr>
        <w:t xml:space="preserve"> </w:t>
      </w:r>
    </w:p>
    <w:p w14:paraId="65EE4ED2" w14:textId="017DB5CB" w:rsidR="00ED5119" w:rsidRPr="00ED5119" w:rsidRDefault="00ED5119" w:rsidP="00ED5119">
      <w:pPr>
        <w:ind w:firstLine="0"/>
        <w:contextualSpacing/>
        <w:jc w:val="center"/>
        <w:rPr>
          <w:lang w:val="lv-LV"/>
        </w:rPr>
      </w:pPr>
      <w:r w:rsidRPr="00ED5119">
        <w:rPr>
          <w:lang w:val="lv-LV"/>
        </w:rPr>
        <w:t xml:space="preserve">Attēls Nr. 6. </w:t>
      </w:r>
      <w:r w:rsidRPr="00ED5119">
        <w:rPr>
          <w:rFonts w:cs="Times New Roman"/>
          <w:szCs w:val="24"/>
          <w:lang w:val="lv-LV"/>
        </w:rPr>
        <w:t xml:space="preserve">Provizoriskais laika grafiks </w:t>
      </w:r>
      <w:r w:rsidRPr="00ED5119">
        <w:rPr>
          <w:rFonts w:cs="Times New Roman"/>
          <w:i/>
          <w:iCs/>
          <w:szCs w:val="24"/>
          <w:lang w:val="lv-LV"/>
        </w:rPr>
        <w:t>NUTS</w:t>
      </w:r>
      <w:r w:rsidRPr="00ED5119">
        <w:rPr>
          <w:rFonts w:cs="Times New Roman"/>
          <w:szCs w:val="24"/>
          <w:lang w:val="lv-LV"/>
        </w:rPr>
        <w:t xml:space="preserve"> dalījuma izmaiņām</w:t>
      </w:r>
      <w:r w:rsidRPr="00ED5119">
        <w:rPr>
          <w:lang w:val="lv-LV"/>
        </w:rPr>
        <w:t>.</w:t>
      </w:r>
    </w:p>
    <w:p w14:paraId="0BE7723F" w14:textId="77777777" w:rsidR="00EF2741" w:rsidRPr="00C27E58" w:rsidRDefault="00EF2741" w:rsidP="00ED5119">
      <w:pPr>
        <w:rPr>
          <w:lang w:val="lv-LV"/>
        </w:rPr>
      </w:pPr>
      <w:bookmarkStart w:id="7" w:name="_Toc47101168"/>
      <w:bookmarkEnd w:id="7"/>
    </w:p>
    <w:p w14:paraId="72ACA104" w14:textId="724E9013" w:rsidR="00ED5119" w:rsidRPr="00263128" w:rsidRDefault="00C47BEF" w:rsidP="00ED5119">
      <w:pPr>
        <w:tabs>
          <w:tab w:val="left" w:pos="851"/>
          <w:tab w:val="left" w:pos="993"/>
        </w:tabs>
        <w:rPr>
          <w:rFonts w:cs="Times New Roman"/>
          <w:lang w:val="lv-LV"/>
        </w:rPr>
      </w:pPr>
      <w:r>
        <w:rPr>
          <w:rFonts w:cs="Times New Roman"/>
          <w:lang w:val="lv-LV"/>
        </w:rPr>
        <w:t>Savukārt a</w:t>
      </w:r>
      <w:r w:rsidR="00ED5119" w:rsidRPr="00C27E58">
        <w:rPr>
          <w:rFonts w:cs="Times New Roman"/>
          <w:lang w:val="lv-LV"/>
        </w:rPr>
        <w:t xml:space="preserve">ttiecībā uz </w:t>
      </w:r>
      <w:r w:rsidR="00ED5119" w:rsidRPr="00C27E58">
        <w:rPr>
          <w:rFonts w:cs="Times New Roman"/>
          <w:i/>
          <w:lang w:val="lv-LV"/>
        </w:rPr>
        <w:t xml:space="preserve">NUTS </w:t>
      </w:r>
      <w:r w:rsidR="00ED5119" w:rsidRPr="00C27E58">
        <w:rPr>
          <w:rFonts w:cs="Times New Roman"/>
          <w:lang w:val="lv-LV"/>
        </w:rPr>
        <w:t>2 robežu izmaiņām –</w:t>
      </w:r>
      <w:r w:rsidR="00ED5119">
        <w:rPr>
          <w:rFonts w:cs="Times New Roman"/>
          <w:lang w:val="lv-LV"/>
        </w:rPr>
        <w:t xml:space="preserve"> </w:t>
      </w:r>
      <w:r w:rsidR="00ED5119" w:rsidRPr="00C27E58">
        <w:rPr>
          <w:rFonts w:cs="Times New Roman"/>
          <w:lang w:val="lv-LV"/>
        </w:rPr>
        <w:t>vērtējot to ieviešanu, jāņem vērā</w:t>
      </w:r>
      <w:r w:rsidR="00311D6D">
        <w:rPr>
          <w:rFonts w:cs="Times New Roman"/>
          <w:lang w:val="lv-LV"/>
        </w:rPr>
        <w:t xml:space="preserve"> </w:t>
      </w:r>
      <w:r w:rsidR="00311D6D" w:rsidRPr="00311D6D">
        <w:rPr>
          <w:rFonts w:cs="Times New Roman"/>
          <w:lang w:val="lv-LV"/>
        </w:rPr>
        <w:t>Eiropas Komisijas Konkurences</w:t>
      </w:r>
      <w:r w:rsidR="00311D6D">
        <w:rPr>
          <w:rFonts w:cs="Times New Roman"/>
          <w:lang w:val="lv-LV"/>
        </w:rPr>
        <w:t xml:space="preserve"> </w:t>
      </w:r>
      <w:r w:rsidR="00311D6D" w:rsidRPr="00311D6D">
        <w:rPr>
          <w:rFonts w:cs="Times New Roman"/>
          <w:lang w:val="lv-LV"/>
        </w:rPr>
        <w:t>ģenerāldirektorāt</w:t>
      </w:r>
      <w:r w:rsidR="00311D6D">
        <w:rPr>
          <w:rFonts w:cs="Times New Roman"/>
          <w:lang w:val="lv-LV"/>
        </w:rPr>
        <w:t>a (turpmāk –</w:t>
      </w:r>
      <w:r w:rsidR="00ED5119" w:rsidRPr="00C27E58">
        <w:rPr>
          <w:rFonts w:cs="Times New Roman"/>
          <w:lang w:val="lv-LV"/>
        </w:rPr>
        <w:t xml:space="preserve"> EK DG COMP</w:t>
      </w:r>
      <w:r w:rsidR="00311D6D">
        <w:rPr>
          <w:rFonts w:cs="Times New Roman"/>
          <w:lang w:val="lv-LV"/>
        </w:rPr>
        <w:t>)</w:t>
      </w:r>
      <w:r w:rsidR="00ED5119" w:rsidRPr="00C27E58">
        <w:rPr>
          <w:rFonts w:cs="Times New Roman"/>
          <w:lang w:val="lv-LV"/>
        </w:rPr>
        <w:t xml:space="preserve"> informācija, ka plānot</w:t>
      </w:r>
      <w:r w:rsidR="00854CF9">
        <w:rPr>
          <w:rFonts w:cs="Times New Roman"/>
          <w:lang w:val="lv-LV"/>
        </w:rPr>
        <w:t>ā</w:t>
      </w:r>
      <w:r w:rsidR="00ED5119" w:rsidRPr="00C27E58">
        <w:rPr>
          <w:rFonts w:cs="Times New Roman"/>
          <w:lang w:val="lv-LV"/>
        </w:rPr>
        <w:t xml:space="preserve">s izmaiņas Latvijas teritorijas </w:t>
      </w:r>
      <w:r w:rsidR="00ED5119" w:rsidRPr="00C27E58">
        <w:rPr>
          <w:rFonts w:cs="Times New Roman"/>
          <w:i/>
          <w:lang w:val="lv-LV"/>
        </w:rPr>
        <w:t>NUTS</w:t>
      </w:r>
      <w:r w:rsidR="00ED5119" w:rsidRPr="00C27E58">
        <w:rPr>
          <w:rFonts w:cs="Times New Roman"/>
          <w:lang w:val="lv-LV"/>
        </w:rPr>
        <w:t xml:space="preserve"> klasifikācijā būtu jāsniedz laikā, kad tiek veikta nākamā perioda Eiropas Komisijas Reģionālā atbalsta pamatnostādņu izstrāde. Attiecīgi VARAM varētu uzsākt jauno </w:t>
      </w:r>
      <w:r w:rsidR="00ED5119" w:rsidRPr="00C27E58">
        <w:rPr>
          <w:rFonts w:cs="Times New Roman"/>
          <w:lang w:val="lv-LV"/>
        </w:rPr>
        <w:lastRenderedPageBreak/>
        <w:t xml:space="preserve">reģionālo atbalsta karšu sagatavošanu tikai tad, kad spēkā stātos </w:t>
      </w:r>
      <w:r w:rsidR="00ED5119" w:rsidRPr="00C27E58">
        <w:rPr>
          <w:rFonts w:cs="Times New Roman"/>
          <w:i/>
          <w:lang w:val="lv-LV"/>
        </w:rPr>
        <w:t>NUTS</w:t>
      </w:r>
      <w:r w:rsidR="00ED5119" w:rsidRPr="00C27E58">
        <w:rPr>
          <w:rFonts w:cs="Times New Roman"/>
          <w:lang w:val="lv-LV"/>
        </w:rPr>
        <w:t xml:space="preserve"> klasifikācijas grozījumi un Eiropas Komisija būtu uzsākusi darbu pie jauno Reģionālā atbalsta pamatnostādņu izstrādes. Savukārt izmaiņas atbalsta nosacījumos būtu iespējams virzīt tikai pēc </w:t>
      </w:r>
      <w:r w:rsidR="00ED5119" w:rsidRPr="00C27E58">
        <w:rPr>
          <w:rFonts w:cs="Times New Roman"/>
          <w:i/>
          <w:lang w:val="lv-LV"/>
        </w:rPr>
        <w:t>NUTS</w:t>
      </w:r>
      <w:r w:rsidR="00ED5119" w:rsidRPr="00C27E58">
        <w:rPr>
          <w:rFonts w:cs="Times New Roman"/>
          <w:lang w:val="lv-LV"/>
        </w:rPr>
        <w:t xml:space="preserve"> klasifikācijas aktualizēšanas, turklāt jaunā reģionālā atbalsta karte un jaunās atbalsta intensitātes var stāties spēkā tikai pēc to saskaņošanas Eiropas Komisijā, kam būs arī jāatbilst uz to brīdi spēkā esošajām Reģionālā atbalsta pamatnostādnēm. Ņemot vērā augstāk minēto, provizoriskais laika grafiks </w:t>
      </w:r>
      <w:r w:rsidR="00ED5119" w:rsidRPr="00C27E58">
        <w:rPr>
          <w:rFonts w:cs="Times New Roman"/>
          <w:i/>
          <w:lang w:val="lv-LV"/>
        </w:rPr>
        <w:t>NUTS</w:t>
      </w:r>
      <w:r w:rsidR="00ED5119" w:rsidRPr="00C27E58">
        <w:rPr>
          <w:rFonts w:cs="Times New Roman"/>
          <w:lang w:val="lv-LV"/>
        </w:rPr>
        <w:t xml:space="preserve"> dalījuma izmaiņām paredz laiku komunikācijai ar EK DG COMP atbilstoši Eiropas Komisijas noteiktajām procedūrām. </w:t>
      </w:r>
      <w:bookmarkStart w:id="8" w:name="_Hlk56161192"/>
      <w:bookmarkEnd w:id="8"/>
      <w:r w:rsidR="00ED5119" w:rsidRPr="00C27E58">
        <w:rPr>
          <w:rFonts w:cs="Times New Roman"/>
          <w:lang w:val="lv-LV"/>
        </w:rPr>
        <w:t xml:space="preserve">Jānorāda, ka, analizējot variantu par izmaiņām </w:t>
      </w:r>
      <w:r w:rsidR="00ED5119" w:rsidRPr="00EF7DF8">
        <w:rPr>
          <w:rFonts w:cs="Times New Roman"/>
          <w:i/>
          <w:iCs/>
          <w:lang w:val="lv-LV"/>
        </w:rPr>
        <w:t>NUTS</w:t>
      </w:r>
      <w:r w:rsidR="00ED5119" w:rsidRPr="00C27E58">
        <w:rPr>
          <w:rFonts w:cs="Times New Roman"/>
          <w:lang w:val="lv-LV"/>
        </w:rPr>
        <w:t xml:space="preserve"> 2 reģionu iedalījumā, jāņem vērā, ka periods no lēmuma </w:t>
      </w:r>
      <w:r w:rsidR="00ED5119" w:rsidRPr="00263128">
        <w:rPr>
          <w:rFonts w:cs="Times New Roman"/>
          <w:lang w:val="lv-LV"/>
        </w:rPr>
        <w:t xml:space="preserve">pieņemšanas līdz brīdim, kad tiek piemērots jaunais </w:t>
      </w:r>
      <w:r w:rsidR="00ED5119" w:rsidRPr="00263128">
        <w:rPr>
          <w:rFonts w:cs="Times New Roman"/>
          <w:i/>
          <w:lang w:val="lv-LV"/>
        </w:rPr>
        <w:t>NUTS</w:t>
      </w:r>
      <w:r w:rsidRPr="00263128">
        <w:rPr>
          <w:rFonts w:cs="Times New Roman"/>
          <w:i/>
          <w:lang w:val="lv-LV"/>
        </w:rPr>
        <w:t> </w:t>
      </w:r>
      <w:r w:rsidR="00ED5119" w:rsidRPr="00263128">
        <w:rPr>
          <w:rFonts w:cs="Times New Roman"/>
          <w:iCs/>
          <w:lang w:val="lv-LV"/>
        </w:rPr>
        <w:t xml:space="preserve">2 </w:t>
      </w:r>
      <w:r w:rsidR="00ED5119" w:rsidRPr="00263128">
        <w:rPr>
          <w:rFonts w:cs="Times New Roman"/>
          <w:lang w:val="lv-LV"/>
        </w:rPr>
        <w:t>dalījums, var aptvert pat divus plānošanas periodus.</w:t>
      </w:r>
      <w:r w:rsidR="00DC3204" w:rsidRPr="00263128">
        <w:rPr>
          <w:rFonts w:cs="Times New Roman"/>
          <w:lang w:val="lv-LV"/>
        </w:rPr>
        <w:t xml:space="preserve"> Vienlaikus</w:t>
      </w:r>
      <w:r w:rsidR="006251C3" w:rsidRPr="00263128">
        <w:rPr>
          <w:rFonts w:cs="Times New Roman"/>
          <w:lang w:val="lv-LV"/>
        </w:rPr>
        <w:t>, kā minēts Informatīvā ziņojuma 3.</w:t>
      </w:r>
      <w:r w:rsidR="00263128">
        <w:rPr>
          <w:rFonts w:cs="Times New Roman"/>
          <w:lang w:val="lv-LV"/>
        </w:rPr>
        <w:t> </w:t>
      </w:r>
      <w:r w:rsidR="006251C3" w:rsidRPr="00263128">
        <w:rPr>
          <w:rFonts w:cs="Times New Roman"/>
          <w:lang w:val="lv-LV"/>
        </w:rPr>
        <w:t xml:space="preserve">nodaļā, </w:t>
      </w:r>
      <w:r w:rsidR="00DC3204" w:rsidRPr="00263128">
        <w:rPr>
          <w:rFonts w:cs="Times New Roman"/>
          <w:lang w:val="lv-LV"/>
        </w:rPr>
        <w:t xml:space="preserve">nacionālā līmenī jauno </w:t>
      </w:r>
      <w:r w:rsidR="00DC3204" w:rsidRPr="00263128">
        <w:rPr>
          <w:rFonts w:cs="Times New Roman"/>
          <w:i/>
          <w:iCs/>
          <w:lang w:val="lv-LV"/>
        </w:rPr>
        <w:t>NUTS</w:t>
      </w:r>
      <w:r w:rsidR="00DC3204" w:rsidRPr="00263128">
        <w:rPr>
          <w:rFonts w:cs="Times New Roman"/>
          <w:lang w:val="lv-LV"/>
        </w:rPr>
        <w:t xml:space="preserve"> 2 dalījumu attīstības plānošanas procesam Latvija varētu piemērot ātrāk, lai mazinātu </w:t>
      </w:r>
      <w:r w:rsidR="00DC3204" w:rsidRPr="00263128">
        <w:rPr>
          <w:lang w:val="lv-LV"/>
        </w:rPr>
        <w:t>ievērojamās reģionālās attīstības un sociālekonomiskās atšķirības starp reģioniem Latvijā</w:t>
      </w:r>
      <w:r w:rsidR="006251C3" w:rsidRPr="00263128">
        <w:rPr>
          <w:lang w:val="lv-LV"/>
        </w:rPr>
        <w:t>.</w:t>
      </w:r>
    </w:p>
    <w:p w14:paraId="415AFDF7" w14:textId="1008C8EE" w:rsidR="00517DF2" w:rsidRPr="00027257" w:rsidRDefault="00C9639D" w:rsidP="0000697D">
      <w:pPr>
        <w:tabs>
          <w:tab w:val="left" w:pos="851"/>
          <w:tab w:val="left" w:pos="993"/>
        </w:tabs>
        <w:rPr>
          <w:rStyle w:val="normaltextrun"/>
          <w:color w:val="000000" w:themeColor="text1"/>
          <w:shd w:val="clear" w:color="auto" w:fill="FFFFFF"/>
          <w:lang w:val="lv-LV"/>
        </w:rPr>
      </w:pPr>
      <w:r w:rsidRPr="00263128">
        <w:rPr>
          <w:rStyle w:val="normaltextrun"/>
          <w:color w:val="000000" w:themeColor="text1"/>
          <w:shd w:val="clear" w:color="auto" w:fill="FFFFFF"/>
          <w:lang w:val="lv-LV"/>
        </w:rPr>
        <w:t xml:space="preserve">Ņemot vērā </w:t>
      </w:r>
      <w:r w:rsidR="00A969C7" w:rsidRPr="00263128">
        <w:rPr>
          <w:rStyle w:val="normaltextrun"/>
          <w:color w:val="000000" w:themeColor="text1"/>
          <w:shd w:val="clear" w:color="auto" w:fill="FFFFFF"/>
          <w:lang w:val="lv-LV"/>
        </w:rPr>
        <w:t>Informatīvajā ziņojumā</w:t>
      </w:r>
      <w:r w:rsidR="00A969C7" w:rsidRPr="00027257">
        <w:rPr>
          <w:rStyle w:val="normaltextrun"/>
          <w:color w:val="000000" w:themeColor="text1"/>
          <w:shd w:val="clear" w:color="auto" w:fill="FFFFFF"/>
          <w:lang w:val="lv-LV"/>
        </w:rPr>
        <w:t xml:space="preserve"> </w:t>
      </w:r>
      <w:r w:rsidR="002F51F5" w:rsidRPr="00027257">
        <w:rPr>
          <w:rStyle w:val="normaltextrun"/>
          <w:color w:val="000000" w:themeColor="text1"/>
          <w:shd w:val="clear" w:color="auto" w:fill="FFFFFF"/>
          <w:lang w:val="lv-LV"/>
        </w:rPr>
        <w:t xml:space="preserve">norādīto informāciju, t.sk. attiecībā uz izmaiņām </w:t>
      </w:r>
      <w:r w:rsidR="00A969C7" w:rsidRPr="00027257">
        <w:rPr>
          <w:rStyle w:val="normaltextrun"/>
          <w:color w:val="000000" w:themeColor="text1"/>
          <w:shd w:val="clear" w:color="auto" w:fill="FFFFFF"/>
          <w:lang w:val="lv-LV"/>
        </w:rPr>
        <w:t>plānošanas reģionu robežās</w:t>
      </w:r>
      <w:r w:rsidR="00263EB2" w:rsidRPr="00027257">
        <w:rPr>
          <w:rStyle w:val="normaltextrun"/>
          <w:color w:val="000000" w:themeColor="text1"/>
          <w:shd w:val="clear" w:color="auto" w:fill="FFFFFF"/>
          <w:lang w:val="lv-LV"/>
        </w:rPr>
        <w:t>, turpmākā rīcība</w:t>
      </w:r>
      <w:r w:rsidR="000D2936" w:rsidRPr="00027257">
        <w:rPr>
          <w:rStyle w:val="normaltextrun"/>
          <w:color w:val="000000" w:themeColor="text1"/>
          <w:shd w:val="clear" w:color="auto" w:fill="FFFFFF"/>
          <w:lang w:val="lv-LV"/>
        </w:rPr>
        <w:t xml:space="preserve"> iekļauj šādus uzdevumus</w:t>
      </w:r>
      <w:r w:rsidR="002F51F5" w:rsidRPr="00027257">
        <w:rPr>
          <w:rStyle w:val="normaltextrun"/>
          <w:color w:val="000000" w:themeColor="text1"/>
          <w:shd w:val="clear" w:color="auto" w:fill="FFFFFF"/>
          <w:lang w:val="lv-LV"/>
        </w:rPr>
        <w:t>:</w:t>
      </w:r>
      <w:r w:rsidR="009F2066" w:rsidRPr="00027257">
        <w:rPr>
          <w:rStyle w:val="normaltextrun"/>
          <w:color w:val="000000" w:themeColor="text1"/>
          <w:shd w:val="clear" w:color="auto" w:fill="FFFFFF"/>
          <w:lang w:val="lv-LV"/>
        </w:rPr>
        <w:t xml:space="preserve"> </w:t>
      </w:r>
    </w:p>
    <w:p w14:paraId="2BE58AC6" w14:textId="6A8A324B" w:rsidR="00AF0182" w:rsidRPr="00145449" w:rsidRDefault="000D663E" w:rsidP="00AF0182">
      <w:pPr>
        <w:pStyle w:val="ListParagraph"/>
        <w:numPr>
          <w:ilvl w:val="0"/>
          <w:numId w:val="17"/>
        </w:numPr>
        <w:tabs>
          <w:tab w:val="left" w:pos="851"/>
          <w:tab w:val="left" w:pos="993"/>
        </w:tabs>
        <w:spacing w:after="0"/>
        <w:ind w:left="714" w:hanging="357"/>
        <w:rPr>
          <w:rFonts w:eastAsia="Times New Roman" w:cs="Times New Roman"/>
          <w:color w:val="000000" w:themeColor="text1"/>
          <w:lang w:val="lv-LV" w:eastAsia="lv-LV"/>
        </w:rPr>
      </w:pPr>
      <w:r w:rsidRPr="00145449">
        <w:rPr>
          <w:rStyle w:val="normaltextrun"/>
          <w:color w:val="000000" w:themeColor="text1"/>
          <w:shd w:val="clear" w:color="auto" w:fill="FFFFFF"/>
          <w:lang w:val="lv-LV"/>
        </w:rPr>
        <w:t xml:space="preserve">Ekonomikas ministrijai </w:t>
      </w:r>
      <w:r w:rsidRPr="00145449">
        <w:rPr>
          <w:rFonts w:eastAsia="Times New Roman" w:cs="Times New Roman"/>
          <w:color w:val="000000" w:themeColor="text1"/>
          <w:lang w:val="lv-LV"/>
        </w:rPr>
        <w:t xml:space="preserve">sagatavot grozījumus </w:t>
      </w:r>
      <w:r w:rsidRPr="00145449">
        <w:rPr>
          <w:rFonts w:eastAsia="Times New Roman" w:cs="Times New Roman"/>
          <w:color w:val="000000" w:themeColor="text1"/>
          <w:lang w:val="lv-LV" w:eastAsia="lv-LV"/>
        </w:rPr>
        <w:t>MK rīkojum</w:t>
      </w:r>
      <w:r w:rsidR="0018214D" w:rsidRPr="00145449">
        <w:rPr>
          <w:rFonts w:eastAsia="Times New Roman" w:cs="Times New Roman"/>
          <w:color w:val="000000" w:themeColor="text1"/>
          <w:lang w:val="lv-LV" w:eastAsia="lv-LV"/>
        </w:rPr>
        <w:t>ā</w:t>
      </w:r>
      <w:r w:rsidRPr="00145449">
        <w:rPr>
          <w:rFonts w:eastAsia="Times New Roman" w:cs="Times New Roman"/>
          <w:color w:val="000000" w:themeColor="text1"/>
          <w:lang w:val="lv-LV" w:eastAsia="lv-LV"/>
        </w:rPr>
        <w:t xml:space="preserve"> Nr. 271, veicot izmaiņas </w:t>
      </w:r>
      <w:r w:rsidRPr="00145449">
        <w:rPr>
          <w:rFonts w:eastAsia="Times New Roman" w:cs="Times New Roman"/>
          <w:i/>
          <w:iCs/>
          <w:color w:val="000000" w:themeColor="text1"/>
          <w:lang w:val="lv-LV" w:eastAsia="lv-LV"/>
        </w:rPr>
        <w:t>NUTS</w:t>
      </w:r>
      <w:r w:rsidRPr="00145449">
        <w:rPr>
          <w:rFonts w:eastAsia="Times New Roman" w:cs="Times New Roman"/>
          <w:color w:val="000000" w:themeColor="text1"/>
          <w:lang w:val="lv-LV" w:eastAsia="lv-LV"/>
        </w:rPr>
        <w:t xml:space="preserve"> 3 līmeņa reģionu iedalījumā atbilstoši</w:t>
      </w:r>
      <w:r w:rsidR="00866C59" w:rsidRPr="00145449">
        <w:rPr>
          <w:rFonts w:eastAsia="Times New Roman" w:cs="Times New Roman"/>
          <w:color w:val="000000" w:themeColor="text1"/>
          <w:lang w:val="lv-LV" w:eastAsia="lv-LV"/>
        </w:rPr>
        <w:t xml:space="preserve"> MK noteikumos Nr. 418 noteiktajām plānošanas</w:t>
      </w:r>
      <w:r w:rsidR="00BC2572" w:rsidRPr="00145449">
        <w:rPr>
          <w:rFonts w:eastAsia="Times New Roman" w:cs="Times New Roman"/>
          <w:color w:val="000000" w:themeColor="text1"/>
          <w:lang w:val="lv-LV" w:eastAsia="lv-LV"/>
        </w:rPr>
        <w:t xml:space="preserve"> reģionu robežām, kā arī veicot izmaiņas </w:t>
      </w:r>
      <w:r w:rsidR="00BC2572" w:rsidRPr="00145449">
        <w:rPr>
          <w:rFonts w:eastAsia="Times New Roman" w:cs="Times New Roman"/>
          <w:i/>
          <w:iCs/>
          <w:color w:val="000000" w:themeColor="text1"/>
          <w:lang w:val="lv-LV" w:eastAsia="lv-LV"/>
        </w:rPr>
        <w:t>NUTS</w:t>
      </w:r>
      <w:r w:rsidR="00BC2572" w:rsidRPr="00145449">
        <w:rPr>
          <w:rFonts w:eastAsia="Times New Roman" w:cs="Times New Roman"/>
          <w:color w:val="000000" w:themeColor="text1"/>
          <w:lang w:val="lv-LV" w:eastAsia="lv-LV"/>
        </w:rPr>
        <w:t xml:space="preserve"> 2 </w:t>
      </w:r>
      <w:r w:rsidR="00183E92" w:rsidRPr="00145449">
        <w:rPr>
          <w:rFonts w:eastAsia="Times New Roman" w:cs="Times New Roman"/>
          <w:color w:val="000000" w:themeColor="text1"/>
          <w:lang w:val="lv-LV" w:eastAsia="lv-LV"/>
        </w:rPr>
        <w:t xml:space="preserve">līmeņa reģionu iedalījumā </w:t>
      </w:r>
      <w:r w:rsidR="00BC2572" w:rsidRPr="00145449">
        <w:rPr>
          <w:rFonts w:eastAsia="Times New Roman" w:cs="Times New Roman"/>
          <w:color w:val="000000" w:themeColor="text1"/>
          <w:lang w:val="lv-LV" w:eastAsia="lv-LV"/>
        </w:rPr>
        <w:t>atbilstoši Informatīv</w:t>
      </w:r>
      <w:r w:rsidR="00C339A4" w:rsidRPr="00145449">
        <w:rPr>
          <w:rFonts w:eastAsia="Times New Roman" w:cs="Times New Roman"/>
          <w:color w:val="000000" w:themeColor="text1"/>
          <w:lang w:val="lv-LV" w:eastAsia="lv-LV"/>
        </w:rPr>
        <w:t>ā</w:t>
      </w:r>
      <w:r w:rsidR="00BC2572" w:rsidRPr="00145449">
        <w:rPr>
          <w:rFonts w:eastAsia="Times New Roman" w:cs="Times New Roman"/>
          <w:color w:val="000000" w:themeColor="text1"/>
          <w:lang w:val="lv-LV" w:eastAsia="lv-LV"/>
        </w:rPr>
        <w:t xml:space="preserve"> ziņojuma</w:t>
      </w:r>
      <w:r w:rsidR="005B7A09" w:rsidRPr="00145449">
        <w:rPr>
          <w:rFonts w:eastAsia="Times New Roman" w:cs="Times New Roman"/>
          <w:color w:val="000000" w:themeColor="text1"/>
          <w:lang w:val="lv-LV" w:eastAsia="lv-LV"/>
        </w:rPr>
        <w:t xml:space="preserve"> iekļautajam </w:t>
      </w:r>
      <w:r w:rsidR="005B7A09" w:rsidRPr="00145449">
        <w:rPr>
          <w:rFonts w:eastAsia="Times New Roman" w:cs="Times New Roman"/>
          <w:i/>
          <w:iCs/>
          <w:color w:val="000000" w:themeColor="text1"/>
          <w:lang w:val="lv-LV" w:eastAsia="lv-LV"/>
        </w:rPr>
        <w:t>NUTS</w:t>
      </w:r>
      <w:r w:rsidR="005B7A09" w:rsidRPr="00145449">
        <w:rPr>
          <w:rFonts w:eastAsia="Times New Roman" w:cs="Times New Roman"/>
          <w:color w:val="000000" w:themeColor="text1"/>
          <w:lang w:val="lv-LV" w:eastAsia="lv-LV"/>
        </w:rPr>
        <w:t xml:space="preserve"> 2 dalījuma</w:t>
      </w:r>
      <w:r w:rsidR="00BC2572" w:rsidRPr="00145449">
        <w:rPr>
          <w:rFonts w:eastAsia="Times New Roman" w:cs="Times New Roman"/>
          <w:color w:val="000000" w:themeColor="text1"/>
          <w:lang w:val="lv-LV" w:eastAsia="lv-LV"/>
        </w:rPr>
        <w:t xml:space="preserve"> 2. variantam.</w:t>
      </w:r>
    </w:p>
    <w:p w14:paraId="421CD2F9" w14:textId="372E5559" w:rsidR="00045A74" w:rsidRPr="00145449" w:rsidRDefault="00145449" w:rsidP="00AF0182">
      <w:pPr>
        <w:pStyle w:val="ListParagraph"/>
        <w:numPr>
          <w:ilvl w:val="0"/>
          <w:numId w:val="17"/>
        </w:numPr>
        <w:tabs>
          <w:tab w:val="left" w:pos="851"/>
          <w:tab w:val="left" w:pos="993"/>
        </w:tabs>
        <w:spacing w:after="0"/>
        <w:ind w:left="714" w:hanging="357"/>
        <w:rPr>
          <w:rStyle w:val="normaltextrun"/>
          <w:color w:val="000000" w:themeColor="text1"/>
          <w:shd w:val="clear" w:color="auto" w:fill="FFFFFF"/>
        </w:rPr>
      </w:pPr>
      <w:r w:rsidRPr="00145449">
        <w:rPr>
          <w:rStyle w:val="normaltextrun"/>
          <w:color w:val="000000" w:themeColor="text1"/>
          <w:shd w:val="clear" w:color="auto" w:fill="FFFFFF"/>
          <w:lang w:val="lv-LV"/>
        </w:rPr>
        <w:t xml:space="preserve">Ekonomikas ministrijai </w:t>
      </w:r>
      <w:r w:rsidR="00045A74" w:rsidRPr="00145449">
        <w:rPr>
          <w:rStyle w:val="normaltextrun"/>
          <w:color w:val="000000" w:themeColor="text1"/>
          <w:shd w:val="clear" w:color="auto" w:fill="FFFFFF"/>
          <w:lang w:val="lv-LV"/>
        </w:rPr>
        <w:t xml:space="preserve">sadarbībā ar VARAM sagatavot vēstuli Eiropas Komisijai par nepieciešamību grozīt </w:t>
      </w:r>
      <w:r w:rsidR="00045A74" w:rsidRPr="00145449">
        <w:rPr>
          <w:rStyle w:val="normaltextrun"/>
          <w:i/>
          <w:iCs/>
          <w:color w:val="000000" w:themeColor="text1"/>
          <w:shd w:val="clear" w:color="auto" w:fill="FFFFFF"/>
          <w:lang w:val="lv-LV"/>
        </w:rPr>
        <w:t>NUTS</w:t>
      </w:r>
      <w:r w:rsidR="00045A74" w:rsidRPr="00145449">
        <w:rPr>
          <w:rStyle w:val="normaltextrun"/>
          <w:color w:val="000000" w:themeColor="text1"/>
          <w:shd w:val="clear" w:color="auto" w:fill="FFFFFF"/>
          <w:lang w:val="lv-LV"/>
        </w:rPr>
        <w:t xml:space="preserve"> dalījumu Latvijā, ņemot vērā ATR un izmaiņas plānošanas reģionu robežās, kas būtu kā pamats arī </w:t>
      </w:r>
      <w:r w:rsidR="00045A74" w:rsidRPr="00145449">
        <w:rPr>
          <w:rStyle w:val="normaltextrun"/>
          <w:i/>
          <w:iCs/>
          <w:color w:val="000000" w:themeColor="text1"/>
          <w:shd w:val="clear" w:color="auto" w:fill="FFFFFF"/>
          <w:lang w:val="lv-LV"/>
        </w:rPr>
        <w:t>NUTS</w:t>
      </w:r>
      <w:r w:rsidR="00045A74" w:rsidRPr="00145449">
        <w:rPr>
          <w:rStyle w:val="normaltextrun"/>
          <w:color w:val="000000" w:themeColor="text1"/>
          <w:shd w:val="clear" w:color="auto" w:fill="FFFFFF"/>
          <w:lang w:val="lv-LV"/>
        </w:rPr>
        <w:t xml:space="preserve"> dalījuma pārskatīšanai.</w:t>
      </w:r>
    </w:p>
    <w:p w14:paraId="5EBA460E" w14:textId="27619942" w:rsidR="00FE1903" w:rsidRPr="00145449" w:rsidRDefault="0000697D" w:rsidP="00AF0182">
      <w:pPr>
        <w:pStyle w:val="ListParagraph"/>
        <w:numPr>
          <w:ilvl w:val="0"/>
          <w:numId w:val="17"/>
        </w:numPr>
        <w:tabs>
          <w:tab w:val="left" w:pos="851"/>
          <w:tab w:val="left" w:pos="993"/>
        </w:tabs>
        <w:spacing w:after="0"/>
        <w:ind w:left="714" w:hanging="357"/>
        <w:rPr>
          <w:rFonts w:eastAsia="Times New Roman" w:cs="Times New Roman"/>
          <w:color w:val="000000" w:themeColor="text1"/>
          <w:lang w:val="lv-LV" w:eastAsia="lv-LV"/>
        </w:rPr>
      </w:pPr>
      <w:r w:rsidRPr="00145449">
        <w:rPr>
          <w:rFonts w:eastAsia="Times New Roman" w:cs="Times New Roman"/>
          <w:color w:val="000000" w:themeColor="text1"/>
          <w:lang w:val="lv-LV" w:eastAsia="lv-LV"/>
        </w:rPr>
        <w:t>Finanšu ministrija</w:t>
      </w:r>
      <w:r w:rsidR="00FE1903" w:rsidRPr="00145449">
        <w:rPr>
          <w:rFonts w:eastAsia="Times New Roman" w:cs="Times New Roman"/>
          <w:color w:val="000000" w:themeColor="text1"/>
          <w:lang w:val="lv-LV" w:eastAsia="lv-LV"/>
        </w:rPr>
        <w:t xml:space="preserve">i veikt padziļinātu analīzi par ES fondu atbalsta reģionu sadalījumu, kā arī vērtēt, kā </w:t>
      </w:r>
      <w:r w:rsidR="00FE1903" w:rsidRPr="00145449">
        <w:rPr>
          <w:rFonts w:eastAsia="Times New Roman" w:cs="Times New Roman"/>
          <w:i/>
          <w:iCs/>
          <w:color w:val="000000" w:themeColor="text1"/>
          <w:lang w:val="lv-LV" w:eastAsia="lv-LV"/>
        </w:rPr>
        <w:t>NUTS</w:t>
      </w:r>
      <w:r w:rsidR="00FE1903" w:rsidRPr="00145449">
        <w:rPr>
          <w:rFonts w:eastAsia="Times New Roman" w:cs="Times New Roman"/>
          <w:color w:val="000000" w:themeColor="text1"/>
          <w:lang w:val="lv-LV" w:eastAsia="lv-LV"/>
        </w:rPr>
        <w:t xml:space="preserve"> 2 klasifikācijas izmaiņas varētu ietekmēt kopējo pieejamo ES fondu finansējuma apjomu Latvijas teritorijai </w:t>
      </w:r>
      <w:r w:rsidR="00517DF2" w:rsidRPr="00145449">
        <w:rPr>
          <w:rFonts w:eastAsia="Times New Roman" w:cs="Times New Roman"/>
          <w:color w:val="000000" w:themeColor="text1"/>
          <w:lang w:val="lv-LV" w:eastAsia="lv-LV"/>
        </w:rPr>
        <w:t xml:space="preserve">ES fondu </w:t>
      </w:r>
      <w:r w:rsidR="00FE1903" w:rsidRPr="00145449">
        <w:rPr>
          <w:rFonts w:eastAsia="Times New Roman" w:cs="Times New Roman"/>
          <w:color w:val="000000" w:themeColor="text1"/>
          <w:lang w:val="lv-LV" w:eastAsia="lv-LV"/>
        </w:rPr>
        <w:t>plānošanas periodā pēc 2034. gada.</w:t>
      </w:r>
    </w:p>
    <w:p w14:paraId="02C6375C" w14:textId="77777777" w:rsidR="00EF2741" w:rsidRPr="00145449" w:rsidRDefault="00EF2741" w:rsidP="00AF0182">
      <w:pPr>
        <w:rPr>
          <w:color w:val="000000" w:themeColor="text1"/>
          <w:lang w:val="lv-LV"/>
        </w:rPr>
      </w:pPr>
    </w:p>
    <w:p w14:paraId="09467C52" w14:textId="2E3AE83B" w:rsidR="00EF2741" w:rsidRDefault="00EF2741" w:rsidP="00AF0182">
      <w:pPr>
        <w:rPr>
          <w:lang w:val="lv-LV"/>
        </w:rPr>
      </w:pPr>
    </w:p>
    <w:p w14:paraId="24EBD9F4" w14:textId="77777777" w:rsidR="00ED5119" w:rsidRPr="00C27E58" w:rsidRDefault="00ED5119" w:rsidP="00AF0182">
      <w:pPr>
        <w:rPr>
          <w:lang w:val="lv-LV"/>
        </w:rPr>
      </w:pPr>
    </w:p>
    <w:p w14:paraId="4495595C" w14:textId="59422186" w:rsidR="00EF2741" w:rsidRPr="00C27E58" w:rsidRDefault="00EF2741" w:rsidP="00ED5119">
      <w:pPr>
        <w:rPr>
          <w:rFonts w:cs="Times New Roman"/>
          <w:lang w:val="lv-LV"/>
        </w:rPr>
      </w:pPr>
      <w:r w:rsidRPr="00C27E58">
        <w:rPr>
          <w:rFonts w:cs="Times New Roman"/>
          <w:lang w:val="lv-LV"/>
        </w:rPr>
        <w:t xml:space="preserve">Vides aizsardzības un reģionālās attīstības ministrs </w:t>
      </w:r>
      <w:r w:rsidRPr="00C27E58">
        <w:rPr>
          <w:rFonts w:cs="Times New Roman"/>
          <w:lang w:val="lv-LV"/>
        </w:rPr>
        <w:tab/>
      </w:r>
      <w:r w:rsidRPr="00C27E58">
        <w:rPr>
          <w:rFonts w:cs="Times New Roman"/>
          <w:lang w:val="lv-LV"/>
        </w:rPr>
        <w:tab/>
      </w:r>
      <w:r w:rsidRPr="00C27E58">
        <w:rPr>
          <w:rFonts w:cs="Times New Roman"/>
          <w:lang w:val="lv-LV"/>
        </w:rPr>
        <w:tab/>
      </w:r>
      <w:r w:rsidRPr="00C27E58">
        <w:rPr>
          <w:rFonts w:cs="Times New Roman"/>
          <w:lang w:val="lv-LV"/>
        </w:rPr>
        <w:tab/>
      </w:r>
      <w:r w:rsidRPr="00C27E58">
        <w:rPr>
          <w:rFonts w:cs="Times New Roman"/>
          <w:szCs w:val="24"/>
          <w:lang w:val="lv-LV"/>
        </w:rPr>
        <w:t>A.</w:t>
      </w:r>
      <w:r w:rsidR="00073A6E">
        <w:rPr>
          <w:rFonts w:cs="Times New Roman"/>
          <w:szCs w:val="24"/>
          <w:lang w:val="lv-LV"/>
        </w:rPr>
        <w:t> </w:t>
      </w:r>
      <w:r w:rsidRPr="00C27E58">
        <w:rPr>
          <w:rFonts w:cs="Times New Roman"/>
          <w:szCs w:val="24"/>
          <w:lang w:val="lv-LV"/>
        </w:rPr>
        <w:t>T.</w:t>
      </w:r>
      <w:r w:rsidR="00073A6E">
        <w:rPr>
          <w:rFonts w:cs="Times New Roman"/>
          <w:szCs w:val="24"/>
          <w:lang w:val="lv-LV"/>
        </w:rPr>
        <w:t> </w:t>
      </w:r>
      <w:proofErr w:type="spellStart"/>
      <w:r w:rsidRPr="00C27E58">
        <w:rPr>
          <w:rFonts w:cs="Times New Roman"/>
          <w:szCs w:val="24"/>
          <w:lang w:val="lv-LV"/>
        </w:rPr>
        <w:t>Plešs</w:t>
      </w:r>
      <w:proofErr w:type="spellEnd"/>
    </w:p>
    <w:p w14:paraId="080DF586" w14:textId="1A90BD8B" w:rsidR="00ED5119" w:rsidRDefault="00ED5119" w:rsidP="00AF0182">
      <w:pPr>
        <w:rPr>
          <w:lang w:val="lv-LV"/>
        </w:rPr>
      </w:pPr>
    </w:p>
    <w:p w14:paraId="3DC44940" w14:textId="77777777" w:rsidR="00ED5119" w:rsidRDefault="00ED5119" w:rsidP="00AF0182">
      <w:pPr>
        <w:rPr>
          <w:lang w:val="lv-LV"/>
        </w:rPr>
      </w:pPr>
    </w:p>
    <w:p w14:paraId="0EF2562F" w14:textId="77777777" w:rsidR="00ED5119" w:rsidRPr="00C27E58" w:rsidRDefault="00ED5119" w:rsidP="00AF0182">
      <w:pPr>
        <w:rPr>
          <w:lang w:val="lv-LV"/>
        </w:rPr>
      </w:pPr>
    </w:p>
    <w:p w14:paraId="2DDD609A" w14:textId="01E0FEE0" w:rsidR="00EF2741" w:rsidRDefault="00EF2741" w:rsidP="00EF2741">
      <w:pPr>
        <w:jc w:val="left"/>
        <w:rPr>
          <w:rFonts w:cs="Times New Roman"/>
          <w:sz w:val="20"/>
          <w:szCs w:val="20"/>
          <w:lang w:val="lv-LV"/>
        </w:rPr>
      </w:pPr>
      <w:r w:rsidRPr="00C27E58">
        <w:rPr>
          <w:rFonts w:cs="Times New Roman"/>
          <w:sz w:val="20"/>
          <w:szCs w:val="20"/>
          <w:lang w:val="lv-LV"/>
        </w:rPr>
        <w:t>Melnalksnis, 66016768</w:t>
      </w:r>
    </w:p>
    <w:p w14:paraId="2F9E9AE3" w14:textId="77777777" w:rsidR="00ED5119" w:rsidRDefault="00951562" w:rsidP="00EF2741">
      <w:pPr>
        <w:jc w:val="left"/>
        <w:rPr>
          <w:rFonts w:cs="Times New Roman"/>
          <w:sz w:val="20"/>
          <w:szCs w:val="20"/>
          <w:lang w:val="lv-LV"/>
        </w:rPr>
      </w:pPr>
      <w:hyperlink r:id="rId16" w:history="1">
        <w:r w:rsidR="00ED5119" w:rsidRPr="00E91458">
          <w:rPr>
            <w:rStyle w:val="Hyperlink"/>
            <w:rFonts w:cs="Times New Roman"/>
            <w:sz w:val="20"/>
            <w:szCs w:val="20"/>
            <w:lang w:val="lv-LV"/>
          </w:rPr>
          <w:t>davis.melnalksnis@varam.gov.lv</w:t>
        </w:r>
      </w:hyperlink>
    </w:p>
    <w:sectPr w:rsidR="00ED5119">
      <w:footerReference w:type="default" r:id="rId17"/>
      <w:pgSz w:w="11906" w:h="16838"/>
      <w:pgMar w:top="1134" w:right="1134" w:bottom="766"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D4E7" w14:textId="77777777" w:rsidR="00951562" w:rsidRDefault="00951562" w:rsidP="00EF2741">
      <w:r>
        <w:separator/>
      </w:r>
    </w:p>
  </w:endnote>
  <w:endnote w:type="continuationSeparator" w:id="0">
    <w:p w14:paraId="52465949" w14:textId="77777777" w:rsidR="00951562" w:rsidRDefault="00951562" w:rsidP="00EF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 w:val="20"/>
        <w:szCs w:val="20"/>
      </w:rPr>
      <w:id w:val="342527941"/>
      <w:docPartObj>
        <w:docPartGallery w:val="Page Numbers (Bottom of Page)"/>
        <w:docPartUnique/>
      </w:docPartObj>
    </w:sdtPr>
    <w:sdtEndPr/>
    <w:sdtContent>
      <w:p w14:paraId="25F12341" w14:textId="77777777" w:rsidR="00194011" w:rsidRPr="005B6CAD" w:rsidRDefault="00991DAE">
        <w:pPr>
          <w:pStyle w:val="Footer"/>
          <w:jc w:val="right"/>
          <w:rPr>
            <w:rFonts w:cs="Times New Roman"/>
            <w:sz w:val="20"/>
            <w:szCs w:val="20"/>
          </w:rPr>
        </w:pPr>
        <w:r w:rsidRPr="005B6CAD">
          <w:rPr>
            <w:rFonts w:cs="Times New Roman"/>
            <w:sz w:val="20"/>
            <w:szCs w:val="20"/>
          </w:rPr>
          <w:tab/>
        </w:r>
        <w:r w:rsidRPr="005B6CAD">
          <w:rPr>
            <w:rFonts w:cs="Times New Roman"/>
            <w:sz w:val="20"/>
            <w:szCs w:val="20"/>
          </w:rPr>
          <w:fldChar w:fldCharType="begin"/>
        </w:r>
        <w:r w:rsidRPr="005B6CAD">
          <w:rPr>
            <w:rFonts w:cs="Times New Roman"/>
            <w:sz w:val="20"/>
            <w:szCs w:val="20"/>
          </w:rPr>
          <w:instrText>PAGE</w:instrText>
        </w:r>
        <w:r w:rsidRPr="005B6CAD">
          <w:rPr>
            <w:rFonts w:cs="Times New Roman"/>
            <w:sz w:val="20"/>
            <w:szCs w:val="20"/>
          </w:rPr>
          <w:fldChar w:fldCharType="separate"/>
        </w:r>
        <w:r w:rsidRPr="005B6CAD">
          <w:rPr>
            <w:rFonts w:cs="Times New Roman"/>
            <w:noProof/>
            <w:sz w:val="20"/>
            <w:szCs w:val="20"/>
          </w:rPr>
          <w:t>47</w:t>
        </w:r>
        <w:r w:rsidRPr="005B6CAD">
          <w:rPr>
            <w:rFonts w:cs="Times New Roman"/>
            <w:sz w:val="20"/>
            <w:szCs w:val="20"/>
          </w:rPr>
          <w:fldChar w:fldCharType="end"/>
        </w:r>
      </w:p>
      <w:p w14:paraId="2EE22997" w14:textId="2A021224" w:rsidR="00194011" w:rsidRPr="005B6CAD" w:rsidRDefault="00991DAE">
        <w:pPr>
          <w:pStyle w:val="Footer"/>
          <w:rPr>
            <w:rFonts w:cs="Times New Roman"/>
            <w:sz w:val="20"/>
            <w:szCs w:val="20"/>
          </w:rPr>
        </w:pPr>
        <w:r w:rsidRPr="005B6CAD">
          <w:rPr>
            <w:rFonts w:cs="Times New Roman"/>
            <w:sz w:val="20"/>
            <w:szCs w:val="20"/>
          </w:rPr>
          <w:t>VARAMInfozin_</w:t>
        </w:r>
        <w:r w:rsidR="00073A6E">
          <w:rPr>
            <w:rFonts w:cs="Times New Roman"/>
            <w:sz w:val="20"/>
            <w:szCs w:val="20"/>
          </w:rPr>
          <w:t>1</w:t>
        </w:r>
        <w:r w:rsidR="0064654E">
          <w:rPr>
            <w:rFonts w:cs="Times New Roman"/>
            <w:sz w:val="20"/>
            <w:szCs w:val="20"/>
          </w:rPr>
          <w:t>3</w:t>
        </w:r>
        <w:r w:rsidRPr="005B6CAD">
          <w:rPr>
            <w:rFonts w:cs="Times New Roman"/>
            <w:sz w:val="20"/>
            <w:szCs w:val="20"/>
          </w:rPr>
          <w:t>082021_NUTS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BDD6" w14:textId="77777777" w:rsidR="00951562" w:rsidRDefault="00951562" w:rsidP="00EF2741">
      <w:r>
        <w:separator/>
      </w:r>
    </w:p>
  </w:footnote>
  <w:footnote w:type="continuationSeparator" w:id="0">
    <w:p w14:paraId="04EAB4D0" w14:textId="77777777" w:rsidR="00951562" w:rsidRDefault="00951562" w:rsidP="00EF2741">
      <w:r>
        <w:continuationSeparator/>
      </w:r>
    </w:p>
  </w:footnote>
  <w:footnote w:id="1">
    <w:p w14:paraId="6548255D" w14:textId="1B4A75B3" w:rsidR="00680086" w:rsidRPr="0008365B" w:rsidRDefault="00680086" w:rsidP="00164E9E">
      <w:pPr>
        <w:pStyle w:val="FootnoteText"/>
        <w:spacing w:after="0"/>
        <w:ind w:firstLine="0"/>
        <w:rPr>
          <w:lang w:val="lv-LV"/>
        </w:rPr>
      </w:pPr>
      <w:r w:rsidRPr="0008365B">
        <w:rPr>
          <w:rStyle w:val="FootnoteCharacters"/>
          <w:lang w:val="lv-LV"/>
        </w:rPr>
        <w:footnoteRef/>
      </w:r>
      <w:r w:rsidRPr="0008365B">
        <w:rPr>
          <w:lang w:val="lv-LV"/>
        </w:rPr>
        <w:t xml:space="preserve"> </w:t>
      </w:r>
      <w:r w:rsidRPr="0008365B">
        <w:rPr>
          <w:i/>
          <w:iCs/>
          <w:lang w:val="lv-LV"/>
        </w:rPr>
        <w:t>Deklarācija par Artura Krišjāņa Kariņa vadītā Ministru kabineta iecerēto darbību</w:t>
      </w:r>
      <w:r w:rsidRPr="0008365B">
        <w:rPr>
          <w:lang w:val="lv-LV"/>
        </w:rPr>
        <w:t xml:space="preserve">, 24. lpp. 231. punkts. Pieejams: </w:t>
      </w:r>
      <w:hyperlink r:id="rId1">
        <w:r w:rsidRPr="0008365B">
          <w:rPr>
            <w:rStyle w:val="Hyperlink"/>
            <w:lang w:val="lv-LV"/>
          </w:rPr>
          <w:t>https://www.mk.gov.lv/sites/default/files/editor/kk-valdibas-deklaracija_red-gala.pdf</w:t>
        </w:r>
      </w:hyperlink>
      <w:r w:rsidRPr="0008365B">
        <w:rPr>
          <w:lang w:val="lv-LV"/>
        </w:rPr>
        <w:t xml:space="preserve"> </w:t>
      </w:r>
    </w:p>
  </w:footnote>
  <w:footnote w:id="2">
    <w:p w14:paraId="0EF58D3D" w14:textId="77777777" w:rsidR="00EF2741" w:rsidRPr="0008365B" w:rsidRDefault="00EF2741" w:rsidP="00164E9E">
      <w:pPr>
        <w:pStyle w:val="FootnoteText"/>
        <w:spacing w:after="0"/>
        <w:ind w:firstLine="0"/>
        <w:rPr>
          <w:rFonts w:cs="Times New Roman"/>
          <w:lang w:val="lv-LV"/>
        </w:rPr>
      </w:pPr>
      <w:r w:rsidRPr="0008365B">
        <w:rPr>
          <w:rStyle w:val="FootnoteCharacters"/>
          <w:rFonts w:cs="Times New Roman"/>
          <w:lang w:val="lv-LV"/>
        </w:rPr>
        <w:footnoteRef/>
      </w:r>
      <w:r w:rsidRPr="0008365B">
        <w:rPr>
          <w:rFonts w:cs="Times New Roman"/>
          <w:lang w:val="lv-LV"/>
        </w:rPr>
        <w:t xml:space="preserve"> </w:t>
      </w:r>
      <w:proofErr w:type="spellStart"/>
      <w:r w:rsidRPr="0008365B">
        <w:rPr>
          <w:rFonts w:eastAsia="Times New Roman" w:cs="Times New Roman"/>
          <w:lang w:val="lv-LV" w:eastAsia="lv-LV"/>
        </w:rPr>
        <w:t>Ārpusreģionālā</w:t>
      </w:r>
      <w:proofErr w:type="spellEnd"/>
      <w:r w:rsidRPr="0008365B">
        <w:rPr>
          <w:rFonts w:eastAsia="Times New Roman" w:cs="Times New Roman"/>
          <w:lang w:val="lv-LV" w:eastAsia="lv-LV"/>
        </w:rPr>
        <w:t xml:space="preserve"> teritorija sastāv no ekonomiskās teritorijas daļām, kas nevar tikt pievienotas noteiktam reģionam – gaisa telpa, teritoriālie ūdeņi un kontinentālais plato, teritoriālie anklāvi (vēstniecības, konsulāti un militārās bāzes), izrakteņu atradnes, kuras ir starptautiskajos ūdeņos un kuras ekspluatē attiecīgajā teritorijā bāzētas struktūras.</w:t>
      </w:r>
    </w:p>
  </w:footnote>
  <w:footnote w:id="3">
    <w:p w14:paraId="7D3818A6" w14:textId="77777777" w:rsidR="00EF2741" w:rsidRPr="0008365B" w:rsidRDefault="00EF2741" w:rsidP="00164E9E">
      <w:pPr>
        <w:pStyle w:val="FootnoteText"/>
        <w:spacing w:after="0"/>
        <w:ind w:firstLine="0"/>
        <w:rPr>
          <w:rFonts w:cs="Times New Roman"/>
          <w:lang w:val="lv-LV"/>
        </w:rPr>
      </w:pPr>
      <w:r w:rsidRPr="0008365B">
        <w:rPr>
          <w:rStyle w:val="FootnoteCharacters"/>
          <w:rFonts w:cs="Times New Roman"/>
          <w:lang w:val="lv-LV"/>
        </w:rPr>
        <w:footnoteRef/>
      </w:r>
      <w:r w:rsidRPr="0008365B">
        <w:rPr>
          <w:rFonts w:cs="Times New Roman"/>
          <w:lang w:val="lv-LV"/>
        </w:rPr>
        <w:t xml:space="preserve"> </w:t>
      </w:r>
      <w:hyperlink r:id="rId2">
        <w:r w:rsidRPr="0008365B">
          <w:rPr>
            <w:rStyle w:val="Hyperlink"/>
            <w:rFonts w:cs="Times New Roman"/>
            <w:lang w:val="lv-LV"/>
          </w:rPr>
          <w:t>https://www.europarl.europa.eu/factsheets/lv/sheet/99/kopeja-statistiski-teritorialo-vienibu-klasifikacija-nuts-</w:t>
        </w:r>
      </w:hyperlink>
      <w:r w:rsidRPr="0008365B">
        <w:rPr>
          <w:rFonts w:cs="Times New Roman"/>
          <w:lang w:val="lv-LV"/>
        </w:rPr>
        <w:t xml:space="preserve"> </w:t>
      </w:r>
    </w:p>
  </w:footnote>
  <w:footnote w:id="4">
    <w:p w14:paraId="6C16A10C" w14:textId="77777777" w:rsidR="00EF2741" w:rsidRPr="0008365B" w:rsidRDefault="00EF2741" w:rsidP="00164E9E">
      <w:pPr>
        <w:pStyle w:val="FootnoteText"/>
        <w:spacing w:after="0"/>
        <w:ind w:firstLine="0"/>
        <w:rPr>
          <w:rFonts w:cs="Times New Roman"/>
          <w:lang w:val="lv-LV"/>
        </w:rPr>
      </w:pPr>
      <w:r w:rsidRPr="0008365B">
        <w:rPr>
          <w:rStyle w:val="FootnoteReference"/>
          <w:rFonts w:cs="Times New Roman"/>
          <w:lang w:val="lv-LV"/>
        </w:rPr>
        <w:footnoteRef/>
      </w:r>
      <w:r w:rsidRPr="0008365B">
        <w:rPr>
          <w:rFonts w:cs="Times New Roman"/>
          <w:lang w:val="lv-LV"/>
        </w:rPr>
        <w:t xml:space="preserve"> Atbilstoši FM sniegtajai informācijai.</w:t>
      </w:r>
    </w:p>
  </w:footnote>
  <w:footnote w:id="5">
    <w:p w14:paraId="3B2D363B" w14:textId="0F166A97" w:rsidR="00EF2741" w:rsidRPr="0008365B" w:rsidRDefault="00EF2741" w:rsidP="00164E9E">
      <w:pPr>
        <w:ind w:firstLine="0"/>
        <w:rPr>
          <w:rFonts w:cs="Times New Roman"/>
          <w:sz w:val="20"/>
          <w:szCs w:val="20"/>
          <w:lang w:val="lv-LV"/>
        </w:rPr>
      </w:pPr>
      <w:r w:rsidRPr="0008365B">
        <w:rPr>
          <w:rStyle w:val="FootnoteCharacters"/>
          <w:rFonts w:cs="Times New Roman"/>
          <w:sz w:val="20"/>
          <w:szCs w:val="20"/>
          <w:lang w:val="lv-LV"/>
        </w:rPr>
        <w:footnoteRef/>
      </w:r>
      <w:r w:rsidRPr="0008365B">
        <w:rPr>
          <w:rFonts w:cs="Times New Roman"/>
          <w:sz w:val="20"/>
          <w:szCs w:val="20"/>
          <w:lang w:val="lv-LV"/>
        </w:rPr>
        <w:t xml:space="preserve"> Latvijas Nacionālais attīstības plāns 2021.–2027. gadam. Stratēģisko mērķu indikatori [44], 13. lpp. Pieejams: </w:t>
      </w:r>
      <w:hyperlink r:id="rId3">
        <w:r w:rsidRPr="0008365B">
          <w:rPr>
            <w:rStyle w:val="Hyperlink"/>
            <w:rFonts w:cs="Times New Roman"/>
            <w:sz w:val="20"/>
            <w:szCs w:val="20"/>
            <w:lang w:val="lv-LV"/>
          </w:rPr>
          <w:t>https://www.pkc.gov.lv/sites/default/files/inline-files/NAP2027_apstiprin%C4%81ts%20Saeim%C4%81_1.pdf</w:t>
        </w:r>
      </w:hyperlink>
      <w:r w:rsidRPr="0008365B">
        <w:rPr>
          <w:rFonts w:cs="Times New Roman"/>
          <w:sz w:val="20"/>
          <w:szCs w:val="20"/>
          <w:lang w:val="lv-LV"/>
        </w:rPr>
        <w:t xml:space="preserve"> </w:t>
      </w:r>
    </w:p>
  </w:footnote>
  <w:footnote w:id="6">
    <w:p w14:paraId="50864C6D" w14:textId="77777777" w:rsidR="00EF2741" w:rsidRPr="0008365B" w:rsidRDefault="00EF2741" w:rsidP="00164E9E">
      <w:pPr>
        <w:pStyle w:val="FootnoteText"/>
        <w:spacing w:after="0"/>
        <w:ind w:firstLine="0"/>
        <w:rPr>
          <w:rFonts w:cs="Times New Roman"/>
          <w:lang w:val="lv-LV"/>
        </w:rPr>
      </w:pPr>
      <w:r w:rsidRPr="0008365B">
        <w:rPr>
          <w:rStyle w:val="FootnoteCharacters"/>
          <w:rFonts w:cs="Times New Roman"/>
          <w:lang w:val="lv-LV"/>
        </w:rPr>
        <w:footnoteRef/>
      </w:r>
      <w:r w:rsidRPr="0008365B">
        <w:rPr>
          <w:rFonts w:cs="Times New Roman"/>
          <w:lang w:val="lv-LV"/>
        </w:rPr>
        <w:t xml:space="preserve"> </w:t>
      </w:r>
      <w:r w:rsidRPr="0008365B">
        <w:rPr>
          <w:rFonts w:cs="Times New Roman"/>
          <w:i/>
          <w:iCs/>
          <w:lang w:val="lv-LV"/>
        </w:rPr>
        <w:t xml:space="preserve">European </w:t>
      </w:r>
      <w:proofErr w:type="spellStart"/>
      <w:r w:rsidRPr="0008365B">
        <w:rPr>
          <w:rFonts w:cs="Times New Roman"/>
          <w:i/>
          <w:iCs/>
          <w:lang w:val="lv-LV"/>
        </w:rPr>
        <w:t>Economic</w:t>
      </w:r>
      <w:proofErr w:type="spellEnd"/>
      <w:r w:rsidRPr="0008365B">
        <w:rPr>
          <w:rFonts w:cs="Times New Roman"/>
          <w:i/>
          <w:iCs/>
          <w:lang w:val="lv-LV"/>
        </w:rPr>
        <w:t xml:space="preserve"> </w:t>
      </w:r>
      <w:proofErr w:type="spellStart"/>
      <w:r w:rsidRPr="0008365B">
        <w:rPr>
          <w:rFonts w:cs="Times New Roman"/>
          <w:i/>
          <w:iCs/>
          <w:lang w:val="lv-LV"/>
        </w:rPr>
        <w:t>Forecast</w:t>
      </w:r>
      <w:proofErr w:type="spellEnd"/>
      <w:r w:rsidRPr="0008365B">
        <w:rPr>
          <w:rFonts w:cs="Times New Roman"/>
          <w:i/>
          <w:iCs/>
          <w:lang w:val="lv-LV"/>
        </w:rPr>
        <w:t xml:space="preserve">. </w:t>
      </w:r>
      <w:proofErr w:type="spellStart"/>
      <w:r w:rsidRPr="0008365B">
        <w:rPr>
          <w:rFonts w:cs="Times New Roman"/>
          <w:i/>
          <w:iCs/>
          <w:lang w:val="lv-LV"/>
        </w:rPr>
        <w:t>Autumn</w:t>
      </w:r>
      <w:proofErr w:type="spellEnd"/>
      <w:r w:rsidRPr="0008365B">
        <w:rPr>
          <w:rFonts w:cs="Times New Roman"/>
          <w:i/>
          <w:iCs/>
          <w:lang w:val="lv-LV"/>
        </w:rPr>
        <w:t xml:space="preserve"> 2020</w:t>
      </w:r>
      <w:r w:rsidRPr="0008365B">
        <w:rPr>
          <w:rFonts w:cs="Times New Roman"/>
          <w:lang w:val="lv-LV"/>
        </w:rPr>
        <w:t xml:space="preserve">. </w:t>
      </w:r>
      <w:proofErr w:type="spellStart"/>
      <w:r w:rsidRPr="0008365B">
        <w:rPr>
          <w:rStyle w:val="context-navitem"/>
          <w:rFonts w:cs="Times New Roman"/>
          <w:i/>
          <w:iCs/>
          <w:lang w:val="lv-LV"/>
        </w:rPr>
        <w:t>Institutional</w:t>
      </w:r>
      <w:proofErr w:type="spellEnd"/>
      <w:r w:rsidRPr="0008365B">
        <w:rPr>
          <w:rStyle w:val="context-navitem"/>
          <w:rFonts w:cs="Times New Roman"/>
          <w:i/>
          <w:iCs/>
          <w:lang w:val="lv-LV"/>
        </w:rPr>
        <w:t xml:space="preserve"> Paper 136</w:t>
      </w:r>
      <w:r w:rsidRPr="0008365B">
        <w:rPr>
          <w:rFonts w:cs="Times New Roman"/>
          <w:lang w:val="lv-LV"/>
        </w:rPr>
        <w:t xml:space="preserve"> [2020]. Pieejams: https://ec.europa.eu/info/sites/info/files/economy-finance/ip136_en.pdf</w:t>
      </w:r>
    </w:p>
  </w:footnote>
  <w:footnote w:id="7">
    <w:p w14:paraId="4B2EC704" w14:textId="77777777" w:rsidR="00EF2741" w:rsidRPr="0008365B" w:rsidRDefault="00EF2741" w:rsidP="00164E9E">
      <w:pPr>
        <w:pStyle w:val="FootnoteText"/>
        <w:spacing w:after="0"/>
        <w:ind w:firstLine="0"/>
        <w:rPr>
          <w:rFonts w:cs="Times New Roman"/>
          <w:lang w:val="lv-LV"/>
        </w:rPr>
      </w:pPr>
      <w:r w:rsidRPr="0008365B">
        <w:rPr>
          <w:rStyle w:val="FootnoteReference"/>
          <w:rFonts w:cs="Times New Roman"/>
          <w:lang w:val="lv-LV"/>
        </w:rPr>
        <w:footnoteRef/>
      </w:r>
      <w:r w:rsidRPr="0008365B">
        <w:rPr>
          <w:rFonts w:cs="Times New Roman"/>
          <w:lang w:val="lv-LV"/>
        </w:rPr>
        <w:t xml:space="preserve"> Atbilstoši FM sniegtajai informācijai.</w:t>
      </w:r>
    </w:p>
  </w:footnote>
  <w:footnote w:id="8">
    <w:p w14:paraId="0A5E06F7" w14:textId="77777777" w:rsidR="00EF2741" w:rsidRPr="0008365B" w:rsidRDefault="00EF2741" w:rsidP="00164E9E">
      <w:pPr>
        <w:ind w:firstLine="0"/>
        <w:rPr>
          <w:rFonts w:cs="Times New Roman"/>
          <w:sz w:val="20"/>
          <w:szCs w:val="20"/>
          <w:lang w:val="lv-LV"/>
        </w:rPr>
      </w:pPr>
      <w:r w:rsidRPr="0008365B">
        <w:rPr>
          <w:rStyle w:val="FootnoteCharacters"/>
          <w:rFonts w:cs="Times New Roman"/>
          <w:sz w:val="20"/>
          <w:szCs w:val="20"/>
          <w:lang w:val="lv-LV"/>
        </w:rPr>
        <w:footnoteRef/>
      </w:r>
      <w:r w:rsidRPr="0008365B">
        <w:rPr>
          <w:rFonts w:cs="Times New Roman"/>
          <w:sz w:val="20"/>
          <w:szCs w:val="20"/>
          <w:lang w:val="lv-LV"/>
        </w:rPr>
        <w:t xml:space="preserve"> Latvijas Nacionālais attīstības plāns 2021.–2027. gadam. Stratēģisko mērķu indikatori [44], 13. lpp.. Pieejams: </w:t>
      </w:r>
      <w:hyperlink r:id="rId4">
        <w:r w:rsidRPr="0008365B">
          <w:rPr>
            <w:rStyle w:val="Hyperlink"/>
            <w:rFonts w:cs="Times New Roman"/>
            <w:sz w:val="20"/>
            <w:szCs w:val="20"/>
            <w:lang w:val="lv-LV"/>
          </w:rPr>
          <w:t>https://www.pkc.gov.lv/sites/default/files/inline-files/NAP2027_apstiprin%C4%81ts%20Saeim%C4%81_1.pdf</w:t>
        </w:r>
      </w:hyperlink>
      <w:r w:rsidRPr="0008365B">
        <w:rPr>
          <w:rFonts w:cs="Times New Roman"/>
          <w:sz w:val="20"/>
          <w:szCs w:val="20"/>
          <w:lang w:val="lv-LV"/>
        </w:rPr>
        <w:t xml:space="preserve"> </w:t>
      </w:r>
    </w:p>
  </w:footnote>
  <w:footnote w:id="9">
    <w:p w14:paraId="543DE355" w14:textId="77777777" w:rsidR="00EF2741" w:rsidRPr="0008365B" w:rsidRDefault="00EF2741" w:rsidP="00164E9E">
      <w:pPr>
        <w:ind w:firstLine="0"/>
        <w:rPr>
          <w:rFonts w:eastAsia="Times New Roman" w:cs="Times New Roman"/>
          <w:sz w:val="20"/>
          <w:szCs w:val="20"/>
          <w:lang w:val="lv-LV"/>
        </w:rPr>
      </w:pPr>
      <w:r w:rsidRPr="0008365B">
        <w:rPr>
          <w:rStyle w:val="FootnoteCharacters"/>
          <w:rFonts w:cs="Times New Roman"/>
          <w:sz w:val="20"/>
          <w:szCs w:val="20"/>
          <w:lang w:val="lv-LV"/>
        </w:rPr>
        <w:footnoteRef/>
      </w:r>
      <w:r w:rsidRPr="0008365B">
        <w:rPr>
          <w:rFonts w:cs="Times New Roman"/>
          <w:sz w:val="20"/>
          <w:szCs w:val="20"/>
          <w:lang w:val="lv-LV"/>
        </w:rPr>
        <w:t xml:space="preserve"> </w:t>
      </w:r>
      <w:r w:rsidRPr="0008365B">
        <w:rPr>
          <w:rFonts w:eastAsia="Times New Roman" w:cs="Times New Roman"/>
          <w:i/>
          <w:iCs/>
          <w:sz w:val="20"/>
          <w:szCs w:val="20"/>
          <w:lang w:val="lv-LV"/>
        </w:rPr>
        <w:t>Nolēmums par Galvaspilsētas reģiona un Centrālās un Rietumu Lietuvas reģiona izveidošanu</w:t>
      </w:r>
      <w:r w:rsidRPr="0008365B">
        <w:rPr>
          <w:rFonts w:eastAsia="Times New Roman" w:cs="Times New Roman"/>
          <w:sz w:val="20"/>
          <w:szCs w:val="20"/>
          <w:lang w:val="lv-LV"/>
        </w:rPr>
        <w:t xml:space="preserve">. Lietuvas Republikas Tiesību aktu reģistrs. Pieejams: </w:t>
      </w:r>
      <w:hyperlink r:id="rId5">
        <w:r w:rsidRPr="0008365B">
          <w:rPr>
            <w:rStyle w:val="Hyperlink"/>
            <w:rFonts w:eastAsia="Times New Roman" w:cs="Times New Roman"/>
            <w:sz w:val="20"/>
            <w:szCs w:val="20"/>
            <w:lang w:val="lv-LV"/>
          </w:rPr>
          <w:t>https://www.e-tar.lt/portal/en/legalAct/5bb097a0b92011e5a6588fb85a3cc84b</w:t>
        </w:r>
      </w:hyperlink>
    </w:p>
  </w:footnote>
  <w:footnote w:id="10">
    <w:p w14:paraId="65471728" w14:textId="77777777" w:rsidR="00EF2741" w:rsidRPr="0008365B" w:rsidRDefault="00EF2741" w:rsidP="00164E9E">
      <w:pPr>
        <w:pStyle w:val="FootnoteText"/>
        <w:spacing w:after="0"/>
        <w:ind w:firstLine="0"/>
        <w:rPr>
          <w:rFonts w:cs="Times New Roman"/>
          <w:lang w:val="lv-LV"/>
        </w:rPr>
      </w:pPr>
      <w:r w:rsidRPr="0008365B">
        <w:rPr>
          <w:rStyle w:val="FootnoteReference"/>
          <w:rFonts w:cs="Times New Roman"/>
          <w:lang w:val="lv-LV"/>
        </w:rPr>
        <w:footnoteRef/>
      </w:r>
      <w:r w:rsidRPr="0008365B">
        <w:rPr>
          <w:rFonts w:cs="Times New Roman"/>
          <w:lang w:val="lv-LV"/>
        </w:rPr>
        <w:t xml:space="preserve"> Atbilstoši FM sniegtajai informācijai.</w:t>
      </w:r>
    </w:p>
  </w:footnote>
  <w:footnote w:id="11">
    <w:p w14:paraId="73504D38" w14:textId="77777777" w:rsidR="00EF2741" w:rsidRPr="0008365B" w:rsidRDefault="00EF2741" w:rsidP="00164E9E">
      <w:pPr>
        <w:pStyle w:val="FootnoteText"/>
        <w:spacing w:after="0"/>
        <w:ind w:firstLine="0"/>
        <w:rPr>
          <w:rFonts w:cs="Times New Roman"/>
          <w:lang w:val="lv-LV"/>
        </w:rPr>
      </w:pPr>
      <w:r w:rsidRPr="0008365B">
        <w:rPr>
          <w:rStyle w:val="FootnoteReference"/>
          <w:rFonts w:cs="Times New Roman"/>
          <w:lang w:val="lv-LV"/>
        </w:rPr>
        <w:footnoteRef/>
      </w:r>
      <w:r w:rsidRPr="0008365B">
        <w:rPr>
          <w:rFonts w:cs="Times New Roman"/>
          <w:lang w:val="lv-LV"/>
        </w:rPr>
        <w:t xml:space="preserve"> Atbilstoši FM sniegtajai informācijai.</w:t>
      </w:r>
    </w:p>
  </w:footnote>
  <w:footnote w:id="12">
    <w:p w14:paraId="6AAF4890" w14:textId="77777777" w:rsidR="00EF2741" w:rsidRPr="0008365B" w:rsidRDefault="00EF2741" w:rsidP="00164E9E">
      <w:pPr>
        <w:pStyle w:val="FootnoteText"/>
        <w:spacing w:after="0"/>
        <w:ind w:firstLine="0"/>
        <w:rPr>
          <w:rFonts w:cs="Times New Roman"/>
          <w:lang w:val="lv-LV"/>
        </w:rPr>
      </w:pPr>
      <w:r w:rsidRPr="0008365B">
        <w:rPr>
          <w:rStyle w:val="FootnoteReference"/>
          <w:rFonts w:cs="Times New Roman"/>
          <w:lang w:val="lv-LV"/>
        </w:rPr>
        <w:footnoteRef/>
      </w:r>
      <w:r w:rsidRPr="0008365B">
        <w:rPr>
          <w:rFonts w:cs="Times New Roman"/>
          <w:lang w:val="lv-LV"/>
        </w:rPr>
        <w:t xml:space="preserve"> Atbilstoši CSP sniegtajai informācijai.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11AB"/>
    <w:multiLevelType w:val="multilevel"/>
    <w:tmpl w:val="26AC0BB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351B2B"/>
    <w:multiLevelType w:val="hybridMultilevel"/>
    <w:tmpl w:val="1B888FFC"/>
    <w:lvl w:ilvl="0" w:tplc="277E5E1A">
      <w:start w:val="1"/>
      <w:numFmt w:val="decimal"/>
      <w:lvlText w:val="%1)"/>
      <w:lvlJc w:val="left"/>
      <w:pPr>
        <w:ind w:left="1080" w:hanging="360"/>
      </w:pPr>
      <w:rPr>
        <w:rFonts w:eastAsiaTheme="minorHAnsi" w:cstheme="minorBidi" w:hint="default"/>
        <w:b w:val="0"/>
        <w:bCs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0C4067"/>
    <w:multiLevelType w:val="hybridMultilevel"/>
    <w:tmpl w:val="BC50EF6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07C4C41"/>
    <w:multiLevelType w:val="multilevel"/>
    <w:tmpl w:val="39362C20"/>
    <w:lvl w:ilvl="0">
      <w:start w:val="1"/>
      <w:numFmt w:val="upp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E71AE9"/>
    <w:multiLevelType w:val="multilevel"/>
    <w:tmpl w:val="0F6AB838"/>
    <w:lvl w:ilvl="0">
      <w:start w:val="1"/>
      <w:numFmt w:val="upperRoman"/>
      <w:lvlText w:val="%1."/>
      <w:lvlJc w:val="right"/>
      <w:pPr>
        <w:ind w:left="36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B1D5B41"/>
    <w:multiLevelType w:val="multilevel"/>
    <w:tmpl w:val="0AD28EB4"/>
    <w:lvl w:ilvl="0">
      <w:start w:val="1"/>
      <w:numFmt w:val="decimal"/>
      <w:lvlText w:val="%1."/>
      <w:lvlJc w:val="left"/>
      <w:pPr>
        <w:ind w:left="1080" w:hanging="360"/>
      </w:pPr>
      <w:rPr>
        <w:b/>
        <w:bCs/>
        <w:i/>
        <w:i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2513188"/>
    <w:multiLevelType w:val="multilevel"/>
    <w:tmpl w:val="C1EE5B1C"/>
    <w:lvl w:ilvl="0">
      <w:start w:val="1"/>
      <w:numFmt w:val="bullet"/>
      <w:lvlText w:val="-"/>
      <w:lvlJc w:val="left"/>
      <w:pPr>
        <w:tabs>
          <w:tab w:val="num" w:pos="720"/>
        </w:tabs>
        <w:ind w:left="720" w:hanging="360"/>
      </w:pPr>
      <w:rPr>
        <w:rFonts w:ascii="Calibri" w:hAnsi="Calibri" w:cs="Calibri"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54CA1C7E"/>
    <w:multiLevelType w:val="hybridMultilevel"/>
    <w:tmpl w:val="89F648A4"/>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5E03E93"/>
    <w:multiLevelType w:val="multilevel"/>
    <w:tmpl w:val="70ACD324"/>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9207ACF"/>
    <w:multiLevelType w:val="hybridMultilevel"/>
    <w:tmpl w:val="F7AE88E0"/>
    <w:lvl w:ilvl="0" w:tplc="27DEFD4C">
      <w:start w:val="80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AF81C7F"/>
    <w:multiLevelType w:val="hybridMultilevel"/>
    <w:tmpl w:val="349EDE38"/>
    <w:lvl w:ilvl="0" w:tplc="2BD04186">
      <w:start w:val="1"/>
      <w:numFmt w:val="decimal"/>
      <w:lvlText w:val="%1."/>
      <w:lvlJc w:val="left"/>
      <w:pPr>
        <w:ind w:left="1080" w:hanging="360"/>
      </w:pPr>
      <w:rPr>
        <w:rFonts w:eastAsiaTheme="minorHAnsi"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38E1C15"/>
    <w:multiLevelType w:val="hybridMultilevel"/>
    <w:tmpl w:val="336AC180"/>
    <w:lvl w:ilvl="0" w:tplc="B476A756">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8B05ED"/>
    <w:multiLevelType w:val="multilevel"/>
    <w:tmpl w:val="03D8BCD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15:restartNumberingAfterBreak="0">
    <w:nsid w:val="6BEF745E"/>
    <w:multiLevelType w:val="hybridMultilevel"/>
    <w:tmpl w:val="FB464414"/>
    <w:lvl w:ilvl="0" w:tplc="1E9206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54595E"/>
    <w:multiLevelType w:val="multilevel"/>
    <w:tmpl w:val="70ACD324"/>
    <w:lvl w:ilvl="0">
      <w:start w:val="1"/>
      <w:numFmt w:val="lowerLetter"/>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D6448DC"/>
    <w:multiLevelType w:val="multilevel"/>
    <w:tmpl w:val="79FA0FE2"/>
    <w:lvl w:ilvl="0">
      <w:start w:val="1"/>
      <w:numFmt w:val="decimal"/>
      <w:pStyle w:val="Heading1"/>
      <w:lvlText w:val="%1."/>
      <w:lvlJc w:val="left"/>
      <w:pPr>
        <w:ind w:left="4046"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FC5790F"/>
    <w:multiLevelType w:val="hybridMultilevel"/>
    <w:tmpl w:val="2A1A8530"/>
    <w:lvl w:ilvl="0" w:tplc="8EFE3ACC">
      <w:start w:val="1"/>
      <w:numFmt w:val="decimal"/>
      <w:lvlText w:val="%1."/>
      <w:lvlJc w:val="left"/>
      <w:pPr>
        <w:ind w:left="1080" w:hanging="360"/>
      </w:pPr>
      <w:rPr>
        <w:b/>
        <w:i/>
      </w:rPr>
    </w:lvl>
    <w:lvl w:ilvl="1" w:tplc="32FAFC3E">
      <w:start w:val="1"/>
      <w:numFmt w:val="lowerLetter"/>
      <w:lvlText w:val="%2."/>
      <w:lvlJc w:val="left"/>
      <w:pPr>
        <w:ind w:left="1800" w:hanging="360"/>
      </w:pPr>
    </w:lvl>
    <w:lvl w:ilvl="2" w:tplc="9D9281C4">
      <w:start w:val="1"/>
      <w:numFmt w:val="lowerRoman"/>
      <w:lvlText w:val="%3."/>
      <w:lvlJc w:val="right"/>
      <w:pPr>
        <w:ind w:left="2520" w:hanging="180"/>
      </w:pPr>
    </w:lvl>
    <w:lvl w:ilvl="3" w:tplc="A442F714">
      <w:start w:val="1"/>
      <w:numFmt w:val="decimal"/>
      <w:lvlText w:val="%4."/>
      <w:lvlJc w:val="left"/>
      <w:pPr>
        <w:ind w:left="3240" w:hanging="360"/>
      </w:pPr>
    </w:lvl>
    <w:lvl w:ilvl="4" w:tplc="4358D3C6">
      <w:start w:val="1"/>
      <w:numFmt w:val="lowerLetter"/>
      <w:lvlText w:val="%5."/>
      <w:lvlJc w:val="left"/>
      <w:pPr>
        <w:ind w:left="3960" w:hanging="360"/>
      </w:pPr>
    </w:lvl>
    <w:lvl w:ilvl="5" w:tplc="E39C9A60">
      <w:start w:val="1"/>
      <w:numFmt w:val="lowerRoman"/>
      <w:lvlText w:val="%6."/>
      <w:lvlJc w:val="right"/>
      <w:pPr>
        <w:ind w:left="4680" w:hanging="180"/>
      </w:pPr>
    </w:lvl>
    <w:lvl w:ilvl="6" w:tplc="CEE23E6C">
      <w:start w:val="1"/>
      <w:numFmt w:val="decimal"/>
      <w:lvlText w:val="%7."/>
      <w:lvlJc w:val="left"/>
      <w:pPr>
        <w:ind w:left="5400" w:hanging="360"/>
      </w:pPr>
    </w:lvl>
    <w:lvl w:ilvl="7" w:tplc="1AAC7D6C">
      <w:start w:val="1"/>
      <w:numFmt w:val="lowerLetter"/>
      <w:lvlText w:val="%8."/>
      <w:lvlJc w:val="left"/>
      <w:pPr>
        <w:ind w:left="6120" w:hanging="360"/>
      </w:pPr>
    </w:lvl>
    <w:lvl w:ilvl="8" w:tplc="3F5E7E44">
      <w:start w:val="1"/>
      <w:numFmt w:val="lowerRoman"/>
      <w:lvlText w:val="%9."/>
      <w:lvlJc w:val="right"/>
      <w:pPr>
        <w:ind w:left="6840" w:hanging="180"/>
      </w:pPr>
    </w:lvl>
  </w:abstractNum>
  <w:num w:numId="1">
    <w:abstractNumId w:val="15"/>
  </w:num>
  <w:num w:numId="2">
    <w:abstractNumId w:val="3"/>
  </w:num>
  <w:num w:numId="3">
    <w:abstractNumId w:val="4"/>
  </w:num>
  <w:num w:numId="4">
    <w:abstractNumId w:val="12"/>
  </w:num>
  <w:num w:numId="5">
    <w:abstractNumId w:val="14"/>
  </w:num>
  <w:num w:numId="6">
    <w:abstractNumId w:val="5"/>
  </w:num>
  <w:num w:numId="7">
    <w:abstractNumId w:val="16"/>
  </w:num>
  <w:num w:numId="8">
    <w:abstractNumId w:val="0"/>
  </w:num>
  <w:num w:numId="9">
    <w:abstractNumId w:val="6"/>
  </w:num>
  <w:num w:numId="10">
    <w:abstractNumId w:val="8"/>
  </w:num>
  <w:num w:numId="11">
    <w:abstractNumId w:val="9"/>
  </w:num>
  <w:num w:numId="12">
    <w:abstractNumId w:val="7"/>
  </w:num>
  <w:num w:numId="13">
    <w:abstractNumId w:val="2"/>
  </w:num>
  <w:num w:numId="14">
    <w:abstractNumId w:val="1"/>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10CB48"/>
    <w:rsid w:val="0000697D"/>
    <w:rsid w:val="00013A7B"/>
    <w:rsid w:val="000265EC"/>
    <w:rsid w:val="00027257"/>
    <w:rsid w:val="00042EFB"/>
    <w:rsid w:val="00045A74"/>
    <w:rsid w:val="0005413F"/>
    <w:rsid w:val="00071A71"/>
    <w:rsid w:val="00073A6E"/>
    <w:rsid w:val="00083626"/>
    <w:rsid w:val="0008365B"/>
    <w:rsid w:val="00091D62"/>
    <w:rsid w:val="000C5347"/>
    <w:rsid w:val="000D2936"/>
    <w:rsid w:val="000D663E"/>
    <w:rsid w:val="000F10C1"/>
    <w:rsid w:val="001267F8"/>
    <w:rsid w:val="00126E98"/>
    <w:rsid w:val="0013008F"/>
    <w:rsid w:val="0013329E"/>
    <w:rsid w:val="00140516"/>
    <w:rsid w:val="00145449"/>
    <w:rsid w:val="00156C6E"/>
    <w:rsid w:val="00164E9E"/>
    <w:rsid w:val="00167A9F"/>
    <w:rsid w:val="00180B74"/>
    <w:rsid w:val="00181D67"/>
    <w:rsid w:val="0018214D"/>
    <w:rsid w:val="00183E92"/>
    <w:rsid w:val="00190ADF"/>
    <w:rsid w:val="001B04AA"/>
    <w:rsid w:val="001C2F32"/>
    <w:rsid w:val="001C703C"/>
    <w:rsid w:val="001E3298"/>
    <w:rsid w:val="001F67A3"/>
    <w:rsid w:val="002112D2"/>
    <w:rsid w:val="00222721"/>
    <w:rsid w:val="00224AA4"/>
    <w:rsid w:val="00231F0A"/>
    <w:rsid w:val="0023365F"/>
    <w:rsid w:val="00235093"/>
    <w:rsid w:val="00235897"/>
    <w:rsid w:val="002411CF"/>
    <w:rsid w:val="00243DC6"/>
    <w:rsid w:val="00244B44"/>
    <w:rsid w:val="00263128"/>
    <w:rsid w:val="00263EB2"/>
    <w:rsid w:val="00266463"/>
    <w:rsid w:val="00267A71"/>
    <w:rsid w:val="00267A97"/>
    <w:rsid w:val="0027475D"/>
    <w:rsid w:val="00283BA4"/>
    <w:rsid w:val="002907DF"/>
    <w:rsid w:val="002915F0"/>
    <w:rsid w:val="00292A95"/>
    <w:rsid w:val="00296A2F"/>
    <w:rsid w:val="002C06B0"/>
    <w:rsid w:val="002C3A36"/>
    <w:rsid w:val="002D7186"/>
    <w:rsid w:val="002E5896"/>
    <w:rsid w:val="002F51F5"/>
    <w:rsid w:val="00311D6D"/>
    <w:rsid w:val="00312857"/>
    <w:rsid w:val="00314CB8"/>
    <w:rsid w:val="003411AA"/>
    <w:rsid w:val="00343EF6"/>
    <w:rsid w:val="00352EC4"/>
    <w:rsid w:val="003A129A"/>
    <w:rsid w:val="003B2DCF"/>
    <w:rsid w:val="003F104C"/>
    <w:rsid w:val="00400E43"/>
    <w:rsid w:val="00401E29"/>
    <w:rsid w:val="004022C5"/>
    <w:rsid w:val="00403512"/>
    <w:rsid w:val="00405814"/>
    <w:rsid w:val="00421015"/>
    <w:rsid w:val="00447BAC"/>
    <w:rsid w:val="00452431"/>
    <w:rsid w:val="00453590"/>
    <w:rsid w:val="00480C88"/>
    <w:rsid w:val="00490123"/>
    <w:rsid w:val="004A42D8"/>
    <w:rsid w:val="004A63D0"/>
    <w:rsid w:val="004B1D65"/>
    <w:rsid w:val="004C0A77"/>
    <w:rsid w:val="004C24C2"/>
    <w:rsid w:val="005129F0"/>
    <w:rsid w:val="00517DF2"/>
    <w:rsid w:val="0053594E"/>
    <w:rsid w:val="00540E0D"/>
    <w:rsid w:val="0055060C"/>
    <w:rsid w:val="00560E1D"/>
    <w:rsid w:val="005911E8"/>
    <w:rsid w:val="005A509C"/>
    <w:rsid w:val="005B1638"/>
    <w:rsid w:val="005B6CAD"/>
    <w:rsid w:val="005B7A09"/>
    <w:rsid w:val="005C782F"/>
    <w:rsid w:val="0060377D"/>
    <w:rsid w:val="00603A81"/>
    <w:rsid w:val="006141B3"/>
    <w:rsid w:val="006171E6"/>
    <w:rsid w:val="00617943"/>
    <w:rsid w:val="006251C3"/>
    <w:rsid w:val="00645194"/>
    <w:rsid w:val="0064529E"/>
    <w:rsid w:val="0064654E"/>
    <w:rsid w:val="00655F7E"/>
    <w:rsid w:val="00660B17"/>
    <w:rsid w:val="00680086"/>
    <w:rsid w:val="00686CB4"/>
    <w:rsid w:val="00696829"/>
    <w:rsid w:val="006B0C36"/>
    <w:rsid w:val="006C5B3C"/>
    <w:rsid w:val="006C6DAD"/>
    <w:rsid w:val="006C7B0B"/>
    <w:rsid w:val="006D37A8"/>
    <w:rsid w:val="006F283F"/>
    <w:rsid w:val="006F2DC4"/>
    <w:rsid w:val="00703A87"/>
    <w:rsid w:val="007316CC"/>
    <w:rsid w:val="007360F6"/>
    <w:rsid w:val="00756EB5"/>
    <w:rsid w:val="00774DCE"/>
    <w:rsid w:val="0078283D"/>
    <w:rsid w:val="0079014E"/>
    <w:rsid w:val="00796706"/>
    <w:rsid w:val="007A16D7"/>
    <w:rsid w:val="007C218B"/>
    <w:rsid w:val="007C7696"/>
    <w:rsid w:val="007F6378"/>
    <w:rsid w:val="00811A69"/>
    <w:rsid w:val="00814EB1"/>
    <w:rsid w:val="008327B2"/>
    <w:rsid w:val="00841E7E"/>
    <w:rsid w:val="00844BF8"/>
    <w:rsid w:val="00844C61"/>
    <w:rsid w:val="00854CF9"/>
    <w:rsid w:val="00866C59"/>
    <w:rsid w:val="00867C94"/>
    <w:rsid w:val="00875BC1"/>
    <w:rsid w:val="0088784E"/>
    <w:rsid w:val="008A1ED0"/>
    <w:rsid w:val="008A3559"/>
    <w:rsid w:val="008B1BAF"/>
    <w:rsid w:val="008C6E68"/>
    <w:rsid w:val="008E01A1"/>
    <w:rsid w:val="008E22CD"/>
    <w:rsid w:val="00902C11"/>
    <w:rsid w:val="00903470"/>
    <w:rsid w:val="00904817"/>
    <w:rsid w:val="00907A28"/>
    <w:rsid w:val="00912C70"/>
    <w:rsid w:val="0092620D"/>
    <w:rsid w:val="00932E09"/>
    <w:rsid w:val="009332FD"/>
    <w:rsid w:val="009436DB"/>
    <w:rsid w:val="00943BC7"/>
    <w:rsid w:val="009460F9"/>
    <w:rsid w:val="00951562"/>
    <w:rsid w:val="0095283A"/>
    <w:rsid w:val="009813FA"/>
    <w:rsid w:val="00991DAE"/>
    <w:rsid w:val="009B22CF"/>
    <w:rsid w:val="009E6DB0"/>
    <w:rsid w:val="009F2066"/>
    <w:rsid w:val="009F234E"/>
    <w:rsid w:val="00A01067"/>
    <w:rsid w:val="00A05F84"/>
    <w:rsid w:val="00A20C96"/>
    <w:rsid w:val="00A239AD"/>
    <w:rsid w:val="00A25DA8"/>
    <w:rsid w:val="00A37146"/>
    <w:rsid w:val="00A65BEC"/>
    <w:rsid w:val="00A74DE7"/>
    <w:rsid w:val="00A84A9E"/>
    <w:rsid w:val="00A85064"/>
    <w:rsid w:val="00A92759"/>
    <w:rsid w:val="00A96717"/>
    <w:rsid w:val="00A969C7"/>
    <w:rsid w:val="00AA19CA"/>
    <w:rsid w:val="00AA3AFB"/>
    <w:rsid w:val="00AC10C9"/>
    <w:rsid w:val="00AC47D8"/>
    <w:rsid w:val="00AE1489"/>
    <w:rsid w:val="00AF0182"/>
    <w:rsid w:val="00AF6BCD"/>
    <w:rsid w:val="00B1750D"/>
    <w:rsid w:val="00B720A0"/>
    <w:rsid w:val="00B753B4"/>
    <w:rsid w:val="00B756AB"/>
    <w:rsid w:val="00B76718"/>
    <w:rsid w:val="00B931D0"/>
    <w:rsid w:val="00BC2572"/>
    <w:rsid w:val="00BE538B"/>
    <w:rsid w:val="00C06F56"/>
    <w:rsid w:val="00C17BE1"/>
    <w:rsid w:val="00C27E58"/>
    <w:rsid w:val="00C331A4"/>
    <w:rsid w:val="00C339A4"/>
    <w:rsid w:val="00C440B2"/>
    <w:rsid w:val="00C46350"/>
    <w:rsid w:val="00C47BEF"/>
    <w:rsid w:val="00C866C7"/>
    <w:rsid w:val="00C9639D"/>
    <w:rsid w:val="00CA6449"/>
    <w:rsid w:val="00CA7B87"/>
    <w:rsid w:val="00CB1789"/>
    <w:rsid w:val="00CB2C1B"/>
    <w:rsid w:val="00CC74EB"/>
    <w:rsid w:val="00CF7519"/>
    <w:rsid w:val="00D25CE8"/>
    <w:rsid w:val="00D37ED1"/>
    <w:rsid w:val="00D80FBD"/>
    <w:rsid w:val="00D839E7"/>
    <w:rsid w:val="00D846DC"/>
    <w:rsid w:val="00DA0A22"/>
    <w:rsid w:val="00DA40A8"/>
    <w:rsid w:val="00DC3204"/>
    <w:rsid w:val="00DC32A3"/>
    <w:rsid w:val="00DC5D5A"/>
    <w:rsid w:val="00DD258C"/>
    <w:rsid w:val="00DD4113"/>
    <w:rsid w:val="00DE5065"/>
    <w:rsid w:val="00DF1A6F"/>
    <w:rsid w:val="00DF288D"/>
    <w:rsid w:val="00DF4DA1"/>
    <w:rsid w:val="00E02BBE"/>
    <w:rsid w:val="00E10B79"/>
    <w:rsid w:val="00E22AD8"/>
    <w:rsid w:val="00E33104"/>
    <w:rsid w:val="00E615A4"/>
    <w:rsid w:val="00EB29F5"/>
    <w:rsid w:val="00EB5F5B"/>
    <w:rsid w:val="00EC7B37"/>
    <w:rsid w:val="00ED2B5E"/>
    <w:rsid w:val="00ED30F7"/>
    <w:rsid w:val="00ED5119"/>
    <w:rsid w:val="00EE5CDD"/>
    <w:rsid w:val="00EF2741"/>
    <w:rsid w:val="00EF2A84"/>
    <w:rsid w:val="00EF7DF8"/>
    <w:rsid w:val="00F53366"/>
    <w:rsid w:val="00F64F5C"/>
    <w:rsid w:val="00F6708E"/>
    <w:rsid w:val="00F72964"/>
    <w:rsid w:val="00F82CDE"/>
    <w:rsid w:val="00F85818"/>
    <w:rsid w:val="00F928EA"/>
    <w:rsid w:val="00FB7DDD"/>
    <w:rsid w:val="00FC7428"/>
    <w:rsid w:val="00FE1903"/>
    <w:rsid w:val="00FF6CB0"/>
    <w:rsid w:val="6C10CB48"/>
    <w:rsid w:val="70DC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0CB48"/>
  <w15:chartTrackingRefBased/>
  <w15:docId w15:val="{0841E7A0-E897-4DB5-BA41-9C8A970E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36"/>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2E5896"/>
    <w:pPr>
      <w:keepNext/>
      <w:keepLines/>
      <w:numPr>
        <w:numId w:val="1"/>
      </w:numPr>
      <w:ind w:left="357" w:hanging="357"/>
      <w:jc w:val="center"/>
      <w:outlineLvl w:val="0"/>
    </w:pPr>
    <w:rPr>
      <w:rFonts w:eastAsiaTheme="majorEastAsia" w:cs="Times New Roman"/>
      <w:b/>
      <w:szCs w:val="24"/>
      <w:lang w:val="lv-LV"/>
    </w:rPr>
  </w:style>
  <w:style w:type="paragraph" w:styleId="Heading2">
    <w:name w:val="heading 2"/>
    <w:basedOn w:val="Normal"/>
    <w:next w:val="Normal"/>
    <w:link w:val="Heading2Char"/>
    <w:uiPriority w:val="9"/>
    <w:unhideWhenUsed/>
    <w:qFormat/>
    <w:rsid w:val="006C6DAD"/>
    <w:pPr>
      <w:keepNext/>
      <w:keepLines/>
      <w:ind w:firstLine="0"/>
      <w:jc w:val="center"/>
      <w:outlineLvl w:val="1"/>
    </w:pPr>
    <w:rPr>
      <w:rFonts w:eastAsiaTheme="majorEastAsia" w:cstheme="majorBidi"/>
      <w:b/>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E5896"/>
    <w:rPr>
      <w:rFonts w:ascii="Times New Roman" w:eastAsiaTheme="majorEastAsia" w:hAnsi="Times New Roman" w:cs="Times New Roman"/>
      <w:b/>
      <w:sz w:val="24"/>
      <w:szCs w:val="24"/>
      <w:lang w:val="lv-LV"/>
    </w:rPr>
  </w:style>
  <w:style w:type="character" w:customStyle="1" w:styleId="Heading2Char">
    <w:name w:val="Heading 2 Char"/>
    <w:basedOn w:val="DefaultParagraphFont"/>
    <w:link w:val="Heading2"/>
    <w:uiPriority w:val="9"/>
    <w:qFormat/>
    <w:rsid w:val="006C6DAD"/>
    <w:rPr>
      <w:rFonts w:ascii="Times New Roman" w:eastAsiaTheme="majorEastAsia" w:hAnsi="Times New Roman" w:cstheme="majorBidi"/>
      <w:b/>
      <w:sz w:val="24"/>
      <w:szCs w:val="26"/>
      <w:lang w:val="lv-LV"/>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qFormat/>
    <w:rsid w:val="00EF2741"/>
    <w:rPr>
      <w:rFonts w:eastAsiaTheme="minorEastAsia"/>
      <w:sz w:val="20"/>
      <w:szCs w:val="20"/>
    </w:rPr>
  </w:style>
  <w:style w:type="character" w:customStyle="1" w:styleId="FootnoteCharacters">
    <w:name w:val="Footnote Characters"/>
    <w:basedOn w:val="DefaultParagraphFont"/>
    <w:link w:val="CharCharCharChar"/>
    <w:uiPriority w:val="99"/>
    <w:unhideWhenUsed/>
    <w:qFormat/>
    <w:rsid w:val="00EF2741"/>
    <w:rPr>
      <w:vertAlign w:val="superscript"/>
    </w:rPr>
  </w:style>
  <w:style w:type="character" w:customStyle="1" w:styleId="FootnoteAnchor">
    <w:name w:val="Footnote Anchor"/>
    <w:rsid w:val="00EF2741"/>
    <w:rPr>
      <w:vertAlign w:val="superscript"/>
    </w:rPr>
  </w:style>
  <w:style w:type="character" w:styleId="Hyperlink">
    <w:name w:val="Hyperlink"/>
    <w:basedOn w:val="DefaultParagraphFont"/>
    <w:uiPriority w:val="99"/>
    <w:unhideWhenUsed/>
    <w:rsid w:val="00EF2741"/>
    <w:rPr>
      <w:color w:val="0000FF"/>
      <w:u w:val="single"/>
    </w:rPr>
  </w:style>
  <w:style w:type="character" w:customStyle="1" w:styleId="HeaderChar">
    <w:name w:val="Header Char"/>
    <w:basedOn w:val="DefaultParagraphFont"/>
    <w:link w:val="Header"/>
    <w:uiPriority w:val="99"/>
    <w:qFormat/>
    <w:rsid w:val="00EF2741"/>
    <w:rPr>
      <w:rFonts w:eastAsiaTheme="minorEastAsia"/>
      <w:sz w:val="21"/>
      <w:szCs w:val="21"/>
    </w:rPr>
  </w:style>
  <w:style w:type="character" w:customStyle="1" w:styleId="FooterChar">
    <w:name w:val="Footer Char"/>
    <w:basedOn w:val="DefaultParagraphFont"/>
    <w:link w:val="Footer"/>
    <w:uiPriority w:val="99"/>
    <w:qFormat/>
    <w:rsid w:val="00EF2741"/>
    <w:rPr>
      <w:rFonts w:eastAsiaTheme="minorEastAsia"/>
      <w:sz w:val="21"/>
      <w:szCs w:val="21"/>
    </w:rPr>
  </w:style>
  <w:style w:type="character" w:styleId="Emphasis">
    <w:name w:val="Emphasis"/>
    <w:basedOn w:val="DefaultParagraphFont"/>
    <w:uiPriority w:val="20"/>
    <w:qFormat/>
    <w:rsid w:val="00EF2741"/>
    <w:rPr>
      <w:i/>
      <w:iCs/>
    </w:rPr>
  </w:style>
  <w:style w:type="character" w:customStyle="1" w:styleId="ListParagraphChar">
    <w:name w:val="List Paragraph Char"/>
    <w:aliases w:val="2 Char,List Paragraph compact Char,Normal bullet 2 Char,Paragraphe de liste 2 Char,Reference list Char,Bullet list Char,Numbered List Char,List Paragraph1 Char,1st level - Bullet List Paragraph Char,Lettre d'introduction Char"/>
    <w:basedOn w:val="DefaultParagraphFont"/>
    <w:link w:val="ListParagraph"/>
    <w:uiPriority w:val="34"/>
    <w:qFormat/>
    <w:locked/>
    <w:rsid w:val="00EF2741"/>
    <w:rPr>
      <w:rFonts w:ascii="Times New Roman" w:eastAsiaTheme="minorEastAsia" w:hAnsi="Times New Roman"/>
      <w:sz w:val="24"/>
      <w:szCs w:val="21"/>
    </w:rPr>
  </w:style>
  <w:style w:type="character" w:customStyle="1" w:styleId="context-navitem">
    <w:name w:val="context-nav__item"/>
    <w:basedOn w:val="DefaultParagraphFont"/>
    <w:qFormat/>
    <w:rsid w:val="00EF2741"/>
  </w:style>
  <w:style w:type="paragraph" w:styleId="NormalWeb">
    <w:name w:val="Normal (Web)"/>
    <w:basedOn w:val="Normal"/>
    <w:uiPriority w:val="99"/>
    <w:unhideWhenUsed/>
    <w:qFormat/>
    <w:rsid w:val="00EF2741"/>
    <w:pPr>
      <w:spacing w:beforeAutospacing="1" w:after="120" w:afterAutospacing="1"/>
    </w:pPr>
    <w:rPr>
      <w:rFonts w:eastAsia="Times New Roman" w:cs="Times New Roman"/>
      <w:szCs w:val="24"/>
      <w:lang w:val="lv-LV" w:eastAsia="lv-LV"/>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qFormat/>
    <w:rsid w:val="00EF2741"/>
    <w:pPr>
      <w:spacing w:after="120"/>
    </w:pPr>
    <w:rPr>
      <w:rFonts w:eastAsiaTheme="minorEastAsia"/>
      <w:sz w:val="20"/>
      <w:szCs w:val="20"/>
    </w:rPr>
  </w:style>
  <w:style w:type="character" w:customStyle="1" w:styleId="FootnoteTextChar1">
    <w:name w:val="Footnote Text Char1"/>
    <w:basedOn w:val="DefaultParagraphFont"/>
    <w:uiPriority w:val="99"/>
    <w:semiHidden/>
    <w:rsid w:val="00EF2741"/>
    <w:rPr>
      <w:sz w:val="20"/>
      <w:szCs w:val="20"/>
    </w:rPr>
  </w:style>
  <w:style w:type="paragraph" w:styleId="Header">
    <w:name w:val="header"/>
    <w:basedOn w:val="Normal"/>
    <w:link w:val="HeaderChar"/>
    <w:uiPriority w:val="99"/>
    <w:unhideWhenUsed/>
    <w:rsid w:val="00EF2741"/>
    <w:pPr>
      <w:tabs>
        <w:tab w:val="center" w:pos="4153"/>
        <w:tab w:val="right" w:pos="8306"/>
      </w:tabs>
      <w:spacing w:after="120"/>
    </w:pPr>
    <w:rPr>
      <w:rFonts w:eastAsiaTheme="minorEastAsia"/>
      <w:sz w:val="21"/>
      <w:szCs w:val="21"/>
    </w:rPr>
  </w:style>
  <w:style w:type="character" w:customStyle="1" w:styleId="HeaderChar1">
    <w:name w:val="Header Char1"/>
    <w:basedOn w:val="DefaultParagraphFont"/>
    <w:uiPriority w:val="99"/>
    <w:semiHidden/>
    <w:rsid w:val="00EF2741"/>
  </w:style>
  <w:style w:type="paragraph" w:styleId="Footer">
    <w:name w:val="footer"/>
    <w:basedOn w:val="Normal"/>
    <w:link w:val="FooterChar"/>
    <w:uiPriority w:val="99"/>
    <w:unhideWhenUsed/>
    <w:rsid w:val="00EF2741"/>
    <w:pPr>
      <w:tabs>
        <w:tab w:val="center" w:pos="4153"/>
        <w:tab w:val="right" w:pos="8306"/>
      </w:tabs>
      <w:spacing w:after="120"/>
    </w:pPr>
    <w:rPr>
      <w:rFonts w:eastAsiaTheme="minorEastAsia"/>
      <w:sz w:val="21"/>
      <w:szCs w:val="21"/>
    </w:rPr>
  </w:style>
  <w:style w:type="character" w:customStyle="1" w:styleId="FooterChar1">
    <w:name w:val="Footer Char1"/>
    <w:basedOn w:val="DefaultParagraphFont"/>
    <w:uiPriority w:val="99"/>
    <w:semiHidden/>
    <w:rsid w:val="00EF2741"/>
  </w:style>
  <w:style w:type="paragraph" w:customStyle="1" w:styleId="tv213">
    <w:name w:val="tv213"/>
    <w:basedOn w:val="Normal"/>
    <w:qFormat/>
    <w:rsid w:val="00EF2741"/>
    <w:pPr>
      <w:spacing w:beforeAutospacing="1" w:after="120" w:afterAutospacing="1"/>
    </w:pPr>
    <w:rPr>
      <w:rFonts w:eastAsia="Times New Roman" w:cs="Times New Roman"/>
      <w:szCs w:val="24"/>
      <w:lang w:val="lv-LV" w:eastAsia="lv-LV"/>
    </w:rPr>
  </w:style>
  <w:style w:type="paragraph" w:styleId="ListParagraph">
    <w:name w:val="List Paragraph"/>
    <w:aliases w:val="2,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EF2741"/>
    <w:pPr>
      <w:spacing w:after="120"/>
      <w:ind w:left="720"/>
    </w:pPr>
    <w:rPr>
      <w:rFonts w:eastAsiaTheme="minorEastAsia"/>
      <w:szCs w:val="21"/>
    </w:rPr>
  </w:style>
  <w:style w:type="paragraph" w:styleId="TOC1">
    <w:name w:val="toc 1"/>
    <w:basedOn w:val="Normal"/>
    <w:next w:val="Normal"/>
    <w:autoRedefine/>
    <w:uiPriority w:val="39"/>
    <w:unhideWhenUsed/>
    <w:rsid w:val="00EF2741"/>
    <w:pPr>
      <w:tabs>
        <w:tab w:val="left" w:pos="440"/>
        <w:tab w:val="left" w:pos="1320"/>
        <w:tab w:val="right" w:leader="dot" w:pos="9495"/>
      </w:tabs>
      <w:spacing w:before="120" w:after="120"/>
      <w:ind w:left="709" w:hanging="709"/>
    </w:pPr>
    <w:rPr>
      <w:rFonts w:cs="Arial"/>
      <w:szCs w:val="24"/>
      <w:lang w:val="lv-LV"/>
    </w:rPr>
  </w:style>
  <w:style w:type="paragraph" w:styleId="NoSpacing">
    <w:name w:val="No Spacing"/>
    <w:uiPriority w:val="1"/>
    <w:qFormat/>
    <w:rsid w:val="00EF2741"/>
    <w:pPr>
      <w:spacing w:after="0" w:line="240" w:lineRule="auto"/>
      <w:ind w:firstLine="720"/>
      <w:contextualSpacing/>
      <w:jc w:val="both"/>
    </w:pPr>
    <w:rPr>
      <w:rFonts w:ascii="Times New Roman" w:eastAsiaTheme="minorEastAsia" w:hAnsi="Times New Roman" w:cs="Arial"/>
      <w:sz w:val="24"/>
      <w:szCs w:val="21"/>
      <w:lang w:val="lv-LV"/>
    </w:rPr>
  </w:style>
  <w:style w:type="paragraph" w:styleId="TOC2">
    <w:name w:val="toc 2"/>
    <w:basedOn w:val="Normal"/>
    <w:next w:val="Normal"/>
    <w:autoRedefine/>
    <w:uiPriority w:val="39"/>
    <w:unhideWhenUsed/>
    <w:rsid w:val="00EF2741"/>
    <w:pPr>
      <w:tabs>
        <w:tab w:val="left" w:pos="1760"/>
        <w:tab w:val="right" w:leader="dot" w:pos="9495"/>
      </w:tabs>
      <w:spacing w:after="120"/>
      <w:ind w:left="238"/>
    </w:pPr>
    <w:rPr>
      <w:rFonts w:eastAsiaTheme="minorEastAsia" w:cs="Arial"/>
      <w:szCs w:val="21"/>
      <w:lang w:val="lv-LV"/>
    </w:rPr>
  </w:style>
  <w:style w:type="paragraph" w:customStyle="1" w:styleId="CharCharCharChar">
    <w:name w:val="Char Char Char Char"/>
    <w:basedOn w:val="Normal"/>
    <w:next w:val="Normal"/>
    <w:link w:val="FootnoteCharacters"/>
    <w:uiPriority w:val="99"/>
    <w:qFormat/>
    <w:rsid w:val="00EF2741"/>
    <w:pPr>
      <w:spacing w:line="240" w:lineRule="exact"/>
    </w:pPr>
    <w:rPr>
      <w:vertAlign w:val="superscript"/>
    </w:rPr>
  </w:style>
  <w:style w:type="table" w:styleId="TableGrid">
    <w:name w:val="Table Grid"/>
    <w:basedOn w:val="TableNormal"/>
    <w:uiPriority w:val="39"/>
    <w:rsid w:val="00EF2741"/>
    <w:pPr>
      <w:spacing w:after="0" w:line="240" w:lineRule="auto"/>
    </w:pPr>
    <w:rPr>
      <w:sz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EF2741"/>
    <w:rPr>
      <w:vertAlign w:val="superscript"/>
    </w:rPr>
  </w:style>
  <w:style w:type="character" w:styleId="FollowedHyperlink">
    <w:name w:val="FollowedHyperlink"/>
    <w:basedOn w:val="DefaultParagraphFont"/>
    <w:uiPriority w:val="99"/>
    <w:semiHidden/>
    <w:unhideWhenUsed/>
    <w:rsid w:val="00421015"/>
    <w:rPr>
      <w:color w:val="954F72" w:themeColor="followedHyperlink"/>
      <w:u w:val="single"/>
    </w:rPr>
  </w:style>
  <w:style w:type="character" w:styleId="CommentReference">
    <w:name w:val="annotation reference"/>
    <w:basedOn w:val="DefaultParagraphFont"/>
    <w:uiPriority w:val="99"/>
    <w:semiHidden/>
    <w:unhideWhenUsed/>
    <w:rsid w:val="00DA40A8"/>
    <w:rPr>
      <w:sz w:val="16"/>
      <w:szCs w:val="16"/>
    </w:rPr>
  </w:style>
  <w:style w:type="paragraph" w:styleId="CommentText">
    <w:name w:val="annotation text"/>
    <w:basedOn w:val="Normal"/>
    <w:link w:val="CommentTextChar"/>
    <w:uiPriority w:val="99"/>
    <w:unhideWhenUsed/>
    <w:rsid w:val="00DA40A8"/>
    <w:pPr>
      <w:spacing w:after="120"/>
      <w:ind w:firstLine="0"/>
    </w:pPr>
    <w:rPr>
      <w:rFonts w:eastAsiaTheme="minorEastAsia"/>
      <w:sz w:val="20"/>
      <w:szCs w:val="20"/>
      <w:lang w:val="lv-LV"/>
    </w:rPr>
  </w:style>
  <w:style w:type="character" w:customStyle="1" w:styleId="CommentTextChar">
    <w:name w:val="Comment Text Char"/>
    <w:basedOn w:val="DefaultParagraphFont"/>
    <w:link w:val="CommentText"/>
    <w:uiPriority w:val="99"/>
    <w:rsid w:val="00DA40A8"/>
    <w:rPr>
      <w:rFonts w:ascii="Times New Roman" w:eastAsiaTheme="minorEastAsia" w:hAnsi="Times New Roman"/>
      <w:sz w:val="20"/>
      <w:szCs w:val="20"/>
      <w:lang w:val="lv-LV"/>
    </w:rPr>
  </w:style>
  <w:style w:type="character" w:styleId="UnresolvedMention">
    <w:name w:val="Unresolved Mention"/>
    <w:basedOn w:val="DefaultParagraphFont"/>
    <w:uiPriority w:val="99"/>
    <w:semiHidden/>
    <w:unhideWhenUsed/>
    <w:rsid w:val="00ED5119"/>
    <w:rPr>
      <w:color w:val="605E5C"/>
      <w:shd w:val="clear" w:color="auto" w:fill="E1DFDD"/>
    </w:rPr>
  </w:style>
  <w:style w:type="character" w:customStyle="1" w:styleId="normaltextrun">
    <w:name w:val="normaltextrun"/>
    <w:basedOn w:val="DefaultParagraphFont"/>
    <w:rsid w:val="00C9639D"/>
  </w:style>
  <w:style w:type="paragraph" w:styleId="CommentSubject">
    <w:name w:val="annotation subject"/>
    <w:basedOn w:val="CommentText"/>
    <w:next w:val="CommentText"/>
    <w:link w:val="CommentSubjectChar"/>
    <w:uiPriority w:val="99"/>
    <w:semiHidden/>
    <w:unhideWhenUsed/>
    <w:rsid w:val="0060377D"/>
    <w:pPr>
      <w:spacing w:after="0"/>
      <w:ind w:firstLine="720"/>
    </w:pPr>
    <w:rPr>
      <w:rFonts w:eastAsiaTheme="minorHAnsi"/>
      <w:b/>
      <w:bCs/>
      <w:lang w:val="en-US"/>
    </w:rPr>
  </w:style>
  <w:style w:type="character" w:customStyle="1" w:styleId="CommentSubjectChar">
    <w:name w:val="Comment Subject Char"/>
    <w:basedOn w:val="CommentTextChar"/>
    <w:link w:val="CommentSubject"/>
    <w:uiPriority w:val="99"/>
    <w:semiHidden/>
    <w:rsid w:val="0060377D"/>
    <w:rPr>
      <w:rFonts w:ascii="Times New Roman" w:eastAsiaTheme="minorEastAsia" w:hAnsi="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avis.melnalksnis@vara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ur-lex.europa.eu/eli/reg/2003/1059/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03/1059/oj/?locale=LV" TargetMode="External"/><Relationship Id="rId14" Type="http://schemas.openxmlformats.org/officeDocument/2006/relationships/hyperlink" Target="https://euc-word-edit.officeapps.live.com/we/wordeditorframe.aspx?ui=en-us&amp;rs=en-us&amp;wopisrc=https%3A%2F%2Fvide.sharepoint.com%2Fsites%2FAdministratviereioni%2F_vti_bin%2Fwopi.ashx%2Ffiles%2F2e3cb271015a45c1a9798cb2bbb1b5c5&amp;wdenableroaming=1&amp;mscc=1&amp;hid=c9125510-7b20-7661-6412-b7392afcc9d0-321&amp;uiembed=1&amp;uih=teams&amp;hhdr=1&amp;dchat=1&amp;sc=%7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NAP2027_apstiprin&#257;ts%20Saeim&#257;_1.pdf" TargetMode="External"/><Relationship Id="rId2" Type="http://schemas.openxmlformats.org/officeDocument/2006/relationships/hyperlink" Target="https://www.europarl.europa.eu/factsheets/lv/sheet/99/kopeja-statistiski-teritorialo-vienibu-klasifikacija-nuts-" TargetMode="External"/><Relationship Id="rId1" Type="http://schemas.openxmlformats.org/officeDocument/2006/relationships/hyperlink" Target="https://www.mk.gov.lv/sites/default/files/editor/kk-valdibas-deklaracija_red-gala.pdf" TargetMode="External"/><Relationship Id="rId5" Type="http://schemas.openxmlformats.org/officeDocument/2006/relationships/hyperlink" Target="https://www.e-tar.lt/portal/en/legalAct/5bb097a0b92011e5a6588fb85a3cc84b" TargetMode="External"/><Relationship Id="rId4" Type="http://schemas.openxmlformats.org/officeDocument/2006/relationships/hyperlink" Target="https://www.pkc.gov.lv/sites/default/files/inline-files/NAP2027_apstiprin&#257;ts%20Saeim&#257;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33C5-4957-417A-9649-58700C83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14515</Words>
  <Characters>8275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Informatīvais ziņojums "Par kopējo statistiski teritoriālo vienību (NUTS) klasifikāciju"</vt:lpstr>
    </vt:vector>
  </TitlesOfParts>
  <Company>Vides aizsardzības un reģionālās attīstības ministrija</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kopējo statistiski teritoriālo vienību (NUTS) klasifikāciju"</dc:title>
  <dc:subject>Informatīvais ziņojums</dc:subject>
  <dc:creator>Dāvis Melnalksnis</dc:creator>
  <cp:keywords/>
  <dc:description>Dāvis Melnalksnis
66016768
Vides aizsardzības un 
reģionālās attīstības ministrijas
Valsts ilgtspējīgas attīstības plānošanas departamenta
Teritoriju attīstības izvērtēšanas nodaļas vecākais eksperts
Davis.Melnalksnis@varam.gov.lv</dc:description>
  <cp:lastModifiedBy>Dāvis Melnalksnis</cp:lastModifiedBy>
  <cp:revision>3</cp:revision>
  <dcterms:created xsi:type="dcterms:W3CDTF">2021-08-13T06:21:00Z</dcterms:created>
  <dcterms:modified xsi:type="dcterms:W3CDTF">2021-08-13T06:51:00Z</dcterms:modified>
  <cp:category>Reģionālā politika</cp:category>
</cp:coreProperties>
</file>