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B61E" w14:textId="77777777" w:rsidR="00EB5F2C" w:rsidRDefault="007116C7" w:rsidP="00EB5F2C">
      <w:pPr>
        <w:pStyle w:val="naisnod"/>
        <w:spacing w:before="0" w:after="0"/>
        <w:ind w:firstLine="720"/>
        <w:rPr>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p>
    <w:p w14:paraId="43436CD9" w14:textId="77777777" w:rsidR="00EB5F2C" w:rsidRDefault="00153FB5" w:rsidP="00EB5F2C">
      <w:pPr>
        <w:pStyle w:val="naisnod"/>
        <w:spacing w:before="0" w:after="0"/>
        <w:ind w:firstLine="720"/>
        <w:rPr>
          <w:color w:val="000000" w:themeColor="text1"/>
          <w:sz w:val="28"/>
          <w:szCs w:val="28"/>
        </w:rPr>
      </w:pPr>
      <w:r w:rsidRPr="001C57E1">
        <w:rPr>
          <w:color w:val="000000" w:themeColor="text1"/>
          <w:sz w:val="28"/>
          <w:szCs w:val="28"/>
        </w:rPr>
        <w:t xml:space="preserve">par </w:t>
      </w:r>
      <w:r w:rsidR="00487BA0" w:rsidRPr="001C57E1">
        <w:rPr>
          <w:color w:val="000000" w:themeColor="text1"/>
          <w:sz w:val="28"/>
          <w:szCs w:val="28"/>
        </w:rPr>
        <w:t>Ministru kabineta noteikumu projektu</w:t>
      </w:r>
    </w:p>
    <w:p w14:paraId="0CB39368" w14:textId="0D765753" w:rsidR="00153FB5" w:rsidRPr="006119B2" w:rsidRDefault="00487BA0" w:rsidP="00EB5F2C">
      <w:pPr>
        <w:pStyle w:val="naisnod"/>
        <w:spacing w:before="0" w:after="0"/>
        <w:ind w:firstLine="720"/>
        <w:rPr>
          <w:b w:val="0"/>
          <w:bCs w:val="0"/>
          <w:color w:val="000000" w:themeColor="text1"/>
          <w:sz w:val="28"/>
          <w:szCs w:val="28"/>
        </w:rPr>
      </w:pPr>
      <w:r w:rsidRPr="001C57E1">
        <w:rPr>
          <w:color w:val="000000" w:themeColor="text1"/>
          <w:sz w:val="28"/>
          <w:szCs w:val="28"/>
        </w:rPr>
        <w:t xml:space="preserve"> </w:t>
      </w:r>
      <w:r w:rsidR="00E365E9" w:rsidRPr="00274209">
        <w:rPr>
          <w:sz w:val="28"/>
          <w:szCs w:val="28"/>
        </w:rPr>
        <w:t xml:space="preserve">“Grozījumi Ministru kabineta 2018.gada 28.augusta noteikumos Nr.555 </w:t>
      </w:r>
      <w:r w:rsidR="00E365E9" w:rsidRPr="00AB7934">
        <w:rPr>
          <w:sz w:val="28"/>
          <w:szCs w:val="28"/>
        </w:rPr>
        <w:t>“</w:t>
      </w:r>
      <w:r w:rsidR="00E365E9" w:rsidRPr="00274209">
        <w:rPr>
          <w:sz w:val="28"/>
          <w:szCs w:val="28"/>
        </w:rPr>
        <w:t>Veselības aprūpes pakalpojumu organizēšanas un samaksas kārtība””</w:t>
      </w:r>
    </w:p>
    <w:p w14:paraId="602AB6B3" w14:textId="77777777" w:rsidR="007B4C0F" w:rsidRPr="001C57E1" w:rsidRDefault="007B4C0F" w:rsidP="00DB7395">
      <w:pPr>
        <w:pStyle w:val="naisf"/>
        <w:spacing w:before="0" w:after="0"/>
        <w:ind w:firstLine="720"/>
        <w:rPr>
          <w:color w:val="000000" w:themeColor="text1"/>
        </w:rPr>
      </w:pPr>
    </w:p>
    <w:p w14:paraId="61AFDA86" w14:textId="77777777" w:rsidR="00F14AD5" w:rsidRPr="001C57E1" w:rsidRDefault="00F14AD5" w:rsidP="00DB7395">
      <w:pPr>
        <w:pStyle w:val="naisf"/>
        <w:spacing w:before="0" w:after="0"/>
        <w:ind w:firstLine="720"/>
        <w:rPr>
          <w:color w:val="000000" w:themeColor="text1"/>
        </w:rPr>
      </w:pPr>
    </w:p>
    <w:p w14:paraId="325F3D4B"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0ABF2E55"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159"/>
        <w:gridCol w:w="4111"/>
        <w:gridCol w:w="5387"/>
        <w:gridCol w:w="1559"/>
        <w:gridCol w:w="1518"/>
      </w:tblGrid>
      <w:tr w:rsidR="001C57E1" w:rsidRPr="001C57E1" w14:paraId="53E4226F" w14:textId="77777777" w:rsidTr="001D1B41">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63611C50"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1159" w:type="dxa"/>
            <w:tcBorders>
              <w:top w:val="single" w:sz="6" w:space="0" w:color="000000"/>
              <w:left w:val="single" w:sz="6" w:space="0" w:color="000000"/>
              <w:bottom w:val="single" w:sz="6" w:space="0" w:color="000000"/>
              <w:right w:val="single" w:sz="6" w:space="0" w:color="000000"/>
            </w:tcBorders>
            <w:vAlign w:val="center"/>
          </w:tcPr>
          <w:p w14:paraId="1F881410"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42766BF9"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5387" w:type="dxa"/>
            <w:tcBorders>
              <w:top w:val="single" w:sz="6" w:space="0" w:color="000000"/>
              <w:left w:val="single" w:sz="6" w:space="0" w:color="000000"/>
              <w:bottom w:val="single" w:sz="6" w:space="0" w:color="000000"/>
              <w:right w:val="single" w:sz="6" w:space="0" w:color="000000"/>
            </w:tcBorders>
            <w:vAlign w:val="center"/>
          </w:tcPr>
          <w:p w14:paraId="54191835"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61C2808B"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1518" w:type="dxa"/>
            <w:tcBorders>
              <w:top w:val="single" w:sz="4" w:space="0" w:color="auto"/>
              <w:left w:val="single" w:sz="4" w:space="0" w:color="auto"/>
              <w:bottom w:val="single" w:sz="4" w:space="0" w:color="auto"/>
            </w:tcBorders>
            <w:vAlign w:val="center"/>
          </w:tcPr>
          <w:p w14:paraId="7DCA45C9"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61312765" w14:textId="77777777" w:rsidTr="001D1B41">
        <w:tc>
          <w:tcPr>
            <w:tcW w:w="534" w:type="dxa"/>
            <w:tcBorders>
              <w:top w:val="single" w:sz="6" w:space="0" w:color="000000"/>
              <w:left w:val="single" w:sz="6" w:space="0" w:color="000000"/>
              <w:bottom w:val="single" w:sz="6" w:space="0" w:color="000000"/>
              <w:right w:val="single" w:sz="6" w:space="0" w:color="000000"/>
            </w:tcBorders>
          </w:tcPr>
          <w:p w14:paraId="7209E43F"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1159" w:type="dxa"/>
            <w:tcBorders>
              <w:top w:val="single" w:sz="6" w:space="0" w:color="000000"/>
              <w:left w:val="single" w:sz="6" w:space="0" w:color="000000"/>
              <w:bottom w:val="single" w:sz="6" w:space="0" w:color="000000"/>
              <w:right w:val="single" w:sz="6" w:space="0" w:color="000000"/>
            </w:tcBorders>
          </w:tcPr>
          <w:p w14:paraId="0086429F"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9B67972"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5387" w:type="dxa"/>
            <w:tcBorders>
              <w:top w:val="single" w:sz="6" w:space="0" w:color="000000"/>
              <w:left w:val="single" w:sz="6" w:space="0" w:color="000000"/>
              <w:bottom w:val="single" w:sz="6" w:space="0" w:color="000000"/>
              <w:right w:val="single" w:sz="6" w:space="0" w:color="000000"/>
            </w:tcBorders>
          </w:tcPr>
          <w:p w14:paraId="285DE049"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472159B"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1518" w:type="dxa"/>
            <w:tcBorders>
              <w:top w:val="single" w:sz="4" w:space="0" w:color="auto"/>
              <w:left w:val="single" w:sz="4" w:space="0" w:color="auto"/>
              <w:bottom w:val="single" w:sz="4" w:space="0" w:color="auto"/>
            </w:tcBorders>
          </w:tcPr>
          <w:p w14:paraId="17B3A0EB"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bl>
    <w:p w14:paraId="4FC91F7F" w14:textId="77777777" w:rsidR="00F14AD5" w:rsidRPr="001C57E1" w:rsidRDefault="00F14AD5" w:rsidP="00F14AD5">
      <w:pPr>
        <w:pStyle w:val="naisf"/>
        <w:spacing w:before="0" w:after="0"/>
        <w:ind w:firstLine="0"/>
        <w:rPr>
          <w:color w:val="000000" w:themeColor="text1"/>
        </w:rPr>
      </w:pPr>
    </w:p>
    <w:p w14:paraId="71CA2ABE"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73D6B288"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542725F9" w14:textId="77777777" w:rsidTr="00DD7D21">
        <w:trPr>
          <w:gridAfter w:val="1"/>
          <w:wAfter w:w="993" w:type="dxa"/>
        </w:trPr>
        <w:tc>
          <w:tcPr>
            <w:tcW w:w="6345" w:type="dxa"/>
          </w:tcPr>
          <w:p w14:paraId="0E8C00D2"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2C08440B" w14:textId="21653A7F" w:rsidR="00F14AD5" w:rsidRPr="001C57E1" w:rsidRDefault="00AB7934" w:rsidP="00D937F1">
            <w:pPr>
              <w:pStyle w:val="NormalWeb"/>
              <w:spacing w:before="0" w:beforeAutospacing="0" w:after="0" w:afterAutospacing="0"/>
              <w:ind w:firstLine="720"/>
              <w:rPr>
                <w:color w:val="000000" w:themeColor="text1"/>
              </w:rPr>
            </w:pPr>
            <w:r>
              <w:rPr>
                <w:color w:val="000000" w:themeColor="text1"/>
              </w:rPr>
              <w:t>2021.gada 22.jūlijs</w:t>
            </w:r>
          </w:p>
        </w:tc>
      </w:tr>
      <w:tr w:rsidR="001C57E1" w:rsidRPr="001C57E1" w14:paraId="7AAC7944" w14:textId="77777777" w:rsidTr="00DD7D21">
        <w:trPr>
          <w:gridAfter w:val="1"/>
          <w:wAfter w:w="993" w:type="dxa"/>
        </w:trPr>
        <w:tc>
          <w:tcPr>
            <w:tcW w:w="6345" w:type="dxa"/>
          </w:tcPr>
          <w:p w14:paraId="7CE8A256"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03A8B821"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41F9DB50" w14:textId="77777777" w:rsidTr="00DD7D21">
        <w:tc>
          <w:tcPr>
            <w:tcW w:w="6345" w:type="dxa"/>
          </w:tcPr>
          <w:p w14:paraId="45B51725"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4F45C094" w14:textId="682CE89B" w:rsidR="00F14AD5" w:rsidRPr="001C57E1" w:rsidRDefault="00AB7934" w:rsidP="00D937F1">
            <w:pPr>
              <w:pStyle w:val="NormalWeb"/>
              <w:spacing w:before="0" w:beforeAutospacing="0" w:after="0" w:afterAutospacing="0"/>
              <w:ind w:firstLine="720"/>
              <w:rPr>
                <w:color w:val="000000" w:themeColor="text1"/>
              </w:rPr>
            </w:pPr>
            <w:r>
              <w:rPr>
                <w:color w:val="000000" w:themeColor="text1"/>
              </w:rPr>
              <w:t>Veselības ministrija un Finanšu ministrija</w:t>
            </w:r>
          </w:p>
        </w:tc>
      </w:tr>
      <w:tr w:rsidR="001C57E1" w:rsidRPr="001C57E1" w14:paraId="70269EF4" w14:textId="77777777" w:rsidTr="00DD7D21">
        <w:tc>
          <w:tcPr>
            <w:tcW w:w="6345" w:type="dxa"/>
          </w:tcPr>
          <w:p w14:paraId="295F54F8"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494B7DD1" w14:textId="77777777" w:rsidR="00F14AD5" w:rsidRPr="001C57E1" w:rsidRDefault="00F14AD5" w:rsidP="00D937F1">
            <w:pPr>
              <w:pStyle w:val="naiskr"/>
              <w:spacing w:before="0" w:after="0"/>
              <w:ind w:firstLine="720"/>
              <w:rPr>
                <w:color w:val="000000" w:themeColor="text1"/>
              </w:rPr>
            </w:pPr>
          </w:p>
        </w:tc>
      </w:tr>
      <w:tr w:rsidR="001C57E1" w:rsidRPr="001C57E1" w14:paraId="39439EBF" w14:textId="77777777" w:rsidTr="00DD7D21">
        <w:trPr>
          <w:trHeight w:val="285"/>
        </w:trPr>
        <w:tc>
          <w:tcPr>
            <w:tcW w:w="8046" w:type="dxa"/>
            <w:gridSpan w:val="4"/>
          </w:tcPr>
          <w:p w14:paraId="14ACE34A"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4798500B" w14:textId="785BCD2C" w:rsidR="008B38C9" w:rsidRPr="001C57E1" w:rsidRDefault="00AB7934" w:rsidP="00102ADA">
            <w:pPr>
              <w:pStyle w:val="naiskr"/>
              <w:spacing w:before="0" w:after="0"/>
              <w:ind w:firstLine="12"/>
              <w:jc w:val="center"/>
              <w:rPr>
                <w:color w:val="000000" w:themeColor="text1"/>
              </w:rPr>
            </w:pPr>
            <w:r>
              <w:rPr>
                <w:color w:val="000000" w:themeColor="text1"/>
              </w:rPr>
              <w:t>Finanšu ministrijas iebildums</w:t>
            </w:r>
          </w:p>
        </w:tc>
      </w:tr>
      <w:tr w:rsidR="001C57E1" w:rsidRPr="001C57E1" w14:paraId="62929321" w14:textId="77777777" w:rsidTr="00DD7D21">
        <w:trPr>
          <w:trHeight w:val="465"/>
        </w:trPr>
        <w:tc>
          <w:tcPr>
            <w:tcW w:w="6708" w:type="dxa"/>
            <w:gridSpan w:val="2"/>
          </w:tcPr>
          <w:p w14:paraId="722DDCAD"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6477CA23"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179952E2" w14:textId="77777777" w:rsidTr="00DD7D21">
        <w:tc>
          <w:tcPr>
            <w:tcW w:w="7196" w:type="dxa"/>
            <w:gridSpan w:val="3"/>
          </w:tcPr>
          <w:p w14:paraId="2C2340D7"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F7B4880" w14:textId="77777777" w:rsidR="00F14AD5" w:rsidRPr="001C57E1" w:rsidRDefault="00F14AD5" w:rsidP="00DD7D21">
            <w:pPr>
              <w:pStyle w:val="naiskr"/>
              <w:spacing w:before="0" w:after="0"/>
              <w:ind w:firstLine="720"/>
              <w:jc w:val="center"/>
              <w:rPr>
                <w:color w:val="000000" w:themeColor="text1"/>
              </w:rPr>
            </w:pPr>
          </w:p>
        </w:tc>
      </w:tr>
    </w:tbl>
    <w:p w14:paraId="700D6FA8" w14:textId="77777777" w:rsidR="00F14AD5" w:rsidRPr="001C57E1" w:rsidRDefault="00F14AD5" w:rsidP="00184479">
      <w:pPr>
        <w:pStyle w:val="naisf"/>
        <w:spacing w:before="0" w:after="0"/>
        <w:ind w:firstLine="0"/>
        <w:jc w:val="center"/>
        <w:rPr>
          <w:b/>
          <w:color w:val="000000" w:themeColor="text1"/>
        </w:rPr>
      </w:pPr>
    </w:p>
    <w:p w14:paraId="4E816BC7" w14:textId="77777777" w:rsidR="002C0E49" w:rsidRDefault="002C0E49" w:rsidP="00184479">
      <w:pPr>
        <w:pStyle w:val="naisf"/>
        <w:spacing w:before="0" w:after="0"/>
        <w:ind w:firstLine="0"/>
        <w:jc w:val="center"/>
        <w:rPr>
          <w:b/>
          <w:color w:val="000000" w:themeColor="text1"/>
        </w:rPr>
      </w:pPr>
    </w:p>
    <w:p w14:paraId="6482E932" w14:textId="77777777" w:rsidR="009709CC" w:rsidRDefault="009709CC" w:rsidP="00184479">
      <w:pPr>
        <w:pStyle w:val="naisf"/>
        <w:spacing w:before="0" w:after="0"/>
        <w:ind w:firstLine="0"/>
        <w:jc w:val="center"/>
        <w:rPr>
          <w:b/>
          <w:color w:val="000000" w:themeColor="text1"/>
        </w:rPr>
      </w:pPr>
    </w:p>
    <w:p w14:paraId="0D39185B" w14:textId="77777777" w:rsidR="009709CC" w:rsidRPr="001C57E1" w:rsidRDefault="009709CC" w:rsidP="00184479">
      <w:pPr>
        <w:pStyle w:val="naisf"/>
        <w:spacing w:before="0" w:after="0"/>
        <w:ind w:firstLine="0"/>
        <w:jc w:val="center"/>
        <w:rPr>
          <w:b/>
          <w:color w:val="000000" w:themeColor="text1"/>
        </w:rPr>
      </w:pPr>
    </w:p>
    <w:p w14:paraId="626811D4"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4D80E9C0"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14:paraId="25275E56" w14:textId="77777777" w:rsidTr="007166A0">
        <w:tc>
          <w:tcPr>
            <w:tcW w:w="708" w:type="dxa"/>
            <w:tcBorders>
              <w:top w:val="single" w:sz="6" w:space="0" w:color="000000"/>
              <w:left w:val="single" w:sz="6" w:space="0" w:color="000000"/>
              <w:bottom w:val="single" w:sz="6" w:space="0" w:color="000000"/>
              <w:right w:val="single" w:sz="6" w:space="0" w:color="000000"/>
            </w:tcBorders>
            <w:vAlign w:val="center"/>
          </w:tcPr>
          <w:p w14:paraId="65944EA1"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05995534"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66664FC7"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7E0F85B7"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3489CA6C"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600FA30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25ADF8F"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233F5462"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14:paraId="4F94E893"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14:paraId="1EAB395A"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29C40564" w14:textId="77777777" w:rsidR="00134188" w:rsidRPr="001C57E1" w:rsidRDefault="003B71E0" w:rsidP="003B71E0">
            <w:pPr>
              <w:jc w:val="center"/>
              <w:rPr>
                <w:color w:val="000000" w:themeColor="text1"/>
              </w:rPr>
            </w:pPr>
            <w:r w:rsidRPr="001C57E1">
              <w:rPr>
                <w:color w:val="000000" w:themeColor="text1"/>
              </w:rPr>
              <w:t>5</w:t>
            </w:r>
          </w:p>
        </w:tc>
      </w:tr>
      <w:tr w:rsidR="00BC2256" w:rsidRPr="001C57E1" w14:paraId="50028CE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AE3E181" w14:textId="4363DA97" w:rsidR="00BC2256" w:rsidRDefault="00AB7934" w:rsidP="00BC2256">
            <w:pPr>
              <w:pStyle w:val="naisc"/>
              <w:spacing w:before="0" w:after="0"/>
              <w:rPr>
                <w:color w:val="000000" w:themeColor="text1"/>
              </w:rPr>
            </w:pPr>
            <w:r>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334EC437" w14:textId="72EB3739" w:rsidR="00BC2256" w:rsidRPr="00896E24" w:rsidRDefault="00AB7934" w:rsidP="00BC2256">
            <w:pPr>
              <w:ind w:firstLine="27"/>
            </w:pPr>
            <w:r>
              <w:t>Skatīt anotāciju</w:t>
            </w:r>
          </w:p>
        </w:tc>
        <w:tc>
          <w:tcPr>
            <w:tcW w:w="6804" w:type="dxa"/>
            <w:gridSpan w:val="3"/>
            <w:tcBorders>
              <w:top w:val="single" w:sz="6" w:space="0" w:color="000000"/>
              <w:left w:val="single" w:sz="6" w:space="0" w:color="000000"/>
              <w:bottom w:val="single" w:sz="6" w:space="0" w:color="000000"/>
              <w:right w:val="single" w:sz="6" w:space="0" w:color="000000"/>
            </w:tcBorders>
          </w:tcPr>
          <w:p w14:paraId="17AB5C63" w14:textId="77777777" w:rsidR="00AB7934" w:rsidRDefault="00AB7934" w:rsidP="00AB7934">
            <w:pPr>
              <w:pStyle w:val="naisc"/>
              <w:spacing w:before="0" w:after="0"/>
              <w:jc w:val="both"/>
              <w:rPr>
                <w:b/>
                <w:bCs/>
                <w:color w:val="000000" w:themeColor="text1"/>
              </w:rPr>
            </w:pPr>
            <w:r>
              <w:rPr>
                <w:b/>
                <w:bCs/>
                <w:color w:val="000000" w:themeColor="text1"/>
              </w:rPr>
              <w:t>Finanšu ministrija</w:t>
            </w:r>
          </w:p>
          <w:p w14:paraId="6FCA4E37" w14:textId="240407F3" w:rsidR="00BC2256" w:rsidRDefault="00AB7934" w:rsidP="00AB7934">
            <w:pPr>
              <w:pStyle w:val="naisc"/>
              <w:spacing w:before="0" w:after="0"/>
              <w:jc w:val="both"/>
              <w:rPr>
                <w:b/>
                <w:bCs/>
                <w:color w:val="000000" w:themeColor="text1"/>
              </w:rPr>
            </w:pPr>
            <w:r w:rsidRPr="004C6E5C">
              <w:t>Atbilstoši noteikumu projekta 3.punktam paredzēts MKN Nr.555 papildināt ar 245.</w:t>
            </w:r>
            <w:r w:rsidRPr="004C6E5C">
              <w:rPr>
                <w:vertAlign w:val="superscript"/>
              </w:rPr>
              <w:t>4 </w:t>
            </w:r>
            <w:r w:rsidRPr="004C6E5C">
              <w:t>punkta 245.</w:t>
            </w:r>
            <w:r w:rsidRPr="004C6E5C">
              <w:rPr>
                <w:vertAlign w:val="superscript"/>
              </w:rPr>
              <w:t>4 </w:t>
            </w:r>
            <w:r w:rsidRPr="004C6E5C">
              <w:t xml:space="preserve">1.apakšpunktu, nosakot, ka 2021.gadā ģimenes ārsta praksei, kas noslēgusi līgumu par Covid-19 vakcināciju, ņemot vērā līgumā ar dienestu noteikto kārtību, ir tiesības saņemt maksājumu par iesaistīšanos Covid-19 vakcinācijā ne vairāk kā 1500,00 </w:t>
            </w:r>
            <w:proofErr w:type="spellStart"/>
            <w:r w:rsidRPr="004C6E5C">
              <w:rPr>
                <w:i/>
                <w:iCs/>
              </w:rPr>
              <w:t>euro</w:t>
            </w:r>
            <w:proofErr w:type="spellEnd"/>
            <w:r w:rsidRPr="004C6E5C">
              <w:t xml:space="preserve"> mēnesī no 2021.gada 1.augusta līdz 2021.gada 31.decembrim, lai segtu izdevumus par pasākumiem, kas saistīti ar papildu resursu piesaisti Covid-19 vakcinācijas nodrošināšanai (papildu personāls, telpas u.c.). Atbilstoši anotācijai minētā pasākuma īstenošanai nepieciešams papildu finansējums 2021.gadā no valsts budžeta programma 02.00.00 “Līdzekļi neparedzētiem gadījumiem” 7 956 000</w:t>
            </w:r>
            <w:r w:rsidRPr="004C6E5C">
              <w:rPr>
                <w:b/>
                <w:bCs/>
              </w:rPr>
              <w:t xml:space="preserve"> </w:t>
            </w:r>
            <w:proofErr w:type="spellStart"/>
            <w:r w:rsidRPr="004C6E5C">
              <w:rPr>
                <w:i/>
                <w:iCs/>
              </w:rPr>
              <w:t>euro</w:t>
            </w:r>
            <w:proofErr w:type="spellEnd"/>
            <w:r w:rsidRPr="004C6E5C">
              <w:t xml:space="preserve"> apmērā, savukārt atbilstoši anotācijas 2.pielikumā “Samaksa par papildus resursu piesaisti Covid-19 vakcinācijas nodrošināšanai ģimenes ārstu praksē” sniegtajam aprēķinam papildu finansējums tiek aprēķināts </w:t>
            </w:r>
            <w:r w:rsidRPr="004C6E5C">
              <w:rPr>
                <w:u w:val="single"/>
              </w:rPr>
              <w:t>telpu nomas, komunālo maksājumu un administratīvo izdevumu izmaksu pieauguma segšanai</w:t>
            </w:r>
            <w:r w:rsidRPr="004C6E5C">
              <w:t xml:space="preserve"> (119 </w:t>
            </w:r>
            <w:proofErr w:type="spellStart"/>
            <w:r w:rsidRPr="004C6E5C">
              <w:rPr>
                <w:i/>
                <w:iCs/>
              </w:rPr>
              <w:t>euro</w:t>
            </w:r>
            <w:proofErr w:type="spellEnd"/>
            <w:r w:rsidRPr="004C6E5C">
              <w:t xml:space="preserve"> mēnesī), tai skaitā ņemot vērā </w:t>
            </w:r>
            <w:r w:rsidRPr="004C6E5C">
              <w:rPr>
                <w:u w:val="single"/>
              </w:rPr>
              <w:t xml:space="preserve">plānoto telpu platības pieaugumu </w:t>
            </w:r>
            <w:r w:rsidRPr="004C6E5C">
              <w:t xml:space="preserve">(no 35 m² uz 50 m²), kā arī </w:t>
            </w:r>
            <w:r w:rsidRPr="004C6E5C">
              <w:rPr>
                <w:u w:val="single"/>
              </w:rPr>
              <w:t>plānojot papildu cilvēkresursu nodrošinājumu mēnesī</w:t>
            </w:r>
            <w:r w:rsidRPr="004C6E5C">
              <w:t xml:space="preserve"> (1 381 </w:t>
            </w:r>
            <w:proofErr w:type="spellStart"/>
            <w:r w:rsidRPr="004C6E5C">
              <w:rPr>
                <w:i/>
                <w:iCs/>
              </w:rPr>
              <w:t>euro</w:t>
            </w:r>
            <w:proofErr w:type="spellEnd"/>
            <w:r w:rsidRPr="004C6E5C">
              <w:t xml:space="preserve"> mēnesī). Uzskatām, ka no anotācijā sniegtās informācijas nav saprotams, kā papildu resursu piesaiste (papildu finansējums, personāls, telpas u.c.) </w:t>
            </w:r>
            <w:r w:rsidRPr="004C6E5C">
              <w:lastRenderedPageBreak/>
              <w:t xml:space="preserve">ģimenes ārsta praksēs stimulēs vakcinācijas pret Covid-19 aptveres palielināšanu, kā arī kā ar š.g. 1.augustu tiks nodrošināts plānotais telpu platības pieaugums, papildu cilvēkresursu piesaiste, turklāt tikai laika periodā līdz š.g. 31.decembrim. Jāatzīmē, ka anotācijā nav sniegta arī informācija par nosacījumiem, atbilstoši kuriem ģimenes ārsti varēs saņemt minēto maksājumu. Vienlaikus vēršam uzmanību, ka jau šobrīd ģimenes ārstiem saistībā ar COVID-19 infekcijas izplatības seku pārvarēšanu ir paredzēts papildu valsts budžeta finansējums, vienlaikus arī šajā noteikumu projektā paredzēts palielināt samaksu ģimenes ārsta praksei par sasniegtajiem Covid-19 vakcinācijas aptveres rādītājiem mērķa grupā, kā arī saņemt izdevumu kompensāciju 440 </w:t>
            </w:r>
            <w:proofErr w:type="spellStart"/>
            <w:r w:rsidRPr="004C6E5C">
              <w:rPr>
                <w:i/>
                <w:iCs/>
              </w:rPr>
              <w:t>euro</w:t>
            </w:r>
            <w:proofErr w:type="spellEnd"/>
            <w:r w:rsidRPr="004C6E5C">
              <w:t xml:space="preserve"> apmērā par ģimenes ārsta praksē nodarbināto personu veselības veicināšanas un rehabilitācijas pasākumiem. Vienlaikus norādām, ka jautājums par papildu valsts budžeta līdzekļu piešķiršanu ģimenes ārstu prakšu uzturēšanas izmaksu pieaugumam, t.i. papildu cilvēkresursu nodrošinājumam, telpu nomai, komunālajiem maksājumiem un citu izmaksu pieaugumam skatāms Ministru kabinetā gadskārtējā valsts budžeta likumprojekta un vidēja termiņa budžeta ietvara likumprojekta sagatavošanas un izskatīšanas procesā atbilstoši valsts budžeta finansiālajām iespējām, VM iesniedzot attiecīgu pieteikumu prioritārajam pasākumam un to īstenošanai nepieciešamo finansējumu. Ņemot vērā minēto, šobrīd neatbalstām minētā pasākuma iekļaušanu noteikumu projektā un uzskatām, ka VM nepieciešams precizēt noteikumu projektu, svītrojot noteikumu projekta 3.punktā paredzēto MKN Nr.555 papildināšanu ar 245.</w:t>
            </w:r>
            <w:r w:rsidRPr="004C6E5C">
              <w:rPr>
                <w:vertAlign w:val="superscript"/>
              </w:rPr>
              <w:t>4 </w:t>
            </w:r>
            <w:r w:rsidRPr="004C6E5C">
              <w:t xml:space="preserve">1.apakšpunktu, un attiecīgi precizēt anotāciju un </w:t>
            </w:r>
            <w:proofErr w:type="spellStart"/>
            <w:r w:rsidRPr="004C6E5C">
              <w:t>protokollēmuma</w:t>
            </w:r>
            <w:proofErr w:type="spellEnd"/>
            <w:r w:rsidRPr="004C6E5C">
              <w:t xml:space="preserve"> projektu.</w:t>
            </w:r>
          </w:p>
        </w:tc>
        <w:tc>
          <w:tcPr>
            <w:tcW w:w="2552" w:type="dxa"/>
            <w:tcBorders>
              <w:top w:val="single" w:sz="6" w:space="0" w:color="000000"/>
              <w:left w:val="single" w:sz="6" w:space="0" w:color="000000"/>
              <w:bottom w:val="single" w:sz="6" w:space="0" w:color="000000"/>
              <w:right w:val="single" w:sz="6" w:space="0" w:color="000000"/>
            </w:tcBorders>
          </w:tcPr>
          <w:p w14:paraId="3F2784D3" w14:textId="62B30350" w:rsidR="00BC2256" w:rsidRPr="007642F8" w:rsidRDefault="00AB7934" w:rsidP="00BC2256">
            <w:pPr>
              <w:pStyle w:val="naisc"/>
              <w:spacing w:before="0" w:after="0"/>
              <w:jc w:val="both"/>
              <w:rPr>
                <w:b/>
                <w:color w:val="000000" w:themeColor="text1"/>
              </w:rPr>
            </w:pPr>
            <w:r>
              <w:rPr>
                <w:b/>
                <w:color w:val="000000" w:themeColor="text1"/>
              </w:rPr>
              <w:lastRenderedPageBreak/>
              <w:t>Ņemts vērā</w:t>
            </w:r>
          </w:p>
        </w:tc>
        <w:tc>
          <w:tcPr>
            <w:tcW w:w="2268" w:type="dxa"/>
            <w:tcBorders>
              <w:top w:val="single" w:sz="4" w:space="0" w:color="auto"/>
              <w:left w:val="single" w:sz="4" w:space="0" w:color="auto"/>
              <w:bottom w:val="single" w:sz="4" w:space="0" w:color="auto"/>
            </w:tcBorders>
          </w:tcPr>
          <w:p w14:paraId="6A1F5B68" w14:textId="7D238879" w:rsidR="00BC2256" w:rsidRPr="00E577A8" w:rsidRDefault="00AB7934" w:rsidP="00A8528A">
            <w:pPr>
              <w:contextualSpacing/>
              <w:jc w:val="both"/>
              <w:outlineLvl w:val="0"/>
            </w:pPr>
            <w:r>
              <w:t>Precizēta anotācija</w:t>
            </w:r>
          </w:p>
        </w:tc>
      </w:tr>
      <w:tr w:rsidR="007F61E1" w:rsidRPr="001C57E1" w14:paraId="4A6D7E0D" w14:textId="77777777"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1DC07F9A" w14:textId="77777777" w:rsidR="007F61E1" w:rsidRPr="001C57E1" w:rsidRDefault="007F61E1" w:rsidP="007F61E1">
            <w:pPr>
              <w:pStyle w:val="naiskr"/>
              <w:spacing w:before="0" w:after="0"/>
              <w:rPr>
                <w:color w:val="000000" w:themeColor="text1"/>
              </w:rPr>
            </w:pPr>
          </w:p>
          <w:p w14:paraId="7CEBEFD0" w14:textId="77777777" w:rsidR="007F61E1" w:rsidRPr="001C57E1" w:rsidRDefault="007F61E1" w:rsidP="007F61E1">
            <w:pPr>
              <w:pStyle w:val="naiskr"/>
              <w:spacing w:before="0" w:after="0"/>
              <w:rPr>
                <w:color w:val="000000" w:themeColor="text1"/>
              </w:rPr>
            </w:pPr>
          </w:p>
          <w:p w14:paraId="025BF999" w14:textId="77777777" w:rsidR="007F61E1" w:rsidRPr="001C57E1" w:rsidRDefault="007F61E1" w:rsidP="007F61E1">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1D831FF3" w14:textId="77777777" w:rsidR="007F61E1" w:rsidRPr="001C57E1" w:rsidRDefault="007F61E1" w:rsidP="007F61E1">
            <w:pPr>
              <w:pStyle w:val="naiskr"/>
              <w:spacing w:before="0" w:after="0"/>
              <w:ind w:firstLine="720"/>
              <w:rPr>
                <w:color w:val="000000" w:themeColor="text1"/>
              </w:rPr>
            </w:pPr>
            <w:r w:rsidRPr="001C57E1">
              <w:rPr>
                <w:color w:val="000000" w:themeColor="text1"/>
              </w:rPr>
              <w:t>  </w:t>
            </w:r>
          </w:p>
        </w:tc>
      </w:tr>
      <w:tr w:rsidR="007F61E1" w:rsidRPr="001C57E1" w14:paraId="0B43D78C" w14:textId="77777777"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6589A238" w14:textId="77777777" w:rsidR="007F61E1" w:rsidRPr="001C57E1" w:rsidRDefault="007F61E1" w:rsidP="007F61E1">
            <w:pPr>
              <w:pStyle w:val="naiskr"/>
              <w:spacing w:before="0" w:after="0"/>
              <w:ind w:firstLine="720"/>
              <w:rPr>
                <w:color w:val="000000" w:themeColor="text1"/>
              </w:rPr>
            </w:pPr>
          </w:p>
          <w:p w14:paraId="6C2134F4" w14:textId="77777777" w:rsidR="007F61E1" w:rsidRPr="001C57E1" w:rsidRDefault="007F61E1" w:rsidP="007F61E1">
            <w:pPr>
              <w:pStyle w:val="naiskr"/>
              <w:spacing w:before="0" w:after="0"/>
              <w:ind w:firstLine="720"/>
              <w:rPr>
                <w:color w:val="000000" w:themeColor="text1"/>
              </w:rPr>
            </w:pPr>
          </w:p>
          <w:p w14:paraId="50F96316" w14:textId="77777777" w:rsidR="007F61E1" w:rsidRPr="001C57E1" w:rsidRDefault="007F61E1" w:rsidP="007F61E1">
            <w:pPr>
              <w:pStyle w:val="naiskr"/>
              <w:spacing w:before="0" w:after="0"/>
              <w:rPr>
                <w:color w:val="000000" w:themeColor="text1"/>
              </w:rPr>
            </w:pPr>
          </w:p>
          <w:p w14:paraId="0A5B12F2" w14:textId="77777777" w:rsidR="007F61E1" w:rsidRPr="001C57E1" w:rsidRDefault="007F61E1" w:rsidP="007F61E1">
            <w:pPr>
              <w:pStyle w:val="naiskr"/>
              <w:spacing w:before="0" w:after="0"/>
              <w:ind w:firstLine="720"/>
              <w:rPr>
                <w:color w:val="000000" w:themeColor="text1"/>
              </w:rPr>
            </w:pPr>
          </w:p>
        </w:tc>
        <w:tc>
          <w:tcPr>
            <w:tcW w:w="9333" w:type="dxa"/>
            <w:gridSpan w:val="3"/>
          </w:tcPr>
          <w:p w14:paraId="62F27A1F" w14:textId="77777777" w:rsidR="007F61E1" w:rsidRPr="001C57E1" w:rsidRDefault="007F61E1" w:rsidP="007F61E1">
            <w:pPr>
              <w:pStyle w:val="naisc"/>
              <w:spacing w:before="0" w:after="0"/>
              <w:ind w:firstLine="720"/>
              <w:rPr>
                <w:color w:val="000000" w:themeColor="text1"/>
              </w:rPr>
            </w:pPr>
            <w:r w:rsidRPr="001C57E1">
              <w:rPr>
                <w:color w:val="000000" w:themeColor="text1"/>
              </w:rPr>
              <w:lastRenderedPageBreak/>
              <w:t xml:space="preserve">                                                              (paraksts)</w:t>
            </w:r>
            <w:r>
              <w:rPr>
                <w:color w:val="000000" w:themeColor="text1"/>
              </w:rPr>
              <w:t>*</w:t>
            </w:r>
          </w:p>
        </w:tc>
      </w:tr>
    </w:tbl>
    <w:p w14:paraId="44B0D8FF"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4F817EE2" w14:textId="77777777" w:rsidR="00F64FD2" w:rsidRDefault="00F64FD2" w:rsidP="002E2EFC">
      <w:pPr>
        <w:rPr>
          <w:color w:val="000000" w:themeColor="text1"/>
        </w:rPr>
      </w:pPr>
    </w:p>
    <w:p w14:paraId="35ED928C" w14:textId="77777777" w:rsidR="000D02D0" w:rsidRDefault="000D02D0" w:rsidP="002E2EFC">
      <w:pPr>
        <w:rPr>
          <w:color w:val="000000" w:themeColor="text1"/>
        </w:rPr>
      </w:pPr>
    </w:p>
    <w:p w14:paraId="761BD4A8" w14:textId="77777777" w:rsidR="000D02D0" w:rsidRDefault="000D02D0" w:rsidP="002E2EFC">
      <w:pPr>
        <w:rPr>
          <w:color w:val="000000" w:themeColor="text1"/>
        </w:rPr>
      </w:pPr>
    </w:p>
    <w:p w14:paraId="24BA1C08" w14:textId="1000B0C5" w:rsidR="000D02D0" w:rsidRDefault="000D02D0" w:rsidP="002E2EFC">
      <w:pPr>
        <w:rPr>
          <w:color w:val="000000" w:themeColor="text1"/>
        </w:rPr>
      </w:pPr>
    </w:p>
    <w:p w14:paraId="058A3017" w14:textId="21639083" w:rsidR="00E365E9" w:rsidRDefault="00E365E9" w:rsidP="002E2EFC">
      <w:pPr>
        <w:rPr>
          <w:color w:val="000000" w:themeColor="text1"/>
        </w:rPr>
      </w:pPr>
    </w:p>
    <w:p w14:paraId="03ABC73D" w14:textId="77777777" w:rsidR="00E365E9" w:rsidRDefault="00E365E9" w:rsidP="002E2EFC">
      <w:pPr>
        <w:rPr>
          <w:color w:val="000000" w:themeColor="text1"/>
        </w:rPr>
      </w:pPr>
    </w:p>
    <w:p w14:paraId="435E6864" w14:textId="182062D4" w:rsidR="00E34B0D" w:rsidRPr="001C57E1" w:rsidRDefault="00E34B0D" w:rsidP="00E34B0D">
      <w:pPr>
        <w:tabs>
          <w:tab w:val="left" w:pos="1560"/>
        </w:tabs>
        <w:rPr>
          <w:color w:val="000000" w:themeColor="text1"/>
        </w:rPr>
      </w:pPr>
    </w:p>
    <w:p w14:paraId="0D30A555" w14:textId="470993BF" w:rsidR="00291DEF" w:rsidRPr="00291DEF" w:rsidRDefault="00AB7934" w:rsidP="00291DEF">
      <w:pPr>
        <w:pStyle w:val="naisf"/>
        <w:rPr>
          <w:color w:val="000000" w:themeColor="text1"/>
        </w:rPr>
      </w:pPr>
      <w:r>
        <w:rPr>
          <w:color w:val="000000" w:themeColor="text1"/>
        </w:rPr>
        <w:t>Ineta Būmane</w:t>
      </w:r>
    </w:p>
    <w:p w14:paraId="1E4374D4" w14:textId="77777777" w:rsidR="00291DEF" w:rsidRPr="00291DEF" w:rsidRDefault="00291DEF" w:rsidP="00291DEF">
      <w:pPr>
        <w:pStyle w:val="naisf"/>
        <w:rPr>
          <w:color w:val="000000" w:themeColor="text1"/>
        </w:rPr>
      </w:pPr>
      <w:r w:rsidRPr="00291DEF">
        <w:rPr>
          <w:color w:val="000000" w:themeColor="text1"/>
        </w:rPr>
        <w:t xml:space="preserve">Veselības ministrijas </w:t>
      </w:r>
    </w:p>
    <w:p w14:paraId="1CE5B420" w14:textId="77777777" w:rsidR="00291DEF" w:rsidRPr="00291DEF" w:rsidRDefault="00291DEF" w:rsidP="00291DEF">
      <w:pPr>
        <w:pStyle w:val="naisf"/>
        <w:rPr>
          <w:color w:val="000000" w:themeColor="text1"/>
        </w:rPr>
      </w:pPr>
      <w:r w:rsidRPr="00291DEF">
        <w:rPr>
          <w:color w:val="000000" w:themeColor="text1"/>
        </w:rPr>
        <w:t>Veselības aprūpes departamenta</w:t>
      </w:r>
    </w:p>
    <w:p w14:paraId="333BEAAB" w14:textId="761DA5E0" w:rsidR="00291DEF" w:rsidRPr="00291DEF" w:rsidRDefault="00291DEF" w:rsidP="00291DEF">
      <w:pPr>
        <w:pStyle w:val="naisf"/>
        <w:rPr>
          <w:color w:val="000000" w:themeColor="text1"/>
        </w:rPr>
      </w:pPr>
      <w:proofErr w:type="spellStart"/>
      <w:r w:rsidRPr="00291DEF">
        <w:rPr>
          <w:color w:val="000000" w:themeColor="text1"/>
        </w:rPr>
        <w:t>Veselīb</w:t>
      </w:r>
      <w:proofErr w:type="spellEnd"/>
      <w:r w:rsidRPr="00291DEF">
        <w:rPr>
          <w:color w:val="000000" w:themeColor="text1"/>
          <w:lang w:val="es-ES"/>
        </w:rPr>
        <w:t xml:space="preserve">as </w:t>
      </w:r>
      <w:proofErr w:type="spellStart"/>
      <w:r w:rsidRPr="00291DEF">
        <w:rPr>
          <w:color w:val="000000" w:themeColor="text1"/>
          <w:lang w:val="es-ES"/>
        </w:rPr>
        <w:t>aprūpes</w:t>
      </w:r>
      <w:proofErr w:type="spellEnd"/>
      <w:r w:rsidRPr="00291DEF">
        <w:rPr>
          <w:color w:val="000000" w:themeColor="text1"/>
          <w:lang w:val="es-ES"/>
        </w:rPr>
        <w:t xml:space="preserve"> </w:t>
      </w:r>
      <w:proofErr w:type="spellStart"/>
      <w:r w:rsidRPr="00291DEF">
        <w:rPr>
          <w:color w:val="000000" w:themeColor="text1"/>
          <w:lang w:val="es-ES"/>
        </w:rPr>
        <w:t>organizācijas</w:t>
      </w:r>
      <w:proofErr w:type="spellEnd"/>
      <w:r w:rsidRPr="00291DEF">
        <w:rPr>
          <w:color w:val="000000" w:themeColor="text1"/>
          <w:lang w:val="es-ES"/>
        </w:rPr>
        <w:t xml:space="preserve"> </w:t>
      </w:r>
      <w:r w:rsidRPr="00291DEF">
        <w:rPr>
          <w:color w:val="000000" w:themeColor="text1"/>
        </w:rPr>
        <w:t xml:space="preserve">nodaļas </w:t>
      </w:r>
      <w:r w:rsidR="00AB7934">
        <w:rPr>
          <w:color w:val="000000" w:themeColor="text1"/>
        </w:rPr>
        <w:t>vadītāja</w:t>
      </w:r>
    </w:p>
    <w:p w14:paraId="1CA6810F" w14:textId="38265147" w:rsidR="00291DEF" w:rsidRPr="00291DEF" w:rsidRDefault="00291DEF" w:rsidP="00291DEF">
      <w:pPr>
        <w:pStyle w:val="naisf"/>
        <w:rPr>
          <w:color w:val="000000" w:themeColor="text1"/>
        </w:rPr>
      </w:pPr>
      <w:r w:rsidRPr="00291DEF">
        <w:rPr>
          <w:color w:val="000000" w:themeColor="text1"/>
        </w:rPr>
        <w:t>tālr. 678760</w:t>
      </w:r>
      <w:r w:rsidR="00AB7934">
        <w:rPr>
          <w:color w:val="000000" w:themeColor="text1"/>
        </w:rPr>
        <w:t>50</w:t>
      </w:r>
      <w:r w:rsidRPr="00291DEF">
        <w:rPr>
          <w:color w:val="000000" w:themeColor="text1"/>
        </w:rPr>
        <w:t>, fakss 67876002</w:t>
      </w:r>
    </w:p>
    <w:p w14:paraId="3AB1D53F" w14:textId="4B3391DE" w:rsidR="00291DEF" w:rsidRPr="00291DEF" w:rsidRDefault="00AB7934" w:rsidP="00291DEF">
      <w:pPr>
        <w:pStyle w:val="naisf"/>
        <w:rPr>
          <w:color w:val="000000" w:themeColor="text1"/>
        </w:rPr>
      </w:pPr>
      <w:r>
        <w:rPr>
          <w:color w:val="000000" w:themeColor="text1"/>
        </w:rPr>
        <w:t>ineta.bumane</w:t>
      </w:r>
      <w:r w:rsidR="00291DEF" w:rsidRPr="00291DEF">
        <w:rPr>
          <w:color w:val="000000" w:themeColor="text1"/>
        </w:rPr>
        <w:t>@vm.gov.lv</w:t>
      </w:r>
    </w:p>
    <w:p w14:paraId="6CDCF46E" w14:textId="45ABF1B7" w:rsidR="002E2EFC" w:rsidRPr="001C57E1" w:rsidRDefault="002E2EFC" w:rsidP="00DE7FCE">
      <w:pPr>
        <w:pStyle w:val="naisf"/>
        <w:spacing w:before="0" w:after="0"/>
        <w:ind w:firstLine="0"/>
        <w:rPr>
          <w:color w:val="000000" w:themeColor="text1"/>
        </w:rPr>
      </w:pPr>
    </w:p>
    <w:sectPr w:rsidR="002E2EFC" w:rsidRPr="001C57E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0DB6" w14:textId="77777777" w:rsidR="00543FFD" w:rsidRDefault="00543FFD">
      <w:r>
        <w:separator/>
      </w:r>
    </w:p>
  </w:endnote>
  <w:endnote w:type="continuationSeparator" w:id="0">
    <w:p w14:paraId="253D04DF" w14:textId="77777777" w:rsidR="00543FFD" w:rsidRDefault="005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07D" w14:textId="32512200" w:rsidR="006119B2" w:rsidRPr="000D02D0" w:rsidRDefault="000D02D0" w:rsidP="000D02D0">
    <w:pPr>
      <w:jc w:val="both"/>
      <w:rPr>
        <w:sz w:val="20"/>
        <w:szCs w:val="20"/>
      </w:rPr>
    </w:pPr>
    <w:r w:rsidRPr="000D02D0">
      <w:rPr>
        <w:sz w:val="20"/>
        <w:szCs w:val="20"/>
      </w:rPr>
      <w:t>VMizz_</w:t>
    </w:r>
    <w:r w:rsidR="00AB7934">
      <w:rPr>
        <w:sz w:val="20"/>
        <w:szCs w:val="20"/>
      </w:rPr>
      <w:t>27</w:t>
    </w:r>
    <w:r w:rsidR="001C5CCA">
      <w:rPr>
        <w:sz w:val="20"/>
        <w:szCs w:val="20"/>
      </w:rPr>
      <w:t>0721</w:t>
    </w:r>
    <w:r w:rsidRPr="000D02D0">
      <w:rPr>
        <w:sz w:val="20"/>
        <w:szCs w:val="20"/>
      </w:rPr>
      <w:t>_</w:t>
    </w:r>
    <w:r w:rsidR="00D2704E">
      <w:rPr>
        <w:sz w:val="20"/>
        <w:szCs w:val="20"/>
      </w:rPr>
      <w:t>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470" w14:textId="476A895E" w:rsidR="006119B2" w:rsidRPr="000D02D0" w:rsidRDefault="006119B2" w:rsidP="00BE5FCA">
    <w:pPr>
      <w:jc w:val="both"/>
      <w:rPr>
        <w:sz w:val="20"/>
        <w:szCs w:val="20"/>
      </w:rPr>
    </w:pPr>
    <w:r w:rsidRPr="000D02D0">
      <w:rPr>
        <w:sz w:val="20"/>
        <w:szCs w:val="20"/>
      </w:rPr>
      <w:t>VMizz_</w:t>
    </w:r>
    <w:r w:rsidR="00AB7934">
      <w:rPr>
        <w:sz w:val="20"/>
        <w:szCs w:val="20"/>
      </w:rPr>
      <w:t>27</w:t>
    </w:r>
    <w:r w:rsidR="001C5CCA">
      <w:rPr>
        <w:sz w:val="20"/>
        <w:szCs w:val="20"/>
      </w:rPr>
      <w:t>0721</w:t>
    </w:r>
    <w:r w:rsidRPr="000D02D0">
      <w:rPr>
        <w:sz w:val="20"/>
        <w:szCs w:val="20"/>
      </w:rPr>
      <w:t>_</w:t>
    </w:r>
    <w:r w:rsidR="00D2704E">
      <w:rPr>
        <w:sz w:val="20"/>
        <w:szCs w:val="20"/>
      </w:rPr>
      <w:t>not555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1A02" w14:textId="77777777" w:rsidR="00543FFD" w:rsidRDefault="00543FFD">
      <w:r>
        <w:separator/>
      </w:r>
    </w:p>
  </w:footnote>
  <w:footnote w:type="continuationSeparator" w:id="0">
    <w:p w14:paraId="79F4A208" w14:textId="77777777" w:rsidR="00543FFD" w:rsidRDefault="0054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7D16"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98F5B"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858"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noProof/>
      </w:rPr>
      <w:t>6</w:t>
    </w:r>
    <w:r>
      <w:rPr>
        <w:rStyle w:val="PageNumber"/>
      </w:rPr>
      <w:fldChar w:fldCharType="end"/>
    </w:r>
  </w:p>
  <w:p w14:paraId="73489F2D"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9F4B91"/>
    <w:multiLevelType w:val="multilevel"/>
    <w:tmpl w:val="854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8"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9"/>
  </w:num>
  <w:num w:numId="4">
    <w:abstractNumId w:val="24"/>
  </w:num>
  <w:num w:numId="5">
    <w:abstractNumId w:val="23"/>
  </w:num>
  <w:num w:numId="6">
    <w:abstractNumId w:val="35"/>
  </w:num>
  <w:num w:numId="7">
    <w:abstractNumId w:val="7"/>
  </w:num>
  <w:num w:numId="8">
    <w:abstractNumId w:val="22"/>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2"/>
  </w:num>
  <w:num w:numId="19">
    <w:abstractNumId w:val="3"/>
  </w:num>
  <w:num w:numId="20">
    <w:abstractNumId w:val="14"/>
  </w:num>
  <w:num w:numId="21">
    <w:abstractNumId w:val="15"/>
  </w:num>
  <w:num w:numId="22">
    <w:abstractNumId w:val="26"/>
  </w:num>
  <w:num w:numId="23">
    <w:abstractNumId w:val="9"/>
  </w:num>
  <w:num w:numId="24">
    <w:abstractNumId w:val="31"/>
  </w:num>
  <w:num w:numId="25">
    <w:abstractNumId w:val="39"/>
  </w:num>
  <w:num w:numId="26">
    <w:abstractNumId w:val="33"/>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8"/>
  </w:num>
  <w:num w:numId="36">
    <w:abstractNumId w:val="4"/>
  </w:num>
  <w:num w:numId="37">
    <w:abstractNumId w:val="18"/>
  </w:num>
  <w:num w:numId="38">
    <w:abstractNumId w:val="34"/>
  </w:num>
  <w:num w:numId="39">
    <w:abstractNumId w:val="20"/>
  </w:num>
  <w:num w:numId="40">
    <w:abstractNumId w:val="11"/>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1E0C"/>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1625"/>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5E5"/>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30C"/>
    <w:rsid w:val="000A1A02"/>
    <w:rsid w:val="000A4003"/>
    <w:rsid w:val="000A4035"/>
    <w:rsid w:val="000A483A"/>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5BA1"/>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E7AF3"/>
    <w:rsid w:val="000F054F"/>
    <w:rsid w:val="000F079D"/>
    <w:rsid w:val="000F0912"/>
    <w:rsid w:val="000F0D9D"/>
    <w:rsid w:val="000F18CC"/>
    <w:rsid w:val="000F1D56"/>
    <w:rsid w:val="000F2534"/>
    <w:rsid w:val="000F28D9"/>
    <w:rsid w:val="000F2D43"/>
    <w:rsid w:val="000F2F9A"/>
    <w:rsid w:val="000F3599"/>
    <w:rsid w:val="000F3AA0"/>
    <w:rsid w:val="000F4AEB"/>
    <w:rsid w:val="000F4B40"/>
    <w:rsid w:val="000F4C3B"/>
    <w:rsid w:val="000F4E7B"/>
    <w:rsid w:val="000F56A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A8"/>
    <w:rsid w:val="00193A6E"/>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CCA"/>
    <w:rsid w:val="001C5EA2"/>
    <w:rsid w:val="001C6608"/>
    <w:rsid w:val="001C6AA9"/>
    <w:rsid w:val="001C6C7D"/>
    <w:rsid w:val="001D0470"/>
    <w:rsid w:val="001D0FF6"/>
    <w:rsid w:val="001D1B41"/>
    <w:rsid w:val="001D1CB1"/>
    <w:rsid w:val="001D20E2"/>
    <w:rsid w:val="001D2AC0"/>
    <w:rsid w:val="001D2DBA"/>
    <w:rsid w:val="001D2FD0"/>
    <w:rsid w:val="001D3830"/>
    <w:rsid w:val="001D3BA6"/>
    <w:rsid w:val="001D4FC0"/>
    <w:rsid w:val="001D5564"/>
    <w:rsid w:val="001D5FD7"/>
    <w:rsid w:val="001D5FF8"/>
    <w:rsid w:val="001D6863"/>
    <w:rsid w:val="001D68AF"/>
    <w:rsid w:val="001D6FAA"/>
    <w:rsid w:val="001D70FA"/>
    <w:rsid w:val="001D726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0DC7"/>
    <w:rsid w:val="002415BC"/>
    <w:rsid w:val="00241937"/>
    <w:rsid w:val="00241D9D"/>
    <w:rsid w:val="002434B2"/>
    <w:rsid w:val="002442F4"/>
    <w:rsid w:val="002445EA"/>
    <w:rsid w:val="00244ECE"/>
    <w:rsid w:val="00244FC5"/>
    <w:rsid w:val="00245D1D"/>
    <w:rsid w:val="00250EDA"/>
    <w:rsid w:val="002513E8"/>
    <w:rsid w:val="002514D3"/>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1DEF"/>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968"/>
    <w:rsid w:val="002C7D21"/>
    <w:rsid w:val="002D1564"/>
    <w:rsid w:val="002D1CA4"/>
    <w:rsid w:val="002D1E5A"/>
    <w:rsid w:val="002D1F1D"/>
    <w:rsid w:val="002D2C09"/>
    <w:rsid w:val="002D2C45"/>
    <w:rsid w:val="002D2C92"/>
    <w:rsid w:val="002D38A4"/>
    <w:rsid w:val="002D3A58"/>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7C6"/>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3A1"/>
    <w:rsid w:val="002F4EA1"/>
    <w:rsid w:val="002F52DE"/>
    <w:rsid w:val="002F55C1"/>
    <w:rsid w:val="002F6227"/>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425D"/>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7EA"/>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326B"/>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5E09"/>
    <w:rsid w:val="004373E1"/>
    <w:rsid w:val="004374A3"/>
    <w:rsid w:val="0043789D"/>
    <w:rsid w:val="00437A7E"/>
    <w:rsid w:val="00437B6C"/>
    <w:rsid w:val="00440144"/>
    <w:rsid w:val="0044064E"/>
    <w:rsid w:val="00440805"/>
    <w:rsid w:val="004412E1"/>
    <w:rsid w:val="00441554"/>
    <w:rsid w:val="00441E87"/>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397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B51"/>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2D70"/>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6E5C"/>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180D"/>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7DB"/>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CBD"/>
    <w:rsid w:val="00540E47"/>
    <w:rsid w:val="00541D22"/>
    <w:rsid w:val="00542DEF"/>
    <w:rsid w:val="00543283"/>
    <w:rsid w:val="0054364C"/>
    <w:rsid w:val="00543FFD"/>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5B"/>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77C"/>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48"/>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0B5"/>
    <w:rsid w:val="006873F0"/>
    <w:rsid w:val="00687C0D"/>
    <w:rsid w:val="00691237"/>
    <w:rsid w:val="0069134E"/>
    <w:rsid w:val="0069167F"/>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CB6"/>
    <w:rsid w:val="006B7DF0"/>
    <w:rsid w:val="006B7E74"/>
    <w:rsid w:val="006C03EC"/>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07F"/>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30E"/>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3646"/>
    <w:rsid w:val="007445E2"/>
    <w:rsid w:val="00744986"/>
    <w:rsid w:val="00745496"/>
    <w:rsid w:val="007460DA"/>
    <w:rsid w:val="00746213"/>
    <w:rsid w:val="0074705B"/>
    <w:rsid w:val="007470EC"/>
    <w:rsid w:val="0074712F"/>
    <w:rsid w:val="0075020B"/>
    <w:rsid w:val="00751017"/>
    <w:rsid w:val="0075112A"/>
    <w:rsid w:val="007512C0"/>
    <w:rsid w:val="007514A4"/>
    <w:rsid w:val="00751960"/>
    <w:rsid w:val="007535C7"/>
    <w:rsid w:val="00753ADE"/>
    <w:rsid w:val="00753FF8"/>
    <w:rsid w:val="00754B1B"/>
    <w:rsid w:val="00754C7F"/>
    <w:rsid w:val="00755827"/>
    <w:rsid w:val="00755EDB"/>
    <w:rsid w:val="00756551"/>
    <w:rsid w:val="0075723B"/>
    <w:rsid w:val="00757769"/>
    <w:rsid w:val="00757EA5"/>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34BF"/>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18B3"/>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3F5"/>
    <w:rsid w:val="007E3B9C"/>
    <w:rsid w:val="007E4A2F"/>
    <w:rsid w:val="007E4D35"/>
    <w:rsid w:val="007E5BBC"/>
    <w:rsid w:val="007E5C4A"/>
    <w:rsid w:val="007E6915"/>
    <w:rsid w:val="007E7109"/>
    <w:rsid w:val="007E74CA"/>
    <w:rsid w:val="007E7AD3"/>
    <w:rsid w:val="007F0070"/>
    <w:rsid w:val="007F0441"/>
    <w:rsid w:val="007F059C"/>
    <w:rsid w:val="007F0E99"/>
    <w:rsid w:val="007F20F1"/>
    <w:rsid w:val="007F37A0"/>
    <w:rsid w:val="007F4224"/>
    <w:rsid w:val="007F4C55"/>
    <w:rsid w:val="007F4DD2"/>
    <w:rsid w:val="007F4FB9"/>
    <w:rsid w:val="007F61E1"/>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2C8E"/>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1EDE"/>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4DF9"/>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6E24"/>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16CF"/>
    <w:rsid w:val="00901A87"/>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5E98"/>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0EB4"/>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6EC"/>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010"/>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185"/>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5E8C"/>
    <w:rsid w:val="00A76E79"/>
    <w:rsid w:val="00A76F27"/>
    <w:rsid w:val="00A7771B"/>
    <w:rsid w:val="00A77B53"/>
    <w:rsid w:val="00A80DC9"/>
    <w:rsid w:val="00A811F1"/>
    <w:rsid w:val="00A82887"/>
    <w:rsid w:val="00A83010"/>
    <w:rsid w:val="00A83BF5"/>
    <w:rsid w:val="00A83F12"/>
    <w:rsid w:val="00A84CD1"/>
    <w:rsid w:val="00A8528A"/>
    <w:rsid w:val="00A85E2E"/>
    <w:rsid w:val="00A85F0D"/>
    <w:rsid w:val="00A861F3"/>
    <w:rsid w:val="00A86937"/>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934"/>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4C5"/>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0A44"/>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2FCB"/>
    <w:rsid w:val="00B734C2"/>
    <w:rsid w:val="00B73BDA"/>
    <w:rsid w:val="00B74053"/>
    <w:rsid w:val="00B7418A"/>
    <w:rsid w:val="00B74B9A"/>
    <w:rsid w:val="00B75C92"/>
    <w:rsid w:val="00B765A0"/>
    <w:rsid w:val="00B76C02"/>
    <w:rsid w:val="00B77BD2"/>
    <w:rsid w:val="00B814CB"/>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1533"/>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256"/>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23"/>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0AC"/>
    <w:rsid w:val="00C3121D"/>
    <w:rsid w:val="00C316DA"/>
    <w:rsid w:val="00C31E8F"/>
    <w:rsid w:val="00C335DA"/>
    <w:rsid w:val="00C33D3E"/>
    <w:rsid w:val="00C340FB"/>
    <w:rsid w:val="00C34DF5"/>
    <w:rsid w:val="00C3577B"/>
    <w:rsid w:val="00C359E7"/>
    <w:rsid w:val="00C35DC7"/>
    <w:rsid w:val="00C35EEA"/>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3BEB"/>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0F8"/>
    <w:rsid w:val="00C8285A"/>
    <w:rsid w:val="00C8398D"/>
    <w:rsid w:val="00C84BC2"/>
    <w:rsid w:val="00C85139"/>
    <w:rsid w:val="00C85657"/>
    <w:rsid w:val="00C858CD"/>
    <w:rsid w:val="00C86A11"/>
    <w:rsid w:val="00C87A12"/>
    <w:rsid w:val="00C87F06"/>
    <w:rsid w:val="00C90E23"/>
    <w:rsid w:val="00C912AC"/>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0E8"/>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A7C08"/>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1504"/>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891"/>
    <w:rsid w:val="00CD5CB9"/>
    <w:rsid w:val="00CD6FA3"/>
    <w:rsid w:val="00CE2184"/>
    <w:rsid w:val="00CE3B7F"/>
    <w:rsid w:val="00CE3FA2"/>
    <w:rsid w:val="00CE41A0"/>
    <w:rsid w:val="00CE4958"/>
    <w:rsid w:val="00CE584D"/>
    <w:rsid w:val="00CE68E2"/>
    <w:rsid w:val="00CE6F58"/>
    <w:rsid w:val="00CE706E"/>
    <w:rsid w:val="00CE70B1"/>
    <w:rsid w:val="00CE7968"/>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0526"/>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04E"/>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0EC1"/>
    <w:rsid w:val="00D7146C"/>
    <w:rsid w:val="00D718CD"/>
    <w:rsid w:val="00D720FC"/>
    <w:rsid w:val="00D73BF3"/>
    <w:rsid w:val="00D7416F"/>
    <w:rsid w:val="00D755F2"/>
    <w:rsid w:val="00D762AC"/>
    <w:rsid w:val="00D76DCD"/>
    <w:rsid w:val="00D77235"/>
    <w:rsid w:val="00D775E7"/>
    <w:rsid w:val="00D776A2"/>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6F6"/>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059"/>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76"/>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5E9"/>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7A8"/>
    <w:rsid w:val="00E57EEB"/>
    <w:rsid w:val="00E602A3"/>
    <w:rsid w:val="00E60318"/>
    <w:rsid w:val="00E60BA8"/>
    <w:rsid w:val="00E61E25"/>
    <w:rsid w:val="00E61E28"/>
    <w:rsid w:val="00E628E4"/>
    <w:rsid w:val="00E63A19"/>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D64"/>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B7E"/>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3D13"/>
    <w:rsid w:val="00FD4876"/>
    <w:rsid w:val="00FD4A1C"/>
    <w:rsid w:val="00FD52A3"/>
    <w:rsid w:val="00FD5BEE"/>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65D6F"/>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B"/>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150">
      <w:bodyDiv w:val="1"/>
      <w:marLeft w:val="0"/>
      <w:marRight w:val="0"/>
      <w:marTop w:val="0"/>
      <w:marBottom w:val="0"/>
      <w:divBdr>
        <w:top w:val="none" w:sz="0" w:space="0" w:color="auto"/>
        <w:left w:val="none" w:sz="0" w:space="0" w:color="auto"/>
        <w:bottom w:val="none" w:sz="0" w:space="0" w:color="auto"/>
        <w:right w:val="none" w:sz="0" w:space="0" w:color="auto"/>
      </w:divBdr>
    </w:div>
    <w:div w:id="123280107">
      <w:bodyDiv w:val="1"/>
      <w:marLeft w:val="0"/>
      <w:marRight w:val="0"/>
      <w:marTop w:val="0"/>
      <w:marBottom w:val="0"/>
      <w:divBdr>
        <w:top w:val="none" w:sz="0" w:space="0" w:color="auto"/>
        <w:left w:val="none" w:sz="0" w:space="0" w:color="auto"/>
        <w:bottom w:val="none" w:sz="0" w:space="0" w:color="auto"/>
        <w:right w:val="none" w:sz="0" w:space="0" w:color="auto"/>
      </w:divBdr>
    </w:div>
    <w:div w:id="133984741">
      <w:bodyDiv w:val="1"/>
      <w:marLeft w:val="0"/>
      <w:marRight w:val="0"/>
      <w:marTop w:val="0"/>
      <w:marBottom w:val="0"/>
      <w:divBdr>
        <w:top w:val="none" w:sz="0" w:space="0" w:color="auto"/>
        <w:left w:val="none" w:sz="0" w:space="0" w:color="auto"/>
        <w:bottom w:val="none" w:sz="0" w:space="0" w:color="auto"/>
        <w:right w:val="none" w:sz="0" w:space="0" w:color="auto"/>
      </w:divBdr>
      <w:divsChild>
        <w:div w:id="1789424261">
          <w:marLeft w:val="0"/>
          <w:marRight w:val="0"/>
          <w:marTop w:val="0"/>
          <w:marBottom w:val="0"/>
          <w:divBdr>
            <w:top w:val="none" w:sz="0" w:space="0" w:color="auto"/>
            <w:left w:val="none" w:sz="0" w:space="0" w:color="auto"/>
            <w:bottom w:val="none" w:sz="0" w:space="0" w:color="auto"/>
            <w:right w:val="none" w:sz="0" w:space="0" w:color="auto"/>
          </w:divBdr>
        </w:div>
        <w:div w:id="2059426355">
          <w:marLeft w:val="0"/>
          <w:marRight w:val="0"/>
          <w:marTop w:val="0"/>
          <w:marBottom w:val="0"/>
          <w:divBdr>
            <w:top w:val="none" w:sz="0" w:space="0" w:color="auto"/>
            <w:left w:val="none" w:sz="0" w:space="0" w:color="auto"/>
            <w:bottom w:val="none" w:sz="0" w:space="0" w:color="auto"/>
            <w:right w:val="none" w:sz="0" w:space="0" w:color="auto"/>
          </w:divBdr>
        </w:div>
      </w:divsChild>
    </w:div>
    <w:div w:id="333649161">
      <w:bodyDiv w:val="1"/>
      <w:marLeft w:val="0"/>
      <w:marRight w:val="0"/>
      <w:marTop w:val="0"/>
      <w:marBottom w:val="0"/>
      <w:divBdr>
        <w:top w:val="none" w:sz="0" w:space="0" w:color="auto"/>
        <w:left w:val="none" w:sz="0" w:space="0" w:color="auto"/>
        <w:bottom w:val="none" w:sz="0" w:space="0" w:color="auto"/>
        <w:right w:val="none" w:sz="0" w:space="0" w:color="auto"/>
      </w:divBdr>
    </w:div>
    <w:div w:id="33708164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876879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1475709">
      <w:bodyDiv w:val="1"/>
      <w:marLeft w:val="0"/>
      <w:marRight w:val="0"/>
      <w:marTop w:val="0"/>
      <w:marBottom w:val="0"/>
      <w:divBdr>
        <w:top w:val="none" w:sz="0" w:space="0" w:color="auto"/>
        <w:left w:val="none" w:sz="0" w:space="0" w:color="auto"/>
        <w:bottom w:val="none" w:sz="0" w:space="0" w:color="auto"/>
        <w:right w:val="none" w:sz="0" w:space="0" w:color="auto"/>
      </w:divBdr>
    </w:div>
    <w:div w:id="698899808">
      <w:bodyDiv w:val="1"/>
      <w:marLeft w:val="0"/>
      <w:marRight w:val="0"/>
      <w:marTop w:val="0"/>
      <w:marBottom w:val="0"/>
      <w:divBdr>
        <w:top w:val="none" w:sz="0" w:space="0" w:color="auto"/>
        <w:left w:val="none" w:sz="0" w:space="0" w:color="auto"/>
        <w:bottom w:val="none" w:sz="0" w:space="0" w:color="auto"/>
        <w:right w:val="none" w:sz="0" w:space="0" w:color="auto"/>
      </w:divBdr>
    </w:div>
    <w:div w:id="724331163">
      <w:bodyDiv w:val="1"/>
      <w:marLeft w:val="0"/>
      <w:marRight w:val="0"/>
      <w:marTop w:val="0"/>
      <w:marBottom w:val="0"/>
      <w:divBdr>
        <w:top w:val="none" w:sz="0" w:space="0" w:color="auto"/>
        <w:left w:val="none" w:sz="0" w:space="0" w:color="auto"/>
        <w:bottom w:val="none" w:sz="0" w:space="0" w:color="auto"/>
        <w:right w:val="none" w:sz="0" w:space="0" w:color="auto"/>
      </w:divBdr>
    </w:div>
    <w:div w:id="754590919">
      <w:bodyDiv w:val="1"/>
      <w:marLeft w:val="0"/>
      <w:marRight w:val="0"/>
      <w:marTop w:val="0"/>
      <w:marBottom w:val="0"/>
      <w:divBdr>
        <w:top w:val="none" w:sz="0" w:space="0" w:color="auto"/>
        <w:left w:val="none" w:sz="0" w:space="0" w:color="auto"/>
        <w:bottom w:val="none" w:sz="0" w:space="0" w:color="auto"/>
        <w:right w:val="none" w:sz="0" w:space="0" w:color="auto"/>
      </w:divBdr>
    </w:div>
    <w:div w:id="774908997">
      <w:bodyDiv w:val="1"/>
      <w:marLeft w:val="0"/>
      <w:marRight w:val="0"/>
      <w:marTop w:val="0"/>
      <w:marBottom w:val="0"/>
      <w:divBdr>
        <w:top w:val="none" w:sz="0" w:space="0" w:color="auto"/>
        <w:left w:val="none" w:sz="0" w:space="0" w:color="auto"/>
        <w:bottom w:val="none" w:sz="0" w:space="0" w:color="auto"/>
        <w:right w:val="none" w:sz="0" w:space="0" w:color="auto"/>
      </w:divBdr>
    </w:div>
    <w:div w:id="800225846">
      <w:bodyDiv w:val="1"/>
      <w:marLeft w:val="0"/>
      <w:marRight w:val="0"/>
      <w:marTop w:val="0"/>
      <w:marBottom w:val="0"/>
      <w:divBdr>
        <w:top w:val="none" w:sz="0" w:space="0" w:color="auto"/>
        <w:left w:val="none" w:sz="0" w:space="0" w:color="auto"/>
        <w:bottom w:val="none" w:sz="0" w:space="0" w:color="auto"/>
        <w:right w:val="none" w:sz="0" w:space="0" w:color="auto"/>
      </w:divBdr>
    </w:div>
    <w:div w:id="802773973">
      <w:bodyDiv w:val="1"/>
      <w:marLeft w:val="0"/>
      <w:marRight w:val="0"/>
      <w:marTop w:val="0"/>
      <w:marBottom w:val="0"/>
      <w:divBdr>
        <w:top w:val="none" w:sz="0" w:space="0" w:color="auto"/>
        <w:left w:val="none" w:sz="0" w:space="0" w:color="auto"/>
        <w:bottom w:val="none" w:sz="0" w:space="0" w:color="auto"/>
        <w:right w:val="none" w:sz="0" w:space="0" w:color="auto"/>
      </w:divBdr>
    </w:div>
    <w:div w:id="101758452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12887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294207">
      <w:bodyDiv w:val="1"/>
      <w:marLeft w:val="0"/>
      <w:marRight w:val="0"/>
      <w:marTop w:val="0"/>
      <w:marBottom w:val="0"/>
      <w:divBdr>
        <w:top w:val="none" w:sz="0" w:space="0" w:color="auto"/>
        <w:left w:val="none" w:sz="0" w:space="0" w:color="auto"/>
        <w:bottom w:val="none" w:sz="0" w:space="0" w:color="auto"/>
        <w:right w:val="none" w:sz="0" w:space="0" w:color="auto"/>
      </w:divBdr>
    </w:div>
    <w:div w:id="1304653210">
      <w:bodyDiv w:val="1"/>
      <w:marLeft w:val="0"/>
      <w:marRight w:val="0"/>
      <w:marTop w:val="0"/>
      <w:marBottom w:val="0"/>
      <w:divBdr>
        <w:top w:val="none" w:sz="0" w:space="0" w:color="auto"/>
        <w:left w:val="none" w:sz="0" w:space="0" w:color="auto"/>
        <w:bottom w:val="none" w:sz="0" w:space="0" w:color="auto"/>
        <w:right w:val="none" w:sz="0" w:space="0" w:color="auto"/>
      </w:divBdr>
    </w:div>
    <w:div w:id="1327856435">
      <w:bodyDiv w:val="1"/>
      <w:marLeft w:val="0"/>
      <w:marRight w:val="0"/>
      <w:marTop w:val="0"/>
      <w:marBottom w:val="0"/>
      <w:divBdr>
        <w:top w:val="none" w:sz="0" w:space="0" w:color="auto"/>
        <w:left w:val="none" w:sz="0" w:space="0" w:color="auto"/>
        <w:bottom w:val="none" w:sz="0" w:space="0" w:color="auto"/>
        <w:right w:val="none" w:sz="0" w:space="0" w:color="auto"/>
      </w:divBdr>
    </w:div>
    <w:div w:id="1392735199">
      <w:bodyDiv w:val="1"/>
      <w:marLeft w:val="0"/>
      <w:marRight w:val="0"/>
      <w:marTop w:val="0"/>
      <w:marBottom w:val="0"/>
      <w:divBdr>
        <w:top w:val="none" w:sz="0" w:space="0" w:color="auto"/>
        <w:left w:val="none" w:sz="0" w:space="0" w:color="auto"/>
        <w:bottom w:val="none" w:sz="0" w:space="0" w:color="auto"/>
        <w:right w:val="none" w:sz="0" w:space="0" w:color="auto"/>
      </w:divBdr>
    </w:div>
    <w:div w:id="14132360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05036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6862139">
      <w:bodyDiv w:val="1"/>
      <w:marLeft w:val="0"/>
      <w:marRight w:val="0"/>
      <w:marTop w:val="0"/>
      <w:marBottom w:val="0"/>
      <w:divBdr>
        <w:top w:val="none" w:sz="0" w:space="0" w:color="auto"/>
        <w:left w:val="none" w:sz="0" w:space="0" w:color="auto"/>
        <w:bottom w:val="none" w:sz="0" w:space="0" w:color="auto"/>
        <w:right w:val="none" w:sz="0" w:space="0" w:color="auto"/>
      </w:divBdr>
    </w:div>
    <w:div w:id="20955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5508-57A1-45AD-98DD-AF10077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„Veselības pārbaudes kārtība personām, kuras pretendē uz speciālo atļauju pieejai valsts noslēpumam”</vt:lpstr>
    </vt:vector>
  </TitlesOfParts>
  <Company>Veselības ministrija</Company>
  <LinksUpToDate>false</LinksUpToDate>
  <CharactersWithSpaces>5262</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„Veselības pārbaudes kārtība personām, kuras pretendē uz speciālo atļauju pieejai valsts noslēpumam”</dc:title>
  <dc:subject>Izziņa par atzinumos izteiktajiem iebildumiem</dc:subject>
  <dc:creator>Irita Kuzma</dc:creator>
  <dc:description>Irita.Kuzma@vm.gov.lv, tālr.: 6 7876079</dc:description>
  <cp:lastModifiedBy>Ineta Būmane</cp:lastModifiedBy>
  <cp:revision>2</cp:revision>
  <cp:lastPrinted>2014-01-30T14:03:00Z</cp:lastPrinted>
  <dcterms:created xsi:type="dcterms:W3CDTF">2021-07-28T10:05:00Z</dcterms:created>
  <dcterms:modified xsi:type="dcterms:W3CDTF">2021-07-28T10:05:00Z</dcterms:modified>
</cp:coreProperties>
</file>