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EE9D" w14:textId="2E9FCEA7" w:rsidR="008243E6" w:rsidRPr="00F95322" w:rsidRDefault="00110810">
      <w:pPr>
        <w:pStyle w:val="Body"/>
        <w:spacing w:after="0" w:line="240" w:lineRule="auto"/>
        <w:jc w:val="center"/>
        <w:rPr>
          <w:rFonts w:ascii="Times New Roman" w:eastAsia="Times New Roman" w:hAnsi="Times New Roman" w:cs="Times New Roman"/>
          <w:b/>
          <w:bCs/>
          <w:sz w:val="28"/>
          <w:szCs w:val="28"/>
        </w:rPr>
      </w:pPr>
      <w:bookmarkStart w:id="0" w:name="OLE_LINK3"/>
      <w:r w:rsidRPr="00F95322">
        <w:rPr>
          <w:rFonts w:ascii="Times New Roman" w:hAnsi="Times New Roman"/>
          <w:b/>
          <w:bCs/>
          <w:sz w:val="28"/>
          <w:szCs w:val="28"/>
        </w:rPr>
        <w:t>M</w:t>
      </w:r>
      <w:bookmarkStart w:id="1" w:name="OLE_LINK4"/>
      <w:bookmarkEnd w:id="0"/>
      <w:r w:rsidRPr="00F95322">
        <w:rPr>
          <w:rFonts w:ascii="Times New Roman" w:hAnsi="Times New Roman"/>
          <w:b/>
          <w:bCs/>
          <w:sz w:val="28"/>
          <w:szCs w:val="28"/>
        </w:rPr>
        <w:t xml:space="preserve">inistru kabineta noteikumu projekta </w:t>
      </w:r>
      <w:r w:rsidR="00F95322">
        <w:rPr>
          <w:rFonts w:ascii="Times New Roman" w:hAnsi="Times New Roman"/>
          <w:b/>
          <w:bCs/>
          <w:sz w:val="28"/>
          <w:szCs w:val="28"/>
        </w:rPr>
        <w:t>“</w:t>
      </w:r>
      <w:r w:rsidRPr="00F95322">
        <w:rPr>
          <w:rFonts w:ascii="Times New Roman" w:hAnsi="Times New Roman"/>
          <w:b/>
          <w:bCs/>
          <w:sz w:val="28"/>
          <w:szCs w:val="28"/>
        </w:rPr>
        <w:t>Grozījumi Ministru kabineta 2015. gada 25.</w:t>
      </w:r>
      <w:r w:rsidR="00F95322">
        <w:rPr>
          <w:rFonts w:ascii="Times New Roman" w:hAnsi="Times New Roman"/>
          <w:b/>
          <w:bCs/>
          <w:sz w:val="28"/>
          <w:szCs w:val="28"/>
        </w:rPr>
        <w:t xml:space="preserve"> </w:t>
      </w:r>
      <w:r w:rsidRPr="00F95322">
        <w:rPr>
          <w:rFonts w:ascii="Times New Roman" w:hAnsi="Times New Roman"/>
          <w:b/>
          <w:bCs/>
          <w:sz w:val="28"/>
          <w:szCs w:val="28"/>
        </w:rPr>
        <w:t>augusta noteikumos Nr.</w:t>
      </w:r>
      <w:r w:rsidR="00F95322">
        <w:rPr>
          <w:rFonts w:ascii="Times New Roman" w:hAnsi="Times New Roman"/>
          <w:b/>
          <w:bCs/>
          <w:sz w:val="28"/>
          <w:szCs w:val="28"/>
        </w:rPr>
        <w:t xml:space="preserve"> </w:t>
      </w:r>
      <w:r w:rsidRPr="00F95322">
        <w:rPr>
          <w:rFonts w:ascii="Times New Roman" w:hAnsi="Times New Roman"/>
          <w:b/>
          <w:bCs/>
          <w:sz w:val="28"/>
          <w:szCs w:val="28"/>
        </w:rPr>
        <w:t xml:space="preserve">492 </w:t>
      </w:r>
      <w:r w:rsidR="00F95322">
        <w:rPr>
          <w:rFonts w:ascii="Times New Roman" w:hAnsi="Times New Roman"/>
          <w:b/>
          <w:bCs/>
          <w:sz w:val="28"/>
          <w:szCs w:val="28"/>
        </w:rPr>
        <w:t>“</w:t>
      </w:r>
      <w:r w:rsidRPr="00F95322">
        <w:rPr>
          <w:rFonts w:ascii="Times New Roman" w:hAnsi="Times New Roman"/>
          <w:b/>
          <w:bCs/>
          <w:sz w:val="28"/>
          <w:szCs w:val="28"/>
        </w:rPr>
        <w:t>Noteikumi par valsts un Eiropas Savienības atbalsta piešķiršanu ražas, dzīvnieku un augu apdrošināšanai 2014.–2020. gada plānošanas periodā””</w:t>
      </w:r>
      <w:bookmarkEnd w:id="1"/>
      <w:r w:rsidRPr="00F95322">
        <w:rPr>
          <w:rFonts w:ascii="Times New Roman" w:hAnsi="Times New Roman"/>
          <w:b/>
          <w:bCs/>
          <w:sz w:val="28"/>
          <w:szCs w:val="28"/>
        </w:rPr>
        <w:t xml:space="preserve"> </w:t>
      </w:r>
      <w:bookmarkStart w:id="2" w:name="OLE_LINK7"/>
      <w:r w:rsidRPr="00F95322">
        <w:rPr>
          <w:rFonts w:ascii="Times New Roman" w:hAnsi="Times New Roman"/>
          <w:b/>
          <w:bCs/>
          <w:sz w:val="28"/>
          <w:szCs w:val="28"/>
        </w:rPr>
        <w:t>s</w:t>
      </w:r>
      <w:bookmarkStart w:id="3" w:name="OLE_LINK8"/>
      <w:bookmarkEnd w:id="2"/>
      <w:r w:rsidRPr="00F95322">
        <w:rPr>
          <w:rFonts w:ascii="Times New Roman" w:hAnsi="Times New Roman"/>
          <w:b/>
          <w:bCs/>
          <w:sz w:val="28"/>
          <w:szCs w:val="28"/>
        </w:rPr>
        <w:t>ākotnējās ietekmes novērtējuma ziņojums (anotācija</w:t>
      </w:r>
      <w:bookmarkEnd w:id="3"/>
      <w:r w:rsidRPr="00F95322">
        <w:rPr>
          <w:rFonts w:ascii="Times New Roman" w:hAnsi="Times New Roman"/>
          <w:b/>
          <w:bCs/>
          <w:sz w:val="28"/>
          <w:szCs w:val="28"/>
        </w:rPr>
        <w:t>)</w:t>
      </w:r>
    </w:p>
    <w:p w14:paraId="1D17D168" w14:textId="77777777" w:rsidR="008243E6" w:rsidRPr="00F95322" w:rsidRDefault="008243E6">
      <w:pPr>
        <w:pStyle w:val="Body"/>
        <w:shd w:val="clear" w:color="auto" w:fill="FFFFFF"/>
        <w:spacing w:after="0" w:line="240" w:lineRule="auto"/>
        <w:jc w:val="center"/>
        <w:rPr>
          <w:rFonts w:ascii="Times New Roman" w:eastAsia="Times New Roman" w:hAnsi="Times New Roman" w:cs="Times New Roman"/>
          <w:b/>
          <w:bCs/>
          <w:sz w:val="24"/>
          <w:szCs w:val="24"/>
        </w:rPr>
      </w:pPr>
    </w:p>
    <w:tbl>
      <w:tblPr>
        <w:tblW w:w="9073" w:type="dxa"/>
        <w:tblInd w:w="-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4"/>
        <w:gridCol w:w="5679"/>
      </w:tblGrid>
      <w:tr w:rsidR="008243E6" w:rsidRPr="00F95322" w14:paraId="063B70BC" w14:textId="77777777" w:rsidTr="007B4654">
        <w:trPr>
          <w:trHeight w:val="305"/>
        </w:trPr>
        <w:tc>
          <w:tcPr>
            <w:tcW w:w="907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C94A7D" w14:textId="77777777" w:rsidR="008243E6" w:rsidRPr="00F95322" w:rsidRDefault="00110810">
            <w:pPr>
              <w:pStyle w:val="Body"/>
              <w:spacing w:after="0" w:line="240" w:lineRule="auto"/>
            </w:pPr>
            <w:r w:rsidRPr="00F95322">
              <w:rPr>
                <w:rFonts w:ascii="Times New Roman" w:hAnsi="Times New Roman"/>
                <w:b/>
                <w:bCs/>
                <w:sz w:val="24"/>
                <w:szCs w:val="24"/>
              </w:rPr>
              <w:t>Tiesību akta projekta anotācijas kopsavilkums</w:t>
            </w:r>
          </w:p>
        </w:tc>
      </w:tr>
      <w:tr w:rsidR="008243E6" w:rsidRPr="00CA4874" w14:paraId="6B3238D8" w14:textId="77777777" w:rsidTr="007B4654">
        <w:trPr>
          <w:trHeight w:val="2356"/>
        </w:trPr>
        <w:tc>
          <w:tcPr>
            <w:tcW w:w="33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608F2D" w14:textId="77777777" w:rsidR="008243E6" w:rsidRPr="00F95322" w:rsidRDefault="00110810">
            <w:pPr>
              <w:pStyle w:val="Body"/>
              <w:spacing w:after="0" w:line="240" w:lineRule="auto"/>
            </w:pPr>
            <w:r w:rsidRPr="00F95322">
              <w:rPr>
                <w:rFonts w:ascii="Times New Roman" w:hAnsi="Times New Roman"/>
                <w:sz w:val="24"/>
                <w:szCs w:val="24"/>
              </w:rPr>
              <w:t>Mērķis, risinājums un projekta spēkā stāšanās laiks (500 zīmes bez atstarpēm)</w:t>
            </w:r>
          </w:p>
        </w:tc>
        <w:tc>
          <w:tcPr>
            <w:tcW w:w="56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6171A2" w14:textId="263DF952" w:rsidR="008243E6" w:rsidRPr="00F95322" w:rsidRDefault="00110810">
            <w:pPr>
              <w:pStyle w:val="Body"/>
              <w:tabs>
                <w:tab w:val="left" w:pos="142"/>
                <w:tab w:val="left" w:pos="677"/>
              </w:tabs>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Ministru kabineta 2015. gada 25. augusta noteikumu Nr.</w:t>
            </w:r>
            <w:r w:rsidR="00F95322">
              <w:rPr>
                <w:rFonts w:ascii="Times New Roman" w:hAnsi="Times New Roman"/>
                <w:sz w:val="24"/>
                <w:szCs w:val="24"/>
              </w:rPr>
              <w:t> </w:t>
            </w:r>
            <w:r w:rsidRPr="00F95322">
              <w:rPr>
                <w:rFonts w:ascii="Times New Roman" w:hAnsi="Times New Roman"/>
                <w:sz w:val="24"/>
                <w:szCs w:val="24"/>
              </w:rPr>
              <w:t xml:space="preserve">492 </w:t>
            </w:r>
            <w:r w:rsidR="00F95322">
              <w:rPr>
                <w:rFonts w:ascii="Times New Roman" w:hAnsi="Times New Roman"/>
                <w:sz w:val="24"/>
                <w:szCs w:val="24"/>
              </w:rPr>
              <w:t>“</w:t>
            </w:r>
            <w:r w:rsidRPr="00F95322">
              <w:rPr>
                <w:rFonts w:ascii="Times New Roman" w:hAnsi="Times New Roman"/>
                <w:sz w:val="24"/>
                <w:szCs w:val="24"/>
              </w:rPr>
              <w:t>Noteikumi par valsts un Eiropas Savienības atbalsta piešķiršanu ražas, dzīvnieku un augu apdrošināšanai 2014.–2020. gada plānošanas periodā” (turpmāk – noteikumi Nr. 492) grozījumu mērķis ir precizēt kritērijus daļējai apdrošināšanas prēmiju izdevumu segšanai 2021. gadā.</w:t>
            </w:r>
          </w:p>
          <w:p w14:paraId="15514E36" w14:textId="3C0D6BA4" w:rsidR="008243E6" w:rsidRPr="00F95322" w:rsidRDefault="00110810">
            <w:pPr>
              <w:pStyle w:val="Body"/>
              <w:tabs>
                <w:tab w:val="left" w:pos="142"/>
                <w:tab w:val="left" w:pos="677"/>
              </w:tabs>
              <w:spacing w:after="0" w:line="240" w:lineRule="auto"/>
              <w:jc w:val="both"/>
            </w:pPr>
            <w:r w:rsidRPr="00F95322">
              <w:rPr>
                <w:rFonts w:ascii="Times New Roman" w:hAnsi="Times New Roman"/>
                <w:sz w:val="24"/>
                <w:szCs w:val="24"/>
              </w:rPr>
              <w:t>Noteikum</w:t>
            </w:r>
            <w:r w:rsidR="00F95322">
              <w:rPr>
                <w:rFonts w:ascii="Times New Roman" w:hAnsi="Times New Roman"/>
                <w:sz w:val="24"/>
                <w:szCs w:val="24"/>
              </w:rPr>
              <w:t>i</w:t>
            </w:r>
            <w:r w:rsidRPr="00F95322">
              <w:rPr>
                <w:rFonts w:ascii="Times New Roman" w:hAnsi="Times New Roman"/>
                <w:sz w:val="24"/>
                <w:szCs w:val="24"/>
              </w:rPr>
              <w:t xml:space="preserve"> stāsies spēkā nākamajā dienā pēc t</w:t>
            </w:r>
            <w:r w:rsidR="00F95322">
              <w:rPr>
                <w:rFonts w:ascii="Times New Roman" w:hAnsi="Times New Roman"/>
                <w:sz w:val="24"/>
                <w:szCs w:val="24"/>
              </w:rPr>
              <w:t>o</w:t>
            </w:r>
            <w:r w:rsidRPr="00F95322">
              <w:rPr>
                <w:rFonts w:ascii="Times New Roman" w:hAnsi="Times New Roman"/>
                <w:sz w:val="24"/>
                <w:szCs w:val="24"/>
              </w:rPr>
              <w:t xml:space="preserve"> izsludināšanas.</w:t>
            </w:r>
          </w:p>
        </w:tc>
      </w:tr>
    </w:tbl>
    <w:p w14:paraId="00BB9E66" w14:textId="77777777" w:rsidR="008243E6" w:rsidRPr="00F95322" w:rsidRDefault="008243E6">
      <w:pPr>
        <w:pStyle w:val="Body"/>
        <w:spacing w:after="0" w:line="240" w:lineRule="auto"/>
        <w:rPr>
          <w:rFonts w:ascii="Times New Roman" w:eastAsia="Times New Roman" w:hAnsi="Times New Roman" w:cs="Times New Roman"/>
          <w:sz w:val="24"/>
          <w:szCs w:val="24"/>
        </w:rPr>
      </w:pPr>
    </w:p>
    <w:tbl>
      <w:tblPr>
        <w:tblW w:w="0" w:type="auto"/>
        <w:tblInd w:w="-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40"/>
        <w:gridCol w:w="2921"/>
        <w:gridCol w:w="5799"/>
      </w:tblGrid>
      <w:tr w:rsidR="008243E6" w:rsidRPr="00F95322" w14:paraId="56F8121B" w14:textId="77777777" w:rsidTr="00301201">
        <w:trPr>
          <w:trHeight w:val="305"/>
        </w:trPr>
        <w:tc>
          <w:tcPr>
            <w:tcW w:w="90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D07A7F" w14:textId="77777777" w:rsidR="008243E6" w:rsidRPr="00F95322" w:rsidRDefault="00110810">
            <w:pPr>
              <w:pStyle w:val="Body"/>
              <w:spacing w:after="0" w:line="240" w:lineRule="auto"/>
            </w:pPr>
            <w:r w:rsidRPr="00F95322">
              <w:rPr>
                <w:rFonts w:ascii="Times New Roman" w:hAnsi="Times New Roman"/>
                <w:b/>
                <w:bCs/>
                <w:sz w:val="24"/>
                <w:szCs w:val="24"/>
              </w:rPr>
              <w:t>I. Tiesību akta projekta izstrādes nepieciešamība</w:t>
            </w:r>
          </w:p>
        </w:tc>
      </w:tr>
      <w:tr w:rsidR="008243E6" w:rsidRPr="00F95322" w14:paraId="36241104" w14:textId="77777777" w:rsidTr="00301201">
        <w:trPr>
          <w:trHeight w:val="305"/>
        </w:trPr>
        <w:tc>
          <w:tcPr>
            <w:tcW w:w="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DB89F4" w14:textId="77777777" w:rsidR="008243E6" w:rsidRPr="00F95322" w:rsidRDefault="00110810">
            <w:pPr>
              <w:pStyle w:val="Body"/>
              <w:spacing w:after="0" w:line="240" w:lineRule="auto"/>
            </w:pPr>
            <w:r w:rsidRPr="00F95322">
              <w:rPr>
                <w:rFonts w:ascii="Times New Roman" w:hAnsi="Times New Roman"/>
                <w:sz w:val="24"/>
                <w:szCs w:val="24"/>
              </w:rPr>
              <w:t>1.</w:t>
            </w:r>
          </w:p>
        </w:tc>
        <w:tc>
          <w:tcPr>
            <w:tcW w:w="2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47F795" w14:textId="77777777" w:rsidR="008243E6" w:rsidRPr="00F95322" w:rsidRDefault="00110810">
            <w:pPr>
              <w:pStyle w:val="Body"/>
              <w:spacing w:after="0" w:line="240" w:lineRule="auto"/>
            </w:pPr>
            <w:r w:rsidRPr="00F95322">
              <w:rPr>
                <w:rFonts w:ascii="Times New Roman" w:hAnsi="Times New Roman"/>
                <w:sz w:val="24"/>
                <w:szCs w:val="24"/>
              </w:rPr>
              <w:t>Pamatojums</w:t>
            </w:r>
          </w:p>
        </w:tc>
        <w:tc>
          <w:tcPr>
            <w:tcW w:w="57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F1F3D5" w14:textId="77777777" w:rsidR="008243E6" w:rsidRPr="00F95322" w:rsidRDefault="00110810">
            <w:pPr>
              <w:pStyle w:val="Body"/>
              <w:spacing w:after="0" w:line="240" w:lineRule="auto"/>
              <w:jc w:val="both"/>
            </w:pPr>
            <w:r w:rsidRPr="00F95322">
              <w:rPr>
                <w:rFonts w:ascii="Times New Roman" w:hAnsi="Times New Roman"/>
                <w:sz w:val="24"/>
                <w:szCs w:val="24"/>
              </w:rPr>
              <w:t>Zemkopības ministrijas iniciatīva</w:t>
            </w:r>
          </w:p>
        </w:tc>
      </w:tr>
      <w:tr w:rsidR="00845392" w:rsidRPr="00CA4874" w14:paraId="1E9A449E" w14:textId="77777777" w:rsidTr="00301201">
        <w:trPr>
          <w:trHeight w:val="305"/>
        </w:trPr>
        <w:tc>
          <w:tcPr>
            <w:tcW w:w="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446A64" w14:textId="7F65F049" w:rsidR="00845392" w:rsidRPr="00F95322" w:rsidRDefault="00845392" w:rsidP="00845392">
            <w:pPr>
              <w:pStyle w:val="Body"/>
              <w:spacing w:after="0" w:line="240" w:lineRule="auto"/>
              <w:rPr>
                <w:rFonts w:ascii="Times New Roman" w:hAnsi="Times New Roman"/>
                <w:sz w:val="24"/>
                <w:szCs w:val="24"/>
              </w:rPr>
            </w:pPr>
            <w:r>
              <w:rPr>
                <w:rFonts w:ascii="Times New Roman" w:hAnsi="Times New Roman"/>
                <w:sz w:val="24"/>
                <w:szCs w:val="24"/>
              </w:rPr>
              <w:t>2.</w:t>
            </w:r>
          </w:p>
        </w:tc>
        <w:tc>
          <w:tcPr>
            <w:tcW w:w="2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BDBA25" w14:textId="77777777" w:rsidR="00845392" w:rsidRPr="00F95322" w:rsidRDefault="00845392" w:rsidP="00845392">
            <w:pPr>
              <w:pStyle w:val="Body"/>
              <w:spacing w:after="0" w:line="240" w:lineRule="auto"/>
              <w:rPr>
                <w:rFonts w:ascii="Times New Roman" w:eastAsia="Times New Roman" w:hAnsi="Times New Roman" w:cs="Times New Roman"/>
                <w:sz w:val="24"/>
                <w:szCs w:val="24"/>
              </w:rPr>
            </w:pPr>
            <w:r w:rsidRPr="00F95322">
              <w:rPr>
                <w:rFonts w:ascii="Times New Roman" w:hAnsi="Times New Roman"/>
                <w:sz w:val="24"/>
                <w:szCs w:val="24"/>
              </w:rPr>
              <w:t>Pašreizējā situācija un problēmas, kuru risināšanai tiesību akta projekts izstrādāts, tiesiskā regulējuma mērķis un būtība</w:t>
            </w:r>
          </w:p>
          <w:p w14:paraId="09B22D03" w14:textId="77777777" w:rsidR="00845392" w:rsidRPr="00F95322" w:rsidRDefault="00845392" w:rsidP="00845392">
            <w:pPr>
              <w:pStyle w:val="Body"/>
              <w:spacing w:after="0" w:line="240" w:lineRule="auto"/>
              <w:rPr>
                <w:rFonts w:ascii="Times New Roman" w:hAnsi="Times New Roman"/>
                <w:sz w:val="24"/>
                <w:szCs w:val="24"/>
              </w:rPr>
            </w:pPr>
          </w:p>
        </w:tc>
        <w:tc>
          <w:tcPr>
            <w:tcW w:w="57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1C36BB" w14:textId="3BA6E5BF" w:rsidR="00845392" w:rsidRPr="00F95322" w:rsidRDefault="00845392" w:rsidP="00845392">
            <w:pPr>
              <w:pStyle w:val="Body"/>
              <w:tabs>
                <w:tab w:val="left" w:pos="142"/>
                <w:tab w:val="left" w:pos="677"/>
              </w:tabs>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Noteikumu projekta</w:t>
            </w:r>
            <w:r>
              <w:rPr>
                <w:rFonts w:ascii="Times New Roman" w:hAnsi="Times New Roman"/>
                <w:sz w:val="24"/>
                <w:szCs w:val="24"/>
              </w:rPr>
              <w:t xml:space="preserve"> “</w:t>
            </w:r>
            <w:r w:rsidRPr="00F95322">
              <w:rPr>
                <w:rFonts w:ascii="Times New Roman" w:hAnsi="Times New Roman"/>
                <w:sz w:val="24"/>
                <w:szCs w:val="24"/>
              </w:rPr>
              <w:t>Grozījumi Ministru kabineta 2015.</w:t>
            </w:r>
            <w:r w:rsidR="002F0492">
              <w:rPr>
                <w:rFonts w:ascii="Times New Roman" w:hAnsi="Times New Roman"/>
                <w:sz w:val="24"/>
                <w:szCs w:val="24"/>
              </w:rPr>
              <w:t> </w:t>
            </w:r>
            <w:r w:rsidRPr="00F95322">
              <w:rPr>
                <w:rFonts w:ascii="Times New Roman" w:hAnsi="Times New Roman"/>
                <w:sz w:val="24"/>
                <w:szCs w:val="24"/>
              </w:rPr>
              <w:t xml:space="preserve">gada 25. augusta noteikumos Nr. 492 </w:t>
            </w:r>
            <w:r>
              <w:rPr>
                <w:rFonts w:ascii="Times New Roman" w:hAnsi="Times New Roman"/>
                <w:sz w:val="24"/>
                <w:szCs w:val="24"/>
              </w:rPr>
              <w:t>“</w:t>
            </w:r>
            <w:r w:rsidRPr="00F95322">
              <w:rPr>
                <w:rFonts w:ascii="Times New Roman" w:hAnsi="Times New Roman"/>
                <w:sz w:val="24"/>
                <w:szCs w:val="24"/>
              </w:rPr>
              <w:t>Noteikumi par valsts un Eiropas Savienības atbalsta piešķiršanu ražas, dzīvnieku un augu apdrošināšanai 2014.–2020. gada plānošanas periodā”” (turpmāk – noteikumu projekts) mērķis ir precizēt kritērijus daļējai apdrošināšanas prēmiju izdevumu segšanai 2021. un 2022 gadā, lai sekmētu pieejamā finansējuma  mērķtiecīgu izmantošanu.</w:t>
            </w:r>
          </w:p>
          <w:p w14:paraId="3FD011B4" w14:textId="616A29D3" w:rsidR="002F0492" w:rsidRPr="00F95322" w:rsidRDefault="00845392" w:rsidP="00845392">
            <w:pPr>
              <w:pStyle w:val="Body"/>
              <w:tabs>
                <w:tab w:val="left" w:pos="142"/>
                <w:tab w:val="left" w:pos="677"/>
              </w:tabs>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 xml:space="preserve">Kopējais finansējums Lauku attīstības programmas (turpmāk – LAP) pasākuma </w:t>
            </w:r>
            <w:r>
              <w:rPr>
                <w:rFonts w:ascii="Times New Roman" w:hAnsi="Times New Roman"/>
                <w:sz w:val="24"/>
                <w:szCs w:val="24"/>
              </w:rPr>
              <w:t>“</w:t>
            </w:r>
            <w:r w:rsidRPr="00F95322">
              <w:rPr>
                <w:rFonts w:ascii="Times New Roman" w:hAnsi="Times New Roman"/>
                <w:sz w:val="24"/>
                <w:szCs w:val="24"/>
              </w:rPr>
              <w:t xml:space="preserve">Riska pārvaldība” apakšpasākumā </w:t>
            </w:r>
            <w:r>
              <w:rPr>
                <w:rFonts w:ascii="Times New Roman" w:hAnsi="Times New Roman"/>
                <w:sz w:val="24"/>
                <w:szCs w:val="24"/>
              </w:rPr>
              <w:t>“</w:t>
            </w:r>
            <w:r w:rsidRPr="00F95322">
              <w:rPr>
                <w:rFonts w:ascii="Times New Roman" w:hAnsi="Times New Roman"/>
                <w:sz w:val="24"/>
                <w:szCs w:val="24"/>
              </w:rPr>
              <w:t xml:space="preserve">Ražas, dzīvnieku un augu apdrošināšanas prēmija” 2021. un </w:t>
            </w:r>
            <w:r w:rsidRPr="0040338B">
              <w:rPr>
                <w:rFonts w:ascii="Times New Roman" w:hAnsi="Times New Roman" w:cs="Times New Roman"/>
                <w:sz w:val="24"/>
                <w:szCs w:val="24"/>
              </w:rPr>
              <w:t xml:space="preserve">2022. gadā paredzēts 22 milj. </w:t>
            </w:r>
            <w:r w:rsidRPr="0040338B">
              <w:rPr>
                <w:rFonts w:ascii="Times New Roman" w:hAnsi="Times New Roman" w:cs="Times New Roman"/>
                <w:i/>
                <w:iCs/>
                <w:sz w:val="24"/>
                <w:szCs w:val="24"/>
              </w:rPr>
              <w:t>euro</w:t>
            </w:r>
            <w:r w:rsidRPr="0040338B">
              <w:rPr>
                <w:rFonts w:ascii="Times New Roman" w:hAnsi="Times New Roman" w:cs="Times New Roman"/>
                <w:sz w:val="24"/>
                <w:szCs w:val="24"/>
              </w:rPr>
              <w:t xml:space="preserve"> apmērā no </w:t>
            </w:r>
            <w:r w:rsidR="0040338B" w:rsidRPr="0040338B">
              <w:rPr>
                <w:rFonts w:ascii="Times New Roman" w:hAnsi="Times New Roman" w:cs="Times New Roman"/>
                <w:sz w:val="24"/>
                <w:szCs w:val="24"/>
              </w:rPr>
              <w:t>LAP pārejas periodam pieejam</w:t>
            </w:r>
            <w:r w:rsidR="0040338B">
              <w:rPr>
                <w:rFonts w:ascii="Times New Roman" w:hAnsi="Times New Roman" w:cs="Times New Roman"/>
                <w:sz w:val="24"/>
                <w:szCs w:val="24"/>
              </w:rPr>
              <w:t>ā</w:t>
            </w:r>
            <w:r w:rsidR="0040338B" w:rsidRPr="0040338B">
              <w:rPr>
                <w:rFonts w:ascii="Times New Roman" w:hAnsi="Times New Roman" w:cs="Times New Roman"/>
                <w:sz w:val="24"/>
                <w:szCs w:val="24"/>
              </w:rPr>
              <w:t xml:space="preserve"> finansējum</w:t>
            </w:r>
            <w:r w:rsidR="00CA4874">
              <w:rPr>
                <w:rFonts w:ascii="Times New Roman" w:hAnsi="Times New Roman" w:cs="Times New Roman"/>
                <w:sz w:val="24"/>
                <w:szCs w:val="24"/>
              </w:rPr>
              <w:t>a</w:t>
            </w:r>
            <w:bookmarkStart w:id="4" w:name="_GoBack"/>
            <w:bookmarkEnd w:id="4"/>
            <w:r w:rsidRPr="0040338B">
              <w:rPr>
                <w:rFonts w:ascii="Times New Roman" w:hAnsi="Times New Roman" w:cs="Times New Roman"/>
                <w:sz w:val="24"/>
                <w:szCs w:val="24"/>
              </w:rPr>
              <w:t>. 2021. gadā minētajā LAP apakšpasākumā plānots atvērt divas iesniegumu iesniegšanas kārtas</w:t>
            </w:r>
            <w:r w:rsidRPr="00F95322">
              <w:rPr>
                <w:rFonts w:ascii="Times New Roman" w:hAnsi="Times New Roman"/>
                <w:sz w:val="24"/>
                <w:szCs w:val="24"/>
              </w:rPr>
              <w:t>. Otro iesniegumu iesniegšanas kārtu plānots atvērt pēc noteikumu projekta spēkā stāšanās.</w:t>
            </w:r>
          </w:p>
          <w:p w14:paraId="21F9A86A" w14:textId="77777777" w:rsidR="00845392" w:rsidRPr="00F95322" w:rsidRDefault="00845392" w:rsidP="000B04D5">
            <w:pPr>
              <w:pStyle w:val="Body"/>
              <w:tabs>
                <w:tab w:val="left" w:pos="142"/>
                <w:tab w:val="left" w:pos="677"/>
              </w:tabs>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Jaunā redakcijā izteikts noteikumu 3.</w:t>
            </w:r>
            <w:r w:rsidRPr="00F95322">
              <w:rPr>
                <w:rFonts w:ascii="Times New Roman" w:hAnsi="Times New Roman"/>
                <w:vertAlign w:val="superscript"/>
              </w:rPr>
              <w:t>1</w:t>
            </w:r>
            <w:r w:rsidRPr="00F95322">
              <w:rPr>
                <w:rFonts w:ascii="Times New Roman" w:hAnsi="Times New Roman"/>
                <w:sz w:val="24"/>
                <w:szCs w:val="24"/>
              </w:rPr>
              <w:t xml:space="preserve"> punkts, papildus paredzot, ka Lauku atbalsta dienests pieprasa skaidrojumu no apdrošinātāja vai atbalsta pretendenta, ja rodas aizdomas, ka apdrošināšanas polise nav ekonomiski pamatota vai nav apdrošināšanas mērķim atbilstoša. Šāda norma paredzēta tādēļ, ka Lauku atbalsta dienestam, administrējot atbalstu, nākas saskarties ar dažādām polisēm, kas vieš aizdomas. Tie var būt ļoti dažādi gadījumi, piemēram, noteiktie limiti, noteiktā polises prēmija un tās sadalījums u.c. </w:t>
            </w:r>
          </w:p>
          <w:p w14:paraId="01BEB0DF" w14:textId="77777777" w:rsidR="00845392" w:rsidRPr="00F95322" w:rsidRDefault="00845392" w:rsidP="00845392">
            <w:pPr>
              <w:pStyle w:val="Body"/>
              <w:tabs>
                <w:tab w:val="left" w:pos="142"/>
                <w:tab w:val="left" w:pos="677"/>
              </w:tabs>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lastRenderedPageBreak/>
              <w:t>Lai būtu nepārprotam</w:t>
            </w:r>
            <w:r>
              <w:rPr>
                <w:rFonts w:ascii="Times New Roman" w:hAnsi="Times New Roman"/>
                <w:sz w:val="24"/>
                <w:szCs w:val="24"/>
              </w:rPr>
              <w:t>i noteikts</w:t>
            </w:r>
            <w:r w:rsidRPr="00F95322">
              <w:rPr>
                <w:rFonts w:ascii="Times New Roman" w:hAnsi="Times New Roman"/>
                <w:sz w:val="24"/>
                <w:szCs w:val="24"/>
              </w:rPr>
              <w:t>, kurā brīdī piemērojams atbalsta proporcionālais samazinājums, precizēts noteikumu Nr. 492. 4. punkts. Proporcionālais atbalsta samazinājums piemērojams tikai tiem atbalsta pretendentiem, kas apdrošināšanas polises iesnieguši pēc tam, kad atbalstam pieteiktais publiskais finansējums sasniedzis 90 procentus no konkrētajā kārtā pieejamā publiskā finansējuma. Šādi Lauku atbalsta dienests atbalsta pasākumu ir administrējis arī līdz šim, un tas nodrošina, ka atbalsta pretendenti atbalstu saņem lai</w:t>
            </w:r>
            <w:r>
              <w:rPr>
                <w:rFonts w:ascii="Times New Roman" w:hAnsi="Times New Roman"/>
                <w:sz w:val="24"/>
                <w:szCs w:val="24"/>
              </w:rPr>
              <w:t>kus</w:t>
            </w:r>
            <w:r w:rsidRPr="00F95322">
              <w:rPr>
                <w:rFonts w:ascii="Times New Roman" w:hAnsi="Times New Roman"/>
                <w:sz w:val="24"/>
                <w:szCs w:val="24"/>
              </w:rPr>
              <w:t xml:space="preserve">, negaidot attiecīgās kārtas beigas.  </w:t>
            </w:r>
          </w:p>
          <w:p w14:paraId="2C440A32" w14:textId="1A959529" w:rsidR="002F0492" w:rsidRPr="00F95322" w:rsidRDefault="00845392" w:rsidP="00845392">
            <w:pPr>
              <w:pStyle w:val="Body"/>
              <w:tabs>
                <w:tab w:val="left" w:pos="142"/>
                <w:tab w:val="left" w:pos="677"/>
              </w:tabs>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Noteikumu Nr. 492 9.6. apakšpunktā precizēta norma par nodokļu (nodevu) parādniekiem, lai tā būtu skaidri saprotama un atbilstoša citiem spēkā esošajiem normatīvajiem aktiem.</w:t>
            </w:r>
          </w:p>
          <w:p w14:paraId="68FE4DA7" w14:textId="3B110E29" w:rsidR="002F0492" w:rsidRPr="00F95322" w:rsidRDefault="00845392" w:rsidP="000B04D5">
            <w:pPr>
              <w:pStyle w:val="Body"/>
              <w:tabs>
                <w:tab w:val="left" w:pos="142"/>
                <w:tab w:val="left" w:pos="677"/>
              </w:tabs>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Atbilstoši LAP noteiktajam atbalsts nepienākas par tādām apdrošināšanas polisēm, k</w:t>
            </w:r>
            <w:r>
              <w:rPr>
                <w:rFonts w:ascii="Times New Roman" w:hAnsi="Times New Roman"/>
                <w:sz w:val="24"/>
                <w:szCs w:val="24"/>
              </w:rPr>
              <w:t>as</w:t>
            </w:r>
            <w:r w:rsidRPr="00F95322">
              <w:rPr>
                <w:rFonts w:ascii="Times New Roman" w:hAnsi="Times New Roman"/>
                <w:sz w:val="24"/>
                <w:szCs w:val="24"/>
              </w:rPr>
              <w:t xml:space="preserve"> paredz segt zaudējumus par infekcijas slimībām, par kurām pienākas Eiropas Savienības vai valsts kompensācijas. Tā kā līdz šim Ministru kabineta 2005.</w:t>
            </w:r>
            <w:r>
              <w:rPr>
                <w:rFonts w:ascii="Times New Roman" w:hAnsi="Times New Roman"/>
                <w:sz w:val="24"/>
                <w:szCs w:val="24"/>
              </w:rPr>
              <w:t xml:space="preserve"> </w:t>
            </w:r>
            <w:r w:rsidRPr="00F95322">
              <w:rPr>
                <w:rFonts w:ascii="Times New Roman" w:hAnsi="Times New Roman"/>
                <w:sz w:val="24"/>
                <w:szCs w:val="24"/>
              </w:rPr>
              <w:t>gada 15.</w:t>
            </w:r>
            <w:r>
              <w:rPr>
                <w:rFonts w:ascii="Times New Roman" w:hAnsi="Times New Roman"/>
                <w:sz w:val="24"/>
                <w:szCs w:val="24"/>
              </w:rPr>
              <w:t xml:space="preserve"> </w:t>
            </w:r>
            <w:r w:rsidRPr="00F95322">
              <w:rPr>
                <w:rFonts w:ascii="Times New Roman" w:hAnsi="Times New Roman"/>
                <w:sz w:val="24"/>
                <w:szCs w:val="24"/>
              </w:rPr>
              <w:t xml:space="preserve">marta noteikumos Nr. 177 </w:t>
            </w:r>
            <w:r>
              <w:rPr>
                <w:rFonts w:ascii="Times New Roman" w:hAnsi="Times New Roman"/>
                <w:sz w:val="24"/>
                <w:szCs w:val="24"/>
              </w:rPr>
              <w:t>“</w:t>
            </w:r>
            <w:r w:rsidRPr="00F95322">
              <w:rPr>
                <w:rFonts w:ascii="Times New Roman" w:hAnsi="Times New Roman"/>
                <w:sz w:val="24"/>
                <w:szCs w:val="24"/>
              </w:rPr>
              <w:t xml:space="preserve">Kārtība, kādā piešķir un dzīvnieku īpašnieks saņem kompensāciju par zaudējumiem, kas radušies valsts uzraudzībā esošās dzīvnieku infekcijas slimības vai epizootijas uzliesmojuma laikā” (turpmāk – noteikumi Nr. 177) nebija noteiktas slimības, </w:t>
            </w:r>
            <w:r>
              <w:rPr>
                <w:rFonts w:ascii="Times New Roman" w:hAnsi="Times New Roman"/>
                <w:sz w:val="24"/>
                <w:szCs w:val="24"/>
              </w:rPr>
              <w:t xml:space="preserve">pēc </w:t>
            </w:r>
            <w:r w:rsidRPr="00F95322">
              <w:rPr>
                <w:rFonts w:ascii="Times New Roman" w:hAnsi="Times New Roman"/>
                <w:sz w:val="24"/>
                <w:szCs w:val="24"/>
              </w:rPr>
              <w:t>kuru uzliesmojuma pienākas zaudējumu kompensācija, noteikumu Nr. 492 10.1. apakšpunktā ir iekļauta atsauce uz Eiropas Parlamenta un Padomes 2014. gada 15. maija Regulas (ES) Nr. 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 178/2002, (EK) Nr. 882/2004 un (EK) Nr. 396/2005, Eiropas Parlamenta un Padomes Direktīvu 2009/128/EK un Eiropas Parlamenta un Padomes Regulu (EK) Nr. 1107/2009 un atceļ Padomes Lēmumus 66/399/EEK, 76/894/EEK un 2009/470/EK, (turpmāk – regula Nr. 652/2014) I</w:t>
            </w:r>
            <w:r w:rsidR="002F0492">
              <w:rPr>
                <w:rFonts w:ascii="Times New Roman" w:hAnsi="Times New Roman"/>
                <w:sz w:val="24"/>
                <w:szCs w:val="24"/>
              </w:rPr>
              <w:t> </w:t>
            </w:r>
            <w:r w:rsidRPr="00F95322">
              <w:rPr>
                <w:rFonts w:ascii="Times New Roman" w:hAnsi="Times New Roman"/>
                <w:sz w:val="24"/>
                <w:szCs w:val="24"/>
              </w:rPr>
              <w:t xml:space="preserve">pielikumu, jo tajā ir </w:t>
            </w:r>
            <w:r>
              <w:rPr>
                <w:rFonts w:ascii="Times New Roman" w:hAnsi="Times New Roman"/>
                <w:sz w:val="24"/>
                <w:szCs w:val="24"/>
              </w:rPr>
              <w:t>minētas</w:t>
            </w:r>
            <w:r w:rsidRPr="00F95322">
              <w:rPr>
                <w:rFonts w:ascii="Times New Roman" w:hAnsi="Times New Roman"/>
                <w:sz w:val="24"/>
                <w:szCs w:val="24"/>
              </w:rPr>
              <w:t xml:space="preserve"> attiecīgās slimības. No 2021. gada 8. aprīļa spēkā ir Ministru kabineta 2021.gada 7. aprīļa noteikumi Nr. 199 </w:t>
            </w:r>
            <w:r>
              <w:rPr>
                <w:rFonts w:ascii="Times New Roman" w:hAnsi="Times New Roman"/>
                <w:sz w:val="24"/>
                <w:szCs w:val="24"/>
              </w:rPr>
              <w:t>“</w:t>
            </w:r>
            <w:r w:rsidRPr="00F95322">
              <w:rPr>
                <w:rFonts w:ascii="Times New Roman" w:hAnsi="Times New Roman"/>
                <w:sz w:val="24"/>
                <w:szCs w:val="24"/>
              </w:rPr>
              <w:t xml:space="preserve">Valsts uzraudzībā esošās dzīvnieku infekcijas slimības vai epizootijas uzliesmojuma laikā radušos zaudējumu kompensācijas noteikumi”, kuros iekļauts arī saraksts ar visām tām slimībām, </w:t>
            </w:r>
            <w:r>
              <w:rPr>
                <w:rFonts w:ascii="Times New Roman" w:hAnsi="Times New Roman"/>
                <w:sz w:val="24"/>
                <w:szCs w:val="24"/>
              </w:rPr>
              <w:t xml:space="preserve">pēc </w:t>
            </w:r>
            <w:r w:rsidRPr="00F95322">
              <w:rPr>
                <w:rFonts w:ascii="Times New Roman" w:hAnsi="Times New Roman"/>
                <w:sz w:val="24"/>
                <w:szCs w:val="24"/>
              </w:rPr>
              <w:t>kuru uzliesmojuma pienākas zaudējumu kompensācija. Attiecīgi ir jā</w:t>
            </w:r>
            <w:r>
              <w:rPr>
                <w:rFonts w:ascii="Times New Roman" w:hAnsi="Times New Roman"/>
                <w:sz w:val="24"/>
                <w:szCs w:val="24"/>
              </w:rPr>
              <w:t>izdara</w:t>
            </w:r>
            <w:r w:rsidRPr="00F95322">
              <w:rPr>
                <w:rFonts w:ascii="Times New Roman" w:hAnsi="Times New Roman"/>
                <w:sz w:val="24"/>
                <w:szCs w:val="24"/>
              </w:rPr>
              <w:t xml:space="preserve"> grozījumi noteikumu Nr. 492 10.1. apakšpunktā, atsauci uz regulas Nr. 652/2014 I pielikumu aizstājot ar atsauci uz Ministru kabineta noteikumiem.</w:t>
            </w:r>
          </w:p>
          <w:p w14:paraId="08B64230" w14:textId="4CA50B8B" w:rsidR="002F0492" w:rsidRPr="00F95322" w:rsidRDefault="00845392" w:rsidP="000B04D5">
            <w:pPr>
              <w:pStyle w:val="Body"/>
              <w:tabs>
                <w:tab w:val="left" w:pos="142"/>
                <w:tab w:val="left" w:pos="677"/>
              </w:tabs>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Noteikumu Nr. 492 10. punkts papildināts ar 10.6. un 10.7. apakšpunkt</w:t>
            </w:r>
            <w:r>
              <w:rPr>
                <w:rFonts w:ascii="Times New Roman" w:hAnsi="Times New Roman"/>
                <w:sz w:val="24"/>
                <w:szCs w:val="24"/>
              </w:rPr>
              <w:t>u</w:t>
            </w:r>
            <w:r w:rsidRPr="00F95322">
              <w:rPr>
                <w:rFonts w:ascii="Times New Roman" w:hAnsi="Times New Roman"/>
                <w:sz w:val="24"/>
                <w:szCs w:val="24"/>
              </w:rPr>
              <w:t xml:space="preserve">. 10.6. apakšpunktā noteikts, ka </w:t>
            </w:r>
            <w:r w:rsidRPr="00F95322">
              <w:rPr>
                <w:rFonts w:ascii="Times New Roman" w:hAnsi="Times New Roman"/>
                <w:sz w:val="24"/>
                <w:szCs w:val="24"/>
              </w:rPr>
              <w:lastRenderedPageBreak/>
              <w:t>atlīdzības limita</w:t>
            </w:r>
            <w:r>
              <w:rPr>
                <w:rFonts w:ascii="Times New Roman" w:hAnsi="Times New Roman"/>
                <w:sz w:val="24"/>
                <w:szCs w:val="24"/>
              </w:rPr>
              <w:t>m</w:t>
            </w:r>
            <w:r w:rsidRPr="00F95322">
              <w:rPr>
                <w:rFonts w:ascii="Times New Roman" w:hAnsi="Times New Roman"/>
                <w:sz w:val="24"/>
                <w:szCs w:val="24"/>
              </w:rPr>
              <w:t xml:space="preserve"> ir jābūt vismaz 200 procent</w:t>
            </w:r>
            <w:r>
              <w:rPr>
                <w:rFonts w:ascii="Times New Roman" w:hAnsi="Times New Roman"/>
                <w:sz w:val="24"/>
                <w:szCs w:val="24"/>
              </w:rPr>
              <w:t>u</w:t>
            </w:r>
            <w:r w:rsidRPr="00F95322">
              <w:rPr>
                <w:rFonts w:ascii="Times New Roman" w:hAnsi="Times New Roman"/>
                <w:sz w:val="24"/>
                <w:szCs w:val="24"/>
              </w:rPr>
              <w:t xml:space="preserve"> apmē</w:t>
            </w:r>
            <w:r>
              <w:rPr>
                <w:rFonts w:ascii="Times New Roman" w:hAnsi="Times New Roman"/>
                <w:sz w:val="24"/>
                <w:szCs w:val="24"/>
              </w:rPr>
              <w:t>rā</w:t>
            </w:r>
            <w:r w:rsidRPr="00F95322">
              <w:rPr>
                <w:rFonts w:ascii="Times New Roman" w:hAnsi="Times New Roman"/>
                <w:sz w:val="24"/>
                <w:szCs w:val="24"/>
              </w:rPr>
              <w:t xml:space="preserve"> no polises parakstītās prēmijas (piemēram, ja polises prēmija ir 10 000</w:t>
            </w:r>
            <w:r w:rsidRPr="00F95322">
              <w:rPr>
                <w:rFonts w:ascii="Times New Roman" w:hAnsi="Times New Roman"/>
                <w:i/>
                <w:iCs/>
                <w:sz w:val="24"/>
                <w:szCs w:val="24"/>
              </w:rPr>
              <w:t xml:space="preserve"> euro</w:t>
            </w:r>
            <w:r w:rsidRPr="00F95322">
              <w:rPr>
                <w:rFonts w:ascii="Times New Roman" w:hAnsi="Times New Roman"/>
                <w:sz w:val="24"/>
                <w:szCs w:val="24"/>
              </w:rPr>
              <w:t>, tad atlīdzības limits nedrīkst būt mazāks par 20 000 </w:t>
            </w:r>
            <w:r w:rsidRPr="00F95322">
              <w:rPr>
                <w:rFonts w:ascii="Times New Roman" w:hAnsi="Times New Roman"/>
                <w:i/>
                <w:iCs/>
                <w:sz w:val="24"/>
                <w:szCs w:val="24"/>
              </w:rPr>
              <w:t>euro</w:t>
            </w:r>
            <w:r w:rsidRPr="00F95322">
              <w:rPr>
                <w:rFonts w:ascii="Times New Roman" w:hAnsi="Times New Roman"/>
                <w:sz w:val="24"/>
                <w:szCs w:val="24"/>
              </w:rPr>
              <w:t>). 10.7. apakšpunktā noteikts, ka pašrisku attiecībā uz polisē minētajiem risk</w:t>
            </w:r>
            <w:r>
              <w:rPr>
                <w:rFonts w:ascii="Times New Roman" w:hAnsi="Times New Roman"/>
                <w:sz w:val="24"/>
                <w:szCs w:val="24"/>
              </w:rPr>
              <w:t>a faktoriem</w:t>
            </w:r>
            <w:r w:rsidRPr="00F95322">
              <w:rPr>
                <w:rFonts w:ascii="Times New Roman" w:hAnsi="Times New Roman"/>
                <w:sz w:val="24"/>
                <w:szCs w:val="24"/>
              </w:rPr>
              <w:t xml:space="preserve"> (risk</w:t>
            </w:r>
            <w:r>
              <w:rPr>
                <w:rFonts w:ascii="Times New Roman" w:hAnsi="Times New Roman"/>
                <w:sz w:val="24"/>
                <w:szCs w:val="24"/>
              </w:rPr>
              <w:t>a faktoriem</w:t>
            </w:r>
            <w:r w:rsidRPr="00F95322">
              <w:rPr>
                <w:rFonts w:ascii="Times New Roman" w:hAnsi="Times New Roman"/>
                <w:sz w:val="24"/>
                <w:szCs w:val="24"/>
              </w:rPr>
              <w:t>, par kuru apdrošināšanu piešķir atbalstu) neietekmē tas, vai par polisē iekļaut</w:t>
            </w:r>
            <w:r>
              <w:rPr>
                <w:rFonts w:ascii="Times New Roman" w:hAnsi="Times New Roman"/>
                <w:sz w:val="24"/>
                <w:szCs w:val="24"/>
              </w:rPr>
              <w:t>o</w:t>
            </w:r>
            <w:r w:rsidRPr="00F95322">
              <w:rPr>
                <w:rFonts w:ascii="Times New Roman" w:hAnsi="Times New Roman"/>
                <w:sz w:val="24"/>
                <w:szCs w:val="24"/>
              </w:rPr>
              <w:t xml:space="preserve"> risk</w:t>
            </w:r>
            <w:r>
              <w:rPr>
                <w:rFonts w:ascii="Times New Roman" w:hAnsi="Times New Roman"/>
                <w:sz w:val="24"/>
                <w:szCs w:val="24"/>
              </w:rPr>
              <w:t>a faktoru</w:t>
            </w:r>
            <w:r w:rsidRPr="00F95322">
              <w:rPr>
                <w:rFonts w:ascii="Times New Roman" w:hAnsi="Times New Roman"/>
                <w:sz w:val="24"/>
                <w:szCs w:val="24"/>
              </w:rPr>
              <w:t xml:space="preserve"> </w:t>
            </w:r>
            <w:r>
              <w:rPr>
                <w:rFonts w:ascii="Times New Roman" w:hAnsi="Times New Roman"/>
                <w:sz w:val="24"/>
                <w:szCs w:val="24"/>
              </w:rPr>
              <w:t xml:space="preserve">iestāšanos </w:t>
            </w:r>
            <w:r w:rsidRPr="00F95322">
              <w:rPr>
                <w:rFonts w:ascii="Times New Roman" w:hAnsi="Times New Roman"/>
                <w:sz w:val="24"/>
                <w:szCs w:val="24"/>
              </w:rPr>
              <w:t>iepriekš ir saņemta atlīdzība. Minētie apakšpunkti noteikumos Nr. 492 i</w:t>
            </w:r>
            <w:r>
              <w:rPr>
                <w:rFonts w:ascii="Times New Roman" w:hAnsi="Times New Roman"/>
                <w:sz w:val="24"/>
                <w:szCs w:val="24"/>
              </w:rPr>
              <w:t>r ietver</w:t>
            </w:r>
            <w:r w:rsidRPr="00F95322">
              <w:rPr>
                <w:rFonts w:ascii="Times New Roman" w:hAnsi="Times New Roman"/>
                <w:sz w:val="24"/>
                <w:szCs w:val="24"/>
              </w:rPr>
              <w:t>ti, lai novērstu atsevišķu apdrošināšanas pakalpojumu sniedzēju (turpmāk</w:t>
            </w:r>
            <w:r w:rsidR="002F0492">
              <w:rPr>
                <w:rFonts w:ascii="Times New Roman" w:hAnsi="Times New Roman"/>
                <w:sz w:val="24"/>
                <w:szCs w:val="24"/>
              </w:rPr>
              <w:t> </w:t>
            </w:r>
            <w:r w:rsidRPr="00F95322">
              <w:rPr>
                <w:rFonts w:ascii="Times New Roman" w:hAnsi="Times New Roman"/>
                <w:sz w:val="24"/>
                <w:szCs w:val="24"/>
              </w:rPr>
              <w:t>– apdrošinātāj</w:t>
            </w:r>
            <w:r w:rsidR="002F0492">
              <w:rPr>
                <w:rFonts w:ascii="Times New Roman" w:hAnsi="Times New Roman"/>
                <w:sz w:val="24"/>
                <w:szCs w:val="24"/>
              </w:rPr>
              <w:t>s</w:t>
            </w:r>
            <w:r w:rsidRPr="00F95322">
              <w:rPr>
                <w:rFonts w:ascii="Times New Roman" w:hAnsi="Times New Roman"/>
                <w:sz w:val="24"/>
                <w:szCs w:val="24"/>
              </w:rPr>
              <w:t>) un lauksaimnieku negodīgu rīcību (īpaši attiecībā uz lauksaimniecības dzīvnieku apdrošināšanu), nosakot zemus atlīdzību limitus, kā arī mainīgu pašrisku katrā nākamajā atlīdzības gadījumā (tādējādi arī ar pašrisku limitējot izmaksājamo atlīdzību). Rezultātā lauksaimniekam ir iespēja saņemt tikai nelielu atlīdzības daļu salīdzin</w:t>
            </w:r>
            <w:r>
              <w:rPr>
                <w:rFonts w:ascii="Times New Roman" w:hAnsi="Times New Roman"/>
                <w:sz w:val="24"/>
                <w:szCs w:val="24"/>
              </w:rPr>
              <w:t>ājumā</w:t>
            </w:r>
            <w:r w:rsidRPr="00F95322">
              <w:rPr>
                <w:rFonts w:ascii="Times New Roman" w:hAnsi="Times New Roman"/>
                <w:sz w:val="24"/>
                <w:szCs w:val="24"/>
              </w:rPr>
              <w:t xml:space="preserve"> ar iemaksāto apdrošināšanas prēmiju. Tomēr, </w:t>
            </w:r>
            <w:r>
              <w:rPr>
                <w:rFonts w:ascii="Times New Roman" w:hAnsi="Times New Roman"/>
                <w:sz w:val="24"/>
                <w:szCs w:val="24"/>
              </w:rPr>
              <w:t>ie</w:t>
            </w:r>
            <w:r w:rsidRPr="00F95322">
              <w:rPr>
                <w:rFonts w:ascii="Times New Roman" w:hAnsi="Times New Roman"/>
                <w:sz w:val="24"/>
                <w:szCs w:val="24"/>
              </w:rPr>
              <w:t>vēr</w:t>
            </w:r>
            <w:r>
              <w:rPr>
                <w:rFonts w:ascii="Times New Roman" w:hAnsi="Times New Roman"/>
                <w:sz w:val="24"/>
                <w:szCs w:val="24"/>
              </w:rPr>
              <w:t>ojot</w:t>
            </w:r>
            <w:r w:rsidRPr="00F95322">
              <w:rPr>
                <w:rFonts w:ascii="Times New Roman" w:hAnsi="Times New Roman"/>
                <w:sz w:val="24"/>
                <w:szCs w:val="24"/>
              </w:rPr>
              <w:t xml:space="preserve"> pieejamo atbalstu par apdrošināšanas polises iegādi, kā arī iespēju saņemt apdrošināšanas atlīdzību, tas lauksaimniekam ir izdevīgi, kamēr vien nav lielu zaudējumu. Arī apdrošinātājam tas ir izdevīgi, jo nav jāuzņemas risks (lauksaimniekam atlīdzībās izmaksājamā summa ir limitēta, nepārsniedzot prēmijā saņemto summu)</w:t>
            </w:r>
            <w:r>
              <w:rPr>
                <w:rFonts w:ascii="Times New Roman" w:hAnsi="Times New Roman"/>
                <w:sz w:val="24"/>
                <w:szCs w:val="24"/>
              </w:rPr>
              <w:t>, taču</w:t>
            </w:r>
            <w:r w:rsidRPr="00F95322">
              <w:rPr>
                <w:rFonts w:ascii="Times New Roman" w:hAnsi="Times New Roman"/>
                <w:sz w:val="24"/>
                <w:szCs w:val="24"/>
              </w:rPr>
              <w:t xml:space="preserve"> tas ir pretrunā ar apdrošināšanas mērķi, jo apdrošināšana ir riska nodošana (lai riskam pakļauts būtu gan lauksaimnieks</w:t>
            </w:r>
            <w:r>
              <w:rPr>
                <w:rFonts w:ascii="Times New Roman" w:hAnsi="Times New Roman"/>
                <w:sz w:val="24"/>
                <w:szCs w:val="24"/>
              </w:rPr>
              <w:t>,</w:t>
            </w:r>
            <w:r w:rsidRPr="00F95322">
              <w:rPr>
                <w:rFonts w:ascii="Times New Roman" w:hAnsi="Times New Roman"/>
                <w:sz w:val="24"/>
                <w:szCs w:val="24"/>
              </w:rPr>
              <w:t xml:space="preserve"> gan apdrošinātājs). Tāpat tas ir pretrunā ar apdrošināšanas polišu iegādes atbalsta mērķi – pasargāt lauksaimnieku no liela apmēra zaudējumiem (iestājoties liela apmēra zaudējumiem, lauksaimnieks saņem niecīgu finansējumu un nav pasargāts no bankrota riska). </w:t>
            </w:r>
          </w:p>
          <w:p w14:paraId="073B3E06" w14:textId="72B8BD97" w:rsidR="002F0492" w:rsidRPr="00F95322" w:rsidRDefault="00845392" w:rsidP="000B04D5">
            <w:pPr>
              <w:pStyle w:val="Body"/>
              <w:tabs>
                <w:tab w:val="left" w:pos="142"/>
                <w:tab w:val="left" w:pos="677"/>
              </w:tabs>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Lai Lauku atbalsta dienests varētu pārliecināties</w:t>
            </w:r>
            <w:r w:rsidR="002F0492">
              <w:rPr>
                <w:rFonts w:ascii="Times New Roman" w:hAnsi="Times New Roman"/>
                <w:sz w:val="24"/>
                <w:szCs w:val="24"/>
              </w:rPr>
              <w:t xml:space="preserve"> par to</w:t>
            </w:r>
            <w:r w:rsidRPr="00F95322">
              <w:rPr>
                <w:rFonts w:ascii="Times New Roman" w:hAnsi="Times New Roman"/>
                <w:sz w:val="24"/>
                <w:szCs w:val="24"/>
              </w:rPr>
              <w:t>, ka ievēroti 10.6. un 10.7. apakšpunkt</w:t>
            </w:r>
            <w:r>
              <w:rPr>
                <w:rFonts w:ascii="Times New Roman" w:hAnsi="Times New Roman"/>
                <w:sz w:val="24"/>
                <w:szCs w:val="24"/>
              </w:rPr>
              <w:t>ā</w:t>
            </w:r>
            <w:r w:rsidRPr="00F95322">
              <w:rPr>
                <w:rFonts w:ascii="Times New Roman" w:hAnsi="Times New Roman"/>
                <w:sz w:val="24"/>
                <w:szCs w:val="24"/>
              </w:rPr>
              <w:t xml:space="preserve"> noteiktie nosacījumi, noteikumi Nr. 492 </w:t>
            </w:r>
            <w:r>
              <w:rPr>
                <w:rFonts w:ascii="Times New Roman" w:hAnsi="Times New Roman"/>
                <w:sz w:val="24"/>
                <w:szCs w:val="24"/>
              </w:rPr>
              <w:t xml:space="preserve">ir </w:t>
            </w:r>
            <w:r w:rsidRPr="00F95322">
              <w:rPr>
                <w:rFonts w:ascii="Times New Roman" w:hAnsi="Times New Roman"/>
                <w:sz w:val="24"/>
                <w:szCs w:val="24"/>
              </w:rPr>
              <w:t>papildināti ar 14.4. apakšpunktu, kas paredz papildu dokumentu iesniegšanu Lauku atbalsta dienestā</w:t>
            </w:r>
            <w:r>
              <w:rPr>
                <w:rFonts w:ascii="Times New Roman" w:hAnsi="Times New Roman"/>
                <w:sz w:val="24"/>
                <w:szCs w:val="24"/>
              </w:rPr>
              <w:t>, t</w:t>
            </w:r>
            <w:r w:rsidRPr="00F95322">
              <w:rPr>
                <w:rFonts w:ascii="Times New Roman" w:hAnsi="Times New Roman"/>
                <w:sz w:val="24"/>
                <w:szCs w:val="24"/>
              </w:rPr>
              <w:t>omēr regulējuma mērķis nav radīt apdrošinātājiem papildu administratīvo slogu. Šie dokumenti jāiesniedz tikai gadījumos, kad ir noteikti atlīdzību limiti, kā arī mainīg</w:t>
            </w:r>
            <w:r>
              <w:rPr>
                <w:rFonts w:ascii="Times New Roman" w:hAnsi="Times New Roman"/>
                <w:sz w:val="24"/>
                <w:szCs w:val="24"/>
              </w:rPr>
              <w:t>s</w:t>
            </w:r>
            <w:r w:rsidRPr="00F95322">
              <w:rPr>
                <w:rFonts w:ascii="Times New Roman" w:hAnsi="Times New Roman"/>
                <w:sz w:val="24"/>
                <w:szCs w:val="24"/>
              </w:rPr>
              <w:t xml:space="preserve"> pašrisk</w:t>
            </w:r>
            <w:r>
              <w:rPr>
                <w:rFonts w:ascii="Times New Roman" w:hAnsi="Times New Roman"/>
                <w:sz w:val="24"/>
                <w:szCs w:val="24"/>
              </w:rPr>
              <w:t>s</w:t>
            </w:r>
            <w:r w:rsidRPr="00F95322">
              <w:rPr>
                <w:rFonts w:ascii="Times New Roman" w:hAnsi="Times New Roman"/>
                <w:sz w:val="24"/>
                <w:szCs w:val="24"/>
              </w:rPr>
              <w:t>.</w:t>
            </w:r>
          </w:p>
          <w:p w14:paraId="49723EF8" w14:textId="344E51DA" w:rsidR="00845392" w:rsidRPr="00F95322" w:rsidRDefault="00845392" w:rsidP="000B04D5">
            <w:pPr>
              <w:pStyle w:val="Body"/>
              <w:tabs>
                <w:tab w:val="left" w:pos="142"/>
                <w:tab w:val="left" w:pos="677"/>
              </w:tabs>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 xml:space="preserve">Noteikumi Nr. 492 </w:t>
            </w:r>
            <w:r>
              <w:rPr>
                <w:rFonts w:ascii="Times New Roman" w:hAnsi="Times New Roman"/>
                <w:sz w:val="24"/>
                <w:szCs w:val="24"/>
              </w:rPr>
              <w:t xml:space="preserve">ir </w:t>
            </w:r>
            <w:r w:rsidRPr="00F95322">
              <w:rPr>
                <w:rFonts w:ascii="Times New Roman" w:hAnsi="Times New Roman"/>
                <w:sz w:val="24"/>
                <w:szCs w:val="24"/>
              </w:rPr>
              <w:t>papildināti ar 12.</w:t>
            </w:r>
            <w:r w:rsidRPr="00F95322">
              <w:rPr>
                <w:rFonts w:ascii="Times New Roman" w:hAnsi="Times New Roman"/>
                <w:sz w:val="24"/>
                <w:szCs w:val="24"/>
                <w:vertAlign w:val="superscript"/>
              </w:rPr>
              <w:t>1</w:t>
            </w:r>
            <w:r w:rsidRPr="00F95322">
              <w:rPr>
                <w:rFonts w:ascii="Times New Roman" w:hAnsi="Times New Roman"/>
                <w:sz w:val="24"/>
                <w:szCs w:val="24"/>
              </w:rPr>
              <w:t xml:space="preserve"> punktu, kas paredz atbalsta proporcionālu samazinājumu gadījumos, kad dzīvnieki </w:t>
            </w:r>
            <w:r w:rsidR="002F0492">
              <w:rPr>
                <w:rFonts w:ascii="Times New Roman" w:hAnsi="Times New Roman"/>
                <w:sz w:val="24"/>
                <w:szCs w:val="24"/>
              </w:rPr>
              <w:t>ap</w:t>
            </w:r>
            <w:r w:rsidRPr="00F95322">
              <w:rPr>
                <w:rFonts w:ascii="Times New Roman" w:hAnsi="Times New Roman"/>
                <w:sz w:val="24"/>
                <w:szCs w:val="24"/>
              </w:rPr>
              <w:t>drošināti uz periodu</w:t>
            </w:r>
            <w:r>
              <w:rPr>
                <w:rFonts w:ascii="Times New Roman" w:hAnsi="Times New Roman"/>
                <w:sz w:val="24"/>
                <w:szCs w:val="24"/>
              </w:rPr>
              <w:t>, kas ir</w:t>
            </w:r>
            <w:r w:rsidRPr="00F95322">
              <w:rPr>
                <w:rFonts w:ascii="Times New Roman" w:hAnsi="Times New Roman"/>
                <w:sz w:val="24"/>
                <w:szCs w:val="24"/>
              </w:rPr>
              <w:t xml:space="preserve"> īsāk</w:t>
            </w:r>
            <w:r>
              <w:rPr>
                <w:rFonts w:ascii="Times New Roman" w:hAnsi="Times New Roman"/>
                <w:sz w:val="24"/>
                <w:szCs w:val="24"/>
              </w:rPr>
              <w:t>s par</w:t>
            </w:r>
            <w:r w:rsidRPr="00F95322">
              <w:rPr>
                <w:rFonts w:ascii="Times New Roman" w:hAnsi="Times New Roman"/>
                <w:sz w:val="24"/>
                <w:szCs w:val="24"/>
              </w:rPr>
              <w:t xml:space="preserve"> vien</w:t>
            </w:r>
            <w:r>
              <w:rPr>
                <w:rFonts w:ascii="Times New Roman" w:hAnsi="Times New Roman"/>
                <w:sz w:val="24"/>
                <w:szCs w:val="24"/>
              </w:rPr>
              <w:t>u</w:t>
            </w:r>
            <w:r w:rsidRPr="00F95322">
              <w:rPr>
                <w:rFonts w:ascii="Times New Roman" w:hAnsi="Times New Roman"/>
                <w:sz w:val="24"/>
                <w:szCs w:val="24"/>
              </w:rPr>
              <w:t xml:space="preserve"> gad</w:t>
            </w:r>
            <w:r>
              <w:rPr>
                <w:rFonts w:ascii="Times New Roman" w:hAnsi="Times New Roman"/>
                <w:sz w:val="24"/>
                <w:szCs w:val="24"/>
              </w:rPr>
              <w:t>u</w:t>
            </w:r>
            <w:r w:rsidRPr="00F95322">
              <w:rPr>
                <w:rFonts w:ascii="Times New Roman" w:hAnsi="Times New Roman"/>
                <w:sz w:val="24"/>
                <w:szCs w:val="24"/>
              </w:rPr>
              <w:t>. Šāda norma paredzēta tādēļ, ka atbalsta mērķis ir nodrošināt nepārtrauktu risk</w:t>
            </w:r>
            <w:r>
              <w:rPr>
                <w:rFonts w:ascii="Times New Roman" w:hAnsi="Times New Roman"/>
                <w:sz w:val="24"/>
                <w:szCs w:val="24"/>
              </w:rPr>
              <w:t>u</w:t>
            </w:r>
            <w:r w:rsidRPr="00F95322">
              <w:rPr>
                <w:rFonts w:ascii="Times New Roman" w:hAnsi="Times New Roman"/>
                <w:sz w:val="24"/>
                <w:szCs w:val="24"/>
              </w:rPr>
              <w:t xml:space="preserve"> pārvaldību saimniecībās un paredzēto atbalstu polisei</w:t>
            </w:r>
            <w:r>
              <w:rPr>
                <w:rFonts w:ascii="Times New Roman" w:hAnsi="Times New Roman"/>
                <w:sz w:val="24"/>
                <w:szCs w:val="24"/>
              </w:rPr>
              <w:t> –</w:t>
            </w:r>
            <w:r w:rsidRPr="00F95322">
              <w:rPr>
                <w:rFonts w:ascii="Times New Roman" w:hAnsi="Times New Roman"/>
                <w:sz w:val="24"/>
                <w:szCs w:val="24"/>
              </w:rPr>
              <w:t xml:space="preserve"> 50 </w:t>
            </w:r>
            <w:r w:rsidRPr="00F95322">
              <w:rPr>
                <w:rFonts w:ascii="Times New Roman" w:hAnsi="Times New Roman"/>
                <w:i/>
                <w:iCs/>
                <w:sz w:val="24"/>
                <w:szCs w:val="24"/>
              </w:rPr>
              <w:t xml:space="preserve">euro </w:t>
            </w:r>
            <w:r w:rsidRPr="00F95322">
              <w:rPr>
                <w:rFonts w:ascii="Times New Roman" w:hAnsi="Times New Roman"/>
                <w:sz w:val="24"/>
                <w:szCs w:val="24"/>
              </w:rPr>
              <w:t>par liellopu vienību gadā</w:t>
            </w:r>
            <w:r>
              <w:rPr>
                <w:rFonts w:ascii="Times New Roman" w:hAnsi="Times New Roman"/>
                <w:sz w:val="24"/>
                <w:szCs w:val="24"/>
              </w:rPr>
              <w:t> –</w:t>
            </w:r>
            <w:r w:rsidRPr="00F95322">
              <w:rPr>
                <w:rFonts w:ascii="Times New Roman" w:hAnsi="Times New Roman"/>
                <w:sz w:val="24"/>
                <w:szCs w:val="24"/>
              </w:rPr>
              <w:t xml:space="preserve"> un nav lietderīgi izmaksāt pilnu atbalsta summu par polisēm, kas noslēgtas, piemēram, tikai uz pusgadu. Par šādām polisēm tāpat pienāksies atbalsts, bet tas būs proporcionāli mazāks. Par polisi</w:t>
            </w:r>
            <w:r>
              <w:rPr>
                <w:rFonts w:ascii="Times New Roman" w:hAnsi="Times New Roman"/>
                <w:sz w:val="24"/>
                <w:szCs w:val="24"/>
              </w:rPr>
              <w:t>, kas noslēgta uz</w:t>
            </w:r>
            <w:r w:rsidRPr="00F95322">
              <w:rPr>
                <w:rFonts w:ascii="Times New Roman" w:hAnsi="Times New Roman"/>
                <w:sz w:val="24"/>
                <w:szCs w:val="24"/>
              </w:rPr>
              <w:t xml:space="preserve"> pusgadu</w:t>
            </w:r>
            <w:r>
              <w:rPr>
                <w:rFonts w:ascii="Times New Roman" w:hAnsi="Times New Roman"/>
                <w:sz w:val="24"/>
                <w:szCs w:val="24"/>
              </w:rPr>
              <w:t>,</w:t>
            </w:r>
            <w:r w:rsidRPr="00F95322">
              <w:rPr>
                <w:rFonts w:ascii="Times New Roman" w:hAnsi="Times New Roman"/>
                <w:sz w:val="24"/>
                <w:szCs w:val="24"/>
              </w:rPr>
              <w:t xml:space="preserve"> pienāksies 25 </w:t>
            </w:r>
            <w:r w:rsidRPr="00F95322">
              <w:rPr>
                <w:rFonts w:ascii="Times New Roman" w:hAnsi="Times New Roman"/>
                <w:i/>
                <w:iCs/>
                <w:sz w:val="24"/>
                <w:szCs w:val="24"/>
              </w:rPr>
              <w:t>euro</w:t>
            </w:r>
            <w:r w:rsidRPr="00F95322">
              <w:rPr>
                <w:rFonts w:ascii="Times New Roman" w:hAnsi="Times New Roman"/>
                <w:sz w:val="24"/>
                <w:szCs w:val="24"/>
              </w:rPr>
              <w:t xml:space="preserve"> atbalsts par vienu liellopu vienību.</w:t>
            </w:r>
          </w:p>
          <w:p w14:paraId="3EE6994B" w14:textId="77777777" w:rsidR="00845392" w:rsidRPr="00F95322" w:rsidRDefault="00845392" w:rsidP="002F0492">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lastRenderedPageBreak/>
              <w:t>Lauku atbalsta dienests maksimālā atbalsta summas proporcionālo samazinājumu šādā gadījumā rēķinās pēc formulas:</w:t>
            </w:r>
          </w:p>
          <w:p w14:paraId="2F93ACFC" w14:textId="77777777" w:rsidR="00845392" w:rsidRPr="00F95322" w:rsidRDefault="00845392" w:rsidP="002F0492">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 xml:space="preserve">A = Da : Dg x 50, </w:t>
            </w:r>
          </w:p>
          <w:p w14:paraId="4F60181D" w14:textId="77777777" w:rsidR="00845392" w:rsidRPr="00F95322" w:rsidRDefault="00845392" w:rsidP="002F0492">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kur:</w:t>
            </w:r>
          </w:p>
          <w:p w14:paraId="3489DED6" w14:textId="77777777" w:rsidR="00845392" w:rsidRPr="00F95322" w:rsidRDefault="00845392" w:rsidP="002F0492">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 xml:space="preserve">A </w:t>
            </w:r>
            <w:r>
              <w:rPr>
                <w:rFonts w:ascii="Times New Roman" w:hAnsi="Times New Roman"/>
                <w:sz w:val="24"/>
                <w:szCs w:val="24"/>
              </w:rPr>
              <w:t>–</w:t>
            </w:r>
            <w:r w:rsidRPr="00F95322">
              <w:rPr>
                <w:rFonts w:ascii="Times New Roman" w:hAnsi="Times New Roman"/>
                <w:sz w:val="24"/>
                <w:szCs w:val="24"/>
              </w:rPr>
              <w:t xml:space="preserve"> maksimālā atbalsta summa par liellopa vienību attiecīgajā periodā;</w:t>
            </w:r>
          </w:p>
          <w:p w14:paraId="28368A77" w14:textId="77777777" w:rsidR="00845392" w:rsidRPr="00F95322" w:rsidRDefault="00845392" w:rsidP="002F0492">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Da – apdrošināšanas perioda dienu skaits;</w:t>
            </w:r>
          </w:p>
          <w:p w14:paraId="4F6ABF16" w14:textId="77777777" w:rsidR="00845392" w:rsidRPr="00F95322" w:rsidRDefault="00845392" w:rsidP="002F0492">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Dg – dienu skaits attiecīgajā gadā (365 vai 366).</w:t>
            </w:r>
          </w:p>
          <w:p w14:paraId="4D319040" w14:textId="77777777" w:rsidR="00845392" w:rsidRPr="00F95322" w:rsidRDefault="00845392" w:rsidP="002F0492">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 xml:space="preserve">Precizēts noteikumu Nr. 492 14.1. apakšpunkts, nosakot, ka brīdī, kad lauksaimnieks piesakās uz atbalstu, polisei ir jābūt spēkā esošai. Tas </w:t>
            </w:r>
            <w:r>
              <w:rPr>
                <w:rFonts w:ascii="Times New Roman" w:hAnsi="Times New Roman"/>
                <w:sz w:val="24"/>
                <w:szCs w:val="24"/>
              </w:rPr>
              <w:t>nepieciešams</w:t>
            </w:r>
            <w:r w:rsidRPr="00F95322">
              <w:rPr>
                <w:rFonts w:ascii="Times New Roman" w:hAnsi="Times New Roman"/>
                <w:sz w:val="24"/>
                <w:szCs w:val="24"/>
              </w:rPr>
              <w:t xml:space="preserve"> tāpēc, lai sekmīgi varētu plānot atbalstam paredzētā finansējuma </w:t>
            </w:r>
            <w:r>
              <w:rPr>
                <w:rFonts w:ascii="Times New Roman" w:hAnsi="Times New Roman"/>
                <w:sz w:val="24"/>
                <w:szCs w:val="24"/>
              </w:rPr>
              <w:t>izlietojumu</w:t>
            </w:r>
            <w:r w:rsidRPr="00F95322">
              <w:rPr>
                <w:rFonts w:ascii="Times New Roman" w:hAnsi="Times New Roman"/>
                <w:sz w:val="24"/>
                <w:szCs w:val="24"/>
              </w:rPr>
              <w:t>. Šādu prasību Lauku atbalsta dienests ir piemērojis arī līdz šim.</w:t>
            </w:r>
          </w:p>
          <w:p w14:paraId="0177B840" w14:textId="77777777" w:rsidR="00845392" w:rsidRPr="00F95322" w:rsidRDefault="00845392" w:rsidP="002F0492">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Noteikum</w:t>
            </w:r>
            <w:r>
              <w:rPr>
                <w:rFonts w:ascii="Times New Roman" w:hAnsi="Times New Roman"/>
                <w:sz w:val="24"/>
                <w:szCs w:val="24"/>
              </w:rPr>
              <w:t>u</w:t>
            </w:r>
            <w:r w:rsidRPr="00F95322">
              <w:rPr>
                <w:rFonts w:ascii="Times New Roman" w:hAnsi="Times New Roman"/>
                <w:sz w:val="24"/>
                <w:szCs w:val="24"/>
              </w:rPr>
              <w:t xml:space="preserve"> Nr. 492 14.</w:t>
            </w:r>
            <w:r w:rsidRPr="00F95322">
              <w:rPr>
                <w:rFonts w:ascii="Times New Roman" w:hAnsi="Times New Roman"/>
                <w:sz w:val="24"/>
                <w:szCs w:val="24"/>
                <w:vertAlign w:val="superscript"/>
              </w:rPr>
              <w:t>1</w:t>
            </w:r>
            <w:r w:rsidRPr="00F95322">
              <w:rPr>
                <w:rFonts w:ascii="Times New Roman" w:hAnsi="Times New Roman"/>
                <w:sz w:val="24"/>
                <w:szCs w:val="24"/>
              </w:rPr>
              <w:t xml:space="preserve"> punktā paredzēta iespēja, ka atbalsta pretendents </w:t>
            </w:r>
            <w:r>
              <w:rPr>
                <w:rFonts w:ascii="Times New Roman" w:hAnsi="Times New Roman"/>
                <w:sz w:val="24"/>
                <w:szCs w:val="24"/>
              </w:rPr>
              <w:t xml:space="preserve">par </w:t>
            </w:r>
            <w:r w:rsidRPr="00F95322">
              <w:rPr>
                <w:rFonts w:ascii="Times New Roman" w:hAnsi="Times New Roman"/>
                <w:sz w:val="24"/>
                <w:szCs w:val="24"/>
              </w:rPr>
              <w:t xml:space="preserve">apdrošinātājam apdrošināšanas polisi var </w:t>
            </w:r>
            <w:r>
              <w:rPr>
                <w:rFonts w:ascii="Times New Roman" w:hAnsi="Times New Roman"/>
                <w:sz w:val="24"/>
                <w:szCs w:val="24"/>
              </w:rPr>
              <w:t>sa</w:t>
            </w:r>
            <w:r w:rsidRPr="00F95322">
              <w:rPr>
                <w:rFonts w:ascii="Times New Roman" w:hAnsi="Times New Roman"/>
                <w:sz w:val="24"/>
                <w:szCs w:val="24"/>
              </w:rPr>
              <w:t>maksāt vairākos maksājumos</w:t>
            </w:r>
            <w:r>
              <w:rPr>
                <w:rFonts w:ascii="Times New Roman" w:hAnsi="Times New Roman"/>
                <w:sz w:val="24"/>
                <w:szCs w:val="24"/>
              </w:rPr>
              <w:t>, t</w:t>
            </w:r>
            <w:r w:rsidRPr="00F95322">
              <w:rPr>
                <w:rFonts w:ascii="Times New Roman" w:hAnsi="Times New Roman"/>
                <w:sz w:val="24"/>
                <w:szCs w:val="24"/>
              </w:rPr>
              <w:t>omēr, lai Lauku atbalsta dienests varētu pareiz</w:t>
            </w:r>
            <w:r>
              <w:rPr>
                <w:rFonts w:ascii="Times New Roman" w:hAnsi="Times New Roman"/>
                <w:sz w:val="24"/>
                <w:szCs w:val="24"/>
              </w:rPr>
              <w:t>i aprēķināt</w:t>
            </w:r>
            <w:r w:rsidRPr="00F95322">
              <w:rPr>
                <w:rFonts w:ascii="Times New Roman" w:hAnsi="Times New Roman"/>
                <w:sz w:val="24"/>
                <w:szCs w:val="24"/>
              </w:rPr>
              <w:t xml:space="preserve"> atbalsta apmēru, ir svarīgi, </w:t>
            </w:r>
            <w:r>
              <w:rPr>
                <w:rFonts w:ascii="Times New Roman" w:hAnsi="Times New Roman"/>
                <w:sz w:val="24"/>
                <w:szCs w:val="24"/>
              </w:rPr>
              <w:t>lai</w:t>
            </w:r>
            <w:r w:rsidRPr="00F95322">
              <w:rPr>
                <w:rFonts w:ascii="Times New Roman" w:hAnsi="Times New Roman"/>
                <w:sz w:val="24"/>
                <w:szCs w:val="24"/>
              </w:rPr>
              <w:t xml:space="preserve"> līdz attiecīgās kārtas pēdējai dienai </w:t>
            </w:r>
            <w:r>
              <w:rPr>
                <w:rFonts w:ascii="Times New Roman" w:hAnsi="Times New Roman"/>
                <w:sz w:val="24"/>
                <w:szCs w:val="24"/>
              </w:rPr>
              <w:t xml:space="preserve">par </w:t>
            </w:r>
            <w:r w:rsidRPr="00F95322">
              <w:rPr>
                <w:rFonts w:ascii="Times New Roman" w:hAnsi="Times New Roman"/>
                <w:sz w:val="24"/>
                <w:szCs w:val="24"/>
              </w:rPr>
              <w:t>apdrošināšanas polis</w:t>
            </w:r>
            <w:r>
              <w:rPr>
                <w:rFonts w:ascii="Times New Roman" w:hAnsi="Times New Roman"/>
                <w:sz w:val="24"/>
                <w:szCs w:val="24"/>
              </w:rPr>
              <w:t>i</w:t>
            </w:r>
            <w:r w:rsidRPr="00F95322">
              <w:rPr>
                <w:rFonts w:ascii="Times New Roman" w:hAnsi="Times New Roman"/>
                <w:sz w:val="24"/>
                <w:szCs w:val="24"/>
              </w:rPr>
              <w:t xml:space="preserve"> ir </w:t>
            </w:r>
            <w:r>
              <w:rPr>
                <w:rFonts w:ascii="Times New Roman" w:hAnsi="Times New Roman"/>
                <w:sz w:val="24"/>
                <w:szCs w:val="24"/>
              </w:rPr>
              <w:t>sa</w:t>
            </w:r>
            <w:r w:rsidRPr="00F95322">
              <w:rPr>
                <w:rFonts w:ascii="Times New Roman" w:hAnsi="Times New Roman"/>
                <w:sz w:val="24"/>
                <w:szCs w:val="24"/>
              </w:rPr>
              <w:t>maksā</w:t>
            </w:r>
            <w:r>
              <w:rPr>
                <w:rFonts w:ascii="Times New Roman" w:hAnsi="Times New Roman"/>
                <w:sz w:val="24"/>
                <w:szCs w:val="24"/>
              </w:rPr>
              <w:t>ts</w:t>
            </w:r>
            <w:r w:rsidRPr="00F95322">
              <w:rPr>
                <w:rFonts w:ascii="Times New Roman" w:hAnsi="Times New Roman"/>
                <w:sz w:val="24"/>
                <w:szCs w:val="24"/>
              </w:rPr>
              <w:t xml:space="preserve"> pilnībā. Attiecīgi papildināts noteikumu 14.</w:t>
            </w:r>
            <w:r w:rsidRPr="00F95322">
              <w:rPr>
                <w:rFonts w:ascii="Times New Roman" w:hAnsi="Times New Roman"/>
                <w:sz w:val="24"/>
                <w:szCs w:val="24"/>
                <w:vertAlign w:val="superscript"/>
              </w:rPr>
              <w:t>1</w:t>
            </w:r>
            <w:r w:rsidRPr="00F95322">
              <w:rPr>
                <w:rFonts w:ascii="Times New Roman" w:hAnsi="Times New Roman"/>
                <w:sz w:val="24"/>
                <w:szCs w:val="24"/>
              </w:rPr>
              <w:t xml:space="preserve"> punkts. </w:t>
            </w:r>
          </w:p>
          <w:p w14:paraId="68E43049" w14:textId="7981D321" w:rsidR="00845392" w:rsidRDefault="00845392" w:rsidP="002F0492">
            <w:pPr>
              <w:pStyle w:val="Body"/>
              <w:shd w:val="clear" w:color="auto" w:fill="FFFFFF"/>
              <w:spacing w:after="0" w:line="240" w:lineRule="auto"/>
              <w:jc w:val="both"/>
              <w:rPr>
                <w:rFonts w:ascii="Times New Roman" w:hAnsi="Times New Roman"/>
                <w:sz w:val="24"/>
                <w:szCs w:val="24"/>
              </w:rPr>
            </w:pPr>
            <w:r w:rsidRPr="00F95322">
              <w:rPr>
                <w:rFonts w:ascii="Times New Roman" w:hAnsi="Times New Roman"/>
                <w:sz w:val="24"/>
                <w:szCs w:val="24"/>
              </w:rPr>
              <w:t>Noteikumi Nr. 492 papildināti ar 14.</w:t>
            </w:r>
            <w:r w:rsidRPr="00F95322">
              <w:rPr>
                <w:rFonts w:ascii="Times New Roman" w:hAnsi="Times New Roman"/>
                <w:sz w:val="24"/>
                <w:szCs w:val="24"/>
                <w:vertAlign w:val="superscript"/>
              </w:rPr>
              <w:t>2</w:t>
            </w:r>
            <w:r w:rsidRPr="00F95322">
              <w:rPr>
                <w:rFonts w:ascii="Times New Roman" w:hAnsi="Times New Roman"/>
                <w:sz w:val="24"/>
                <w:szCs w:val="24"/>
              </w:rPr>
              <w:t xml:space="preserve"> punktu</w:t>
            </w:r>
            <w:r>
              <w:rPr>
                <w:rFonts w:ascii="Times New Roman" w:hAnsi="Times New Roman"/>
                <w:sz w:val="24"/>
                <w:szCs w:val="24"/>
              </w:rPr>
              <w:t>,</w:t>
            </w:r>
            <w:r w:rsidRPr="00F95322">
              <w:rPr>
                <w:rFonts w:ascii="Times New Roman" w:hAnsi="Times New Roman"/>
                <w:sz w:val="24"/>
                <w:szCs w:val="24"/>
              </w:rPr>
              <w:t xml:space="preserve"> nosakot </w:t>
            </w:r>
            <w:r>
              <w:rPr>
                <w:rFonts w:ascii="Times New Roman" w:hAnsi="Times New Roman"/>
                <w:sz w:val="24"/>
                <w:szCs w:val="24"/>
              </w:rPr>
              <w:t>pienākumu</w:t>
            </w:r>
            <w:r w:rsidRPr="00F95322">
              <w:rPr>
                <w:rFonts w:ascii="Times New Roman" w:hAnsi="Times New Roman"/>
                <w:sz w:val="24"/>
                <w:szCs w:val="24"/>
              </w:rPr>
              <w:t xml:space="preserve"> apdrošinātāj</w:t>
            </w:r>
            <w:r>
              <w:rPr>
                <w:rFonts w:ascii="Times New Roman" w:hAnsi="Times New Roman"/>
                <w:sz w:val="24"/>
                <w:szCs w:val="24"/>
              </w:rPr>
              <w:t>am</w:t>
            </w:r>
            <w:r w:rsidRPr="00F95322">
              <w:rPr>
                <w:rFonts w:ascii="Times New Roman" w:hAnsi="Times New Roman"/>
                <w:sz w:val="24"/>
                <w:szCs w:val="24"/>
              </w:rPr>
              <w:t xml:space="preserve"> informē</w:t>
            </w:r>
            <w:r w:rsidR="002F0492">
              <w:rPr>
                <w:rFonts w:ascii="Times New Roman" w:hAnsi="Times New Roman"/>
                <w:sz w:val="24"/>
                <w:szCs w:val="24"/>
              </w:rPr>
              <w:t>t</w:t>
            </w:r>
            <w:r w:rsidRPr="00F95322">
              <w:rPr>
                <w:rFonts w:ascii="Times New Roman" w:hAnsi="Times New Roman"/>
                <w:sz w:val="24"/>
                <w:szCs w:val="24"/>
              </w:rPr>
              <w:t xml:space="preserve"> Lauku atbalsta dienestu par gadījumiem, kad apdrošināšanas līgums </w:t>
            </w:r>
            <w:r>
              <w:rPr>
                <w:rFonts w:ascii="Times New Roman" w:hAnsi="Times New Roman"/>
                <w:sz w:val="24"/>
                <w:szCs w:val="24"/>
              </w:rPr>
              <w:t xml:space="preserve">ir </w:t>
            </w:r>
            <w:r w:rsidRPr="00F95322">
              <w:rPr>
                <w:rFonts w:ascii="Times New Roman" w:hAnsi="Times New Roman"/>
                <w:sz w:val="24"/>
                <w:szCs w:val="24"/>
              </w:rPr>
              <w:t>grozīts vai izbeigts</w:t>
            </w:r>
            <w:r>
              <w:rPr>
                <w:rFonts w:ascii="Times New Roman" w:hAnsi="Times New Roman"/>
                <w:sz w:val="24"/>
                <w:szCs w:val="24"/>
              </w:rPr>
              <w:t xml:space="preserve"> pirms termiņa un lauksaimniekam atmaksāta apdrošināšanas prēmija vai tās daļa</w:t>
            </w:r>
            <w:r w:rsidRPr="00F95322">
              <w:rPr>
                <w:rFonts w:ascii="Times New Roman" w:hAnsi="Times New Roman"/>
                <w:sz w:val="24"/>
                <w:szCs w:val="24"/>
              </w:rPr>
              <w:t xml:space="preserve">. Šāds regulējums paredzēts, lai novērstu nepamatotu atbalsta piešķiršanu. </w:t>
            </w:r>
            <w:r>
              <w:rPr>
                <w:rFonts w:ascii="Times New Roman" w:hAnsi="Times New Roman"/>
                <w:sz w:val="24"/>
                <w:szCs w:val="24"/>
              </w:rPr>
              <w:t>Ja saņemta informācija par grozītu vai izbeigtu apdrošināšanas</w:t>
            </w:r>
            <w:r w:rsidRPr="00F95322">
              <w:rPr>
                <w:rFonts w:ascii="Times New Roman" w:hAnsi="Times New Roman"/>
                <w:sz w:val="24"/>
                <w:szCs w:val="24"/>
              </w:rPr>
              <w:t xml:space="preserve"> </w:t>
            </w:r>
            <w:r>
              <w:rPr>
                <w:rFonts w:ascii="Times New Roman" w:hAnsi="Times New Roman"/>
                <w:sz w:val="24"/>
                <w:szCs w:val="24"/>
              </w:rPr>
              <w:t xml:space="preserve">līgumu, </w:t>
            </w:r>
            <w:r w:rsidRPr="00F95322">
              <w:rPr>
                <w:rFonts w:ascii="Times New Roman" w:hAnsi="Times New Roman"/>
                <w:sz w:val="24"/>
                <w:szCs w:val="24"/>
              </w:rPr>
              <w:t xml:space="preserve">Lauku atbalsta dienests pārrēķina </w:t>
            </w:r>
            <w:r>
              <w:rPr>
                <w:rFonts w:ascii="Times New Roman" w:hAnsi="Times New Roman"/>
                <w:sz w:val="24"/>
                <w:szCs w:val="24"/>
              </w:rPr>
              <w:t>saņēmējam</w:t>
            </w:r>
            <w:r w:rsidRPr="00F95322">
              <w:rPr>
                <w:rFonts w:ascii="Times New Roman" w:hAnsi="Times New Roman"/>
                <w:sz w:val="24"/>
                <w:szCs w:val="24"/>
              </w:rPr>
              <w:t xml:space="preserve"> pienākošos atbalsta summu un, ja atbalsts jau ir izmaksāts, atprasa </w:t>
            </w:r>
            <w:r>
              <w:rPr>
                <w:rFonts w:ascii="Times New Roman" w:hAnsi="Times New Roman"/>
                <w:sz w:val="24"/>
                <w:szCs w:val="24"/>
              </w:rPr>
              <w:t>viņam</w:t>
            </w:r>
            <w:r w:rsidRPr="00F95322">
              <w:rPr>
                <w:rFonts w:ascii="Times New Roman" w:hAnsi="Times New Roman"/>
                <w:sz w:val="24"/>
                <w:szCs w:val="24"/>
              </w:rPr>
              <w:t xml:space="preserve"> atmaksāt pārmaksāto atbalstu</w:t>
            </w:r>
            <w:r>
              <w:rPr>
                <w:rFonts w:ascii="Times New Roman" w:hAnsi="Times New Roman"/>
                <w:sz w:val="24"/>
                <w:szCs w:val="24"/>
              </w:rPr>
              <w:t>, kā tas noteikts 14.</w:t>
            </w:r>
            <w:r w:rsidRPr="007B4047">
              <w:rPr>
                <w:rFonts w:ascii="Times New Roman" w:hAnsi="Times New Roman"/>
                <w:sz w:val="24"/>
                <w:szCs w:val="24"/>
                <w:vertAlign w:val="superscript"/>
              </w:rPr>
              <w:t xml:space="preserve">3 </w:t>
            </w:r>
            <w:r>
              <w:rPr>
                <w:rFonts w:ascii="Times New Roman" w:hAnsi="Times New Roman"/>
                <w:sz w:val="24"/>
                <w:szCs w:val="24"/>
              </w:rPr>
              <w:t>punktā.</w:t>
            </w:r>
          </w:p>
          <w:p w14:paraId="137585CA" w14:textId="151D53D7" w:rsidR="00845392" w:rsidRPr="00F95322" w:rsidRDefault="00845392" w:rsidP="002F0492">
            <w:pPr>
              <w:pStyle w:val="Body"/>
              <w:spacing w:after="0" w:line="240" w:lineRule="auto"/>
              <w:jc w:val="both"/>
              <w:rPr>
                <w:rFonts w:ascii="Times New Roman" w:hAnsi="Times New Roman"/>
                <w:sz w:val="24"/>
                <w:szCs w:val="24"/>
              </w:rPr>
            </w:pPr>
            <w:r w:rsidRPr="00F95322">
              <w:rPr>
                <w:rFonts w:ascii="Times New Roman" w:hAnsi="Times New Roman"/>
                <w:sz w:val="24"/>
                <w:szCs w:val="24"/>
              </w:rPr>
              <w:t>Lai atbalstu saņemtu arī tie pretendenti, kas apdrošināšanas polises iegādājušies pirms noteikumu projekta spēkā stāšanās, noslēguma jautājumi papildināti ar 23. punktu.</w:t>
            </w:r>
          </w:p>
        </w:tc>
      </w:tr>
      <w:tr w:rsidR="00845392" w:rsidRPr="00F95322" w14:paraId="013FADF8" w14:textId="77777777" w:rsidTr="00301201">
        <w:trPr>
          <w:trHeight w:val="905"/>
        </w:trPr>
        <w:tc>
          <w:tcPr>
            <w:tcW w:w="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624781" w14:textId="77777777" w:rsidR="00845392" w:rsidRPr="00F95322" w:rsidRDefault="00845392" w:rsidP="00845392">
            <w:pPr>
              <w:pStyle w:val="Body"/>
              <w:spacing w:after="0" w:line="240" w:lineRule="auto"/>
            </w:pPr>
            <w:r w:rsidRPr="00F95322">
              <w:rPr>
                <w:rFonts w:ascii="Times New Roman" w:hAnsi="Times New Roman"/>
                <w:sz w:val="24"/>
                <w:szCs w:val="24"/>
              </w:rPr>
              <w:lastRenderedPageBreak/>
              <w:t>3.</w:t>
            </w:r>
          </w:p>
        </w:tc>
        <w:tc>
          <w:tcPr>
            <w:tcW w:w="2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5DE4B8" w14:textId="77777777" w:rsidR="00845392" w:rsidRPr="00F95322" w:rsidRDefault="00845392" w:rsidP="00845392">
            <w:pPr>
              <w:pStyle w:val="Body"/>
              <w:spacing w:after="0" w:line="240" w:lineRule="auto"/>
            </w:pPr>
            <w:r w:rsidRPr="00F95322">
              <w:rPr>
                <w:rFonts w:ascii="Times New Roman" w:hAnsi="Times New Roman"/>
                <w:sz w:val="24"/>
                <w:szCs w:val="24"/>
              </w:rPr>
              <w:t>Projekta izstrādē iesaistītās institūcijas un publiskas personas kapitālsabiedrības</w:t>
            </w:r>
          </w:p>
        </w:tc>
        <w:tc>
          <w:tcPr>
            <w:tcW w:w="57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1C6446" w14:textId="77777777" w:rsidR="00845392" w:rsidRPr="00F95322" w:rsidRDefault="00845392" w:rsidP="00845392">
            <w:pPr>
              <w:pStyle w:val="Body"/>
              <w:spacing w:after="0" w:line="240" w:lineRule="auto"/>
            </w:pPr>
            <w:r w:rsidRPr="00F95322">
              <w:rPr>
                <w:rFonts w:ascii="Times New Roman" w:hAnsi="Times New Roman"/>
                <w:sz w:val="24"/>
                <w:szCs w:val="24"/>
              </w:rPr>
              <w:t>Zemkopības ministrija un Lauku atbalsta dienests</w:t>
            </w:r>
          </w:p>
        </w:tc>
      </w:tr>
      <w:tr w:rsidR="00845392" w:rsidRPr="00F95322" w14:paraId="36AF5393" w14:textId="77777777" w:rsidTr="00301201">
        <w:trPr>
          <w:trHeight w:val="305"/>
        </w:trPr>
        <w:tc>
          <w:tcPr>
            <w:tcW w:w="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01C316" w14:textId="77777777" w:rsidR="00845392" w:rsidRPr="00F95322" w:rsidRDefault="00845392" w:rsidP="00845392">
            <w:pPr>
              <w:pStyle w:val="Body"/>
              <w:spacing w:after="0" w:line="240" w:lineRule="auto"/>
            </w:pPr>
            <w:r w:rsidRPr="00F95322">
              <w:rPr>
                <w:rFonts w:ascii="Times New Roman" w:hAnsi="Times New Roman"/>
                <w:sz w:val="24"/>
                <w:szCs w:val="24"/>
              </w:rPr>
              <w:t>4.</w:t>
            </w:r>
          </w:p>
        </w:tc>
        <w:tc>
          <w:tcPr>
            <w:tcW w:w="2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A5DB1D" w14:textId="77777777" w:rsidR="00845392" w:rsidRPr="00F95322" w:rsidRDefault="00845392" w:rsidP="00845392">
            <w:pPr>
              <w:pStyle w:val="Body"/>
              <w:spacing w:after="0" w:line="240" w:lineRule="auto"/>
            </w:pPr>
            <w:r w:rsidRPr="00F95322">
              <w:rPr>
                <w:rFonts w:ascii="Times New Roman" w:hAnsi="Times New Roman"/>
                <w:sz w:val="24"/>
                <w:szCs w:val="24"/>
              </w:rPr>
              <w:t>Cita informācija</w:t>
            </w:r>
          </w:p>
        </w:tc>
        <w:tc>
          <w:tcPr>
            <w:tcW w:w="57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D3CEBE" w14:textId="77777777" w:rsidR="00845392" w:rsidRPr="00F95322" w:rsidRDefault="00845392" w:rsidP="00845392">
            <w:pPr>
              <w:pStyle w:val="Body"/>
              <w:spacing w:after="0" w:line="240" w:lineRule="auto"/>
            </w:pPr>
            <w:r w:rsidRPr="00F95322">
              <w:rPr>
                <w:rFonts w:ascii="Times New Roman" w:hAnsi="Times New Roman"/>
                <w:sz w:val="24"/>
                <w:szCs w:val="24"/>
              </w:rPr>
              <w:t>Nav</w:t>
            </w:r>
          </w:p>
        </w:tc>
      </w:tr>
    </w:tbl>
    <w:p w14:paraId="144CD138" w14:textId="0A15DBDF" w:rsidR="008243E6" w:rsidRPr="00F95322" w:rsidRDefault="008243E6">
      <w:pPr>
        <w:pStyle w:val="Body"/>
        <w:spacing w:after="0" w:line="240" w:lineRule="auto"/>
        <w:rPr>
          <w:rFonts w:ascii="Times New Roman" w:eastAsia="Times New Roman" w:hAnsi="Times New Roman" w:cs="Times New Roman"/>
          <w:sz w:val="24"/>
          <w:szCs w:val="24"/>
        </w:rPr>
      </w:pPr>
    </w:p>
    <w:tbl>
      <w:tblPr>
        <w:tblW w:w="90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81"/>
        <w:gridCol w:w="3068"/>
        <w:gridCol w:w="5406"/>
      </w:tblGrid>
      <w:tr w:rsidR="008243E6" w:rsidRPr="00CA4874" w14:paraId="2D072DFC" w14:textId="77777777">
        <w:trPr>
          <w:trHeight w:val="605"/>
        </w:trPr>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03209E" w14:textId="77777777" w:rsidR="008243E6" w:rsidRPr="00F95322" w:rsidRDefault="00110810">
            <w:pPr>
              <w:pStyle w:val="Body"/>
              <w:spacing w:after="0" w:line="240" w:lineRule="auto"/>
            </w:pPr>
            <w:r w:rsidRPr="00F95322">
              <w:rPr>
                <w:rFonts w:ascii="Times New Roman" w:hAnsi="Times New Roman"/>
                <w:b/>
                <w:bCs/>
                <w:sz w:val="24"/>
                <w:szCs w:val="24"/>
              </w:rPr>
              <w:t>II. Tiesību akta projekta ietekme uz sabiedrību, tautsaimniecības attīstību un administratīvo slogu</w:t>
            </w:r>
          </w:p>
        </w:tc>
      </w:tr>
      <w:tr w:rsidR="008243E6" w:rsidRPr="00CA4874" w14:paraId="56A099B5" w14:textId="77777777" w:rsidTr="00AA7A53">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7BD532" w14:textId="77777777" w:rsidR="008243E6" w:rsidRPr="00F95322" w:rsidRDefault="00110810">
            <w:pPr>
              <w:pStyle w:val="Body"/>
              <w:spacing w:after="0" w:line="240" w:lineRule="auto"/>
            </w:pPr>
            <w:r w:rsidRPr="00F95322">
              <w:rPr>
                <w:rFonts w:ascii="Times New Roman" w:hAnsi="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AE9EEE" w14:textId="77777777" w:rsidR="008243E6" w:rsidRPr="00F95322" w:rsidRDefault="00110810">
            <w:pPr>
              <w:pStyle w:val="Body"/>
              <w:spacing w:after="0" w:line="240" w:lineRule="auto"/>
            </w:pPr>
            <w:r w:rsidRPr="00F95322">
              <w:rPr>
                <w:rFonts w:ascii="Times New Roman" w:hAnsi="Times New Roman"/>
                <w:sz w:val="24"/>
                <w:szCs w:val="24"/>
              </w:rPr>
              <w:t>Sabiedrības mērķgrupas, kuras tiesiskais regulējums ietekmē vai varētu ietekmēt</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13DA0B" w14:textId="77777777" w:rsidR="008243E6" w:rsidRPr="00F95322" w:rsidRDefault="00110810">
            <w:pPr>
              <w:pStyle w:val="Body"/>
              <w:spacing w:after="0" w:line="240" w:lineRule="auto"/>
              <w:jc w:val="both"/>
            </w:pPr>
            <w:r w:rsidRPr="00F95322">
              <w:rPr>
                <w:rFonts w:ascii="Times New Roman" w:hAnsi="Times New Roman"/>
                <w:sz w:val="24"/>
                <w:szCs w:val="24"/>
              </w:rPr>
              <w:t>Pēc Lauku atbalsta dienesta datiem</w:t>
            </w:r>
            <w:r w:rsidR="001F755C">
              <w:rPr>
                <w:rFonts w:ascii="Times New Roman" w:hAnsi="Times New Roman"/>
                <w:sz w:val="24"/>
                <w:szCs w:val="24"/>
              </w:rPr>
              <w:t>,</w:t>
            </w:r>
            <w:r w:rsidRPr="00F95322">
              <w:rPr>
                <w:rFonts w:ascii="Times New Roman" w:hAnsi="Times New Roman"/>
                <w:sz w:val="24"/>
                <w:szCs w:val="24"/>
              </w:rPr>
              <w:t xml:space="preserve"> 2020. gadā uz  atbalstu apdrošināšanas prēmiju daļējai izdevumu segšanai pretendēja 2292 lauksaimnieki, un arī </w:t>
            </w:r>
            <w:r w:rsidRPr="00F95322">
              <w:rPr>
                <w:rFonts w:ascii="Times New Roman" w:hAnsi="Times New Roman"/>
                <w:sz w:val="24"/>
                <w:szCs w:val="24"/>
              </w:rPr>
              <w:lastRenderedPageBreak/>
              <w:t>2021. gadā pretendentu skaits varētu būt līdzīgs vai lielāks.</w:t>
            </w:r>
          </w:p>
        </w:tc>
      </w:tr>
      <w:tr w:rsidR="008243E6" w:rsidRPr="00CA4874" w14:paraId="6083B397" w14:textId="77777777" w:rsidTr="00AA7A53">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359A0E" w14:textId="77777777" w:rsidR="008243E6" w:rsidRPr="00F95322" w:rsidRDefault="00110810">
            <w:pPr>
              <w:pStyle w:val="Body"/>
              <w:spacing w:after="0" w:line="240" w:lineRule="auto"/>
            </w:pPr>
            <w:r w:rsidRPr="00F95322">
              <w:rPr>
                <w:rFonts w:ascii="Times New Roman" w:hAnsi="Times New Roman"/>
                <w:sz w:val="24"/>
                <w:szCs w:val="24"/>
              </w:rPr>
              <w:lastRenderedPageBreak/>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63FB1B" w14:textId="77777777" w:rsidR="008243E6" w:rsidRPr="00F95322" w:rsidRDefault="00110810">
            <w:pPr>
              <w:pStyle w:val="Body"/>
              <w:spacing w:after="0" w:line="240" w:lineRule="auto"/>
            </w:pPr>
            <w:r w:rsidRPr="00F95322">
              <w:rPr>
                <w:rFonts w:ascii="Times New Roman" w:hAnsi="Times New Roman"/>
                <w:sz w:val="24"/>
                <w:szCs w:val="24"/>
              </w:rPr>
              <w:t>Tiesiskā regulējuma ietekme uz tautsaimniecību un administratīvo slogu</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A5037E" w14:textId="77777777" w:rsidR="008243E6" w:rsidRPr="00F95322" w:rsidRDefault="00110810">
            <w:pPr>
              <w:pStyle w:val="Body"/>
              <w:spacing w:after="0" w:line="240" w:lineRule="auto"/>
              <w:jc w:val="both"/>
            </w:pPr>
            <w:r w:rsidRPr="00F95322">
              <w:rPr>
                <w:rFonts w:ascii="Times New Roman" w:hAnsi="Times New Roman"/>
                <w:sz w:val="24"/>
                <w:szCs w:val="24"/>
              </w:rPr>
              <w:t>Noteikumu projektā paredzēta prasība atbalsta pretendentiem iesniegt Lauku atbalsta dienestā papildus dokumentu kopijas, ja šie dokumenti satur informāciju par atlīdzības limitu vai pašrisku.</w:t>
            </w:r>
          </w:p>
        </w:tc>
      </w:tr>
      <w:tr w:rsidR="008243E6" w:rsidRPr="00CA4874" w14:paraId="17B4211D" w14:textId="77777777" w:rsidTr="00AA7A53">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8D9840" w14:textId="77777777" w:rsidR="008243E6" w:rsidRPr="00F95322" w:rsidRDefault="00110810">
            <w:pPr>
              <w:pStyle w:val="Body"/>
              <w:spacing w:after="0" w:line="240" w:lineRule="auto"/>
            </w:pPr>
            <w:r w:rsidRPr="00F95322">
              <w:rPr>
                <w:rFonts w:ascii="Times New Roman" w:hAnsi="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169469" w14:textId="77777777" w:rsidR="008243E6" w:rsidRPr="00F95322" w:rsidRDefault="00110810">
            <w:pPr>
              <w:pStyle w:val="Body"/>
              <w:spacing w:after="0" w:line="240" w:lineRule="auto"/>
            </w:pPr>
            <w:r w:rsidRPr="00F95322">
              <w:rPr>
                <w:rFonts w:ascii="Times New Roman" w:hAnsi="Times New Roman"/>
                <w:sz w:val="24"/>
                <w:szCs w:val="24"/>
              </w:rPr>
              <w:t>Administratīvo izmaksu monetārs novērtējums</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484CB8" w14:textId="77777777" w:rsidR="008243E6" w:rsidRPr="00F95322" w:rsidRDefault="00110810">
            <w:pPr>
              <w:pStyle w:val="Body"/>
              <w:spacing w:after="0" w:line="240" w:lineRule="auto"/>
              <w:jc w:val="both"/>
            </w:pPr>
            <w:r w:rsidRPr="00F95322">
              <w:rPr>
                <w:rFonts w:ascii="Times New Roman" w:hAnsi="Times New Roman"/>
                <w:sz w:val="24"/>
                <w:szCs w:val="24"/>
                <w:shd w:val="clear" w:color="auto" w:fill="FFFFFF"/>
              </w:rPr>
              <w:t>Dokumentu kopiju iesniegšana mērķgrupai, ko veido fiziskas personas, nepārsniedz 200 </w:t>
            </w:r>
            <w:r w:rsidRPr="00F95322">
              <w:rPr>
                <w:rFonts w:ascii="Times New Roman" w:hAnsi="Times New Roman"/>
                <w:i/>
                <w:iCs/>
                <w:sz w:val="24"/>
                <w:szCs w:val="24"/>
                <w:shd w:val="clear" w:color="auto" w:fill="FFFFFF"/>
              </w:rPr>
              <w:t>euro</w:t>
            </w:r>
            <w:r w:rsidRPr="00F95322">
              <w:rPr>
                <w:rFonts w:ascii="Times New Roman" w:hAnsi="Times New Roman"/>
                <w:sz w:val="24"/>
                <w:szCs w:val="24"/>
                <w:shd w:val="clear" w:color="auto" w:fill="FFFFFF"/>
              </w:rPr>
              <w:t>, bet mērķgrupai, kuru veido juridiskas personas, – 2000 </w:t>
            </w:r>
            <w:r w:rsidRPr="00F95322">
              <w:rPr>
                <w:rFonts w:ascii="Times New Roman" w:hAnsi="Times New Roman"/>
                <w:i/>
                <w:iCs/>
                <w:sz w:val="24"/>
                <w:szCs w:val="24"/>
                <w:shd w:val="clear" w:color="auto" w:fill="FFFFFF"/>
              </w:rPr>
              <w:t>euro</w:t>
            </w:r>
            <w:r w:rsidRPr="00F95322">
              <w:rPr>
                <w:rFonts w:ascii="Times New Roman" w:hAnsi="Times New Roman"/>
                <w:sz w:val="24"/>
                <w:szCs w:val="24"/>
                <w:shd w:val="clear" w:color="auto" w:fill="FFFFFF"/>
              </w:rPr>
              <w:t>. </w:t>
            </w:r>
          </w:p>
        </w:tc>
      </w:tr>
      <w:tr w:rsidR="008243E6" w:rsidRPr="00F95322" w14:paraId="3002F0BC" w14:textId="77777777" w:rsidTr="00AA7A53">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670915" w14:textId="77777777" w:rsidR="008243E6" w:rsidRPr="00F95322" w:rsidRDefault="00110810">
            <w:pPr>
              <w:pStyle w:val="Body"/>
              <w:spacing w:after="0" w:line="240" w:lineRule="auto"/>
            </w:pPr>
            <w:r w:rsidRPr="00F95322">
              <w:rPr>
                <w:rFonts w:ascii="Times New Roman" w:hAnsi="Times New Roman"/>
                <w:sz w:val="24"/>
                <w:szCs w:val="24"/>
              </w:rPr>
              <w:t>4.</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D469A2" w14:textId="77777777" w:rsidR="008243E6" w:rsidRPr="00F95322" w:rsidRDefault="00110810">
            <w:pPr>
              <w:pStyle w:val="Body"/>
              <w:spacing w:after="0" w:line="240" w:lineRule="auto"/>
            </w:pPr>
            <w:r w:rsidRPr="00F95322">
              <w:rPr>
                <w:rFonts w:ascii="Times New Roman" w:hAnsi="Times New Roman"/>
                <w:sz w:val="24"/>
                <w:szCs w:val="24"/>
              </w:rPr>
              <w:t>Atbilstības izmaksu monetārs novērtējums</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E54133" w14:textId="77777777" w:rsidR="008243E6" w:rsidRPr="00F95322" w:rsidRDefault="00110810">
            <w:pPr>
              <w:pStyle w:val="Body"/>
              <w:spacing w:after="0" w:line="240" w:lineRule="auto"/>
            </w:pPr>
            <w:r w:rsidRPr="00F95322">
              <w:rPr>
                <w:rFonts w:ascii="Times New Roman" w:hAnsi="Times New Roman"/>
                <w:sz w:val="24"/>
                <w:szCs w:val="24"/>
              </w:rPr>
              <w:t>Projekts šo jomu neskar.</w:t>
            </w:r>
          </w:p>
        </w:tc>
      </w:tr>
      <w:tr w:rsidR="008243E6" w:rsidRPr="00F95322" w14:paraId="0095A3DD" w14:textId="77777777" w:rsidTr="00AA7A53">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DA2068" w14:textId="77777777" w:rsidR="008243E6" w:rsidRPr="00F95322" w:rsidRDefault="00110810">
            <w:pPr>
              <w:pStyle w:val="Body"/>
              <w:spacing w:after="0" w:line="240" w:lineRule="auto"/>
            </w:pPr>
            <w:r w:rsidRPr="00F95322">
              <w:rPr>
                <w:rFonts w:ascii="Times New Roman" w:hAnsi="Times New Roman"/>
                <w:sz w:val="24"/>
                <w:szCs w:val="24"/>
              </w:rPr>
              <w:t>5.</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1A2AE4" w14:textId="77777777" w:rsidR="008243E6" w:rsidRPr="00F95322" w:rsidRDefault="00110810">
            <w:pPr>
              <w:pStyle w:val="Body"/>
              <w:spacing w:after="0" w:line="240" w:lineRule="auto"/>
            </w:pPr>
            <w:r w:rsidRPr="00F95322">
              <w:rPr>
                <w:rFonts w:ascii="Times New Roman" w:hAnsi="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EC696F" w14:textId="77777777" w:rsidR="008243E6" w:rsidRPr="00F95322" w:rsidRDefault="00110810">
            <w:pPr>
              <w:pStyle w:val="Body"/>
              <w:spacing w:after="0" w:line="240" w:lineRule="auto"/>
            </w:pPr>
            <w:r w:rsidRPr="00F95322">
              <w:rPr>
                <w:rFonts w:ascii="Times New Roman" w:hAnsi="Times New Roman"/>
                <w:sz w:val="24"/>
                <w:szCs w:val="24"/>
              </w:rPr>
              <w:t>Nav</w:t>
            </w:r>
          </w:p>
        </w:tc>
      </w:tr>
    </w:tbl>
    <w:p w14:paraId="5588FCEA" w14:textId="2DE58251" w:rsidR="008243E6" w:rsidRDefault="008243E6">
      <w:pPr>
        <w:pStyle w:val="Body"/>
        <w:spacing w:after="0" w:line="240" w:lineRule="auto"/>
        <w:rPr>
          <w:rFonts w:ascii="Times New Roman" w:eastAsia="Times New Roman" w:hAnsi="Times New Roman" w:cs="Times New Roman"/>
          <w:sz w:val="24"/>
          <w:szCs w:val="24"/>
        </w:rPr>
      </w:pPr>
    </w:p>
    <w:tbl>
      <w:tblPr>
        <w:tblW w:w="51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073"/>
        <w:gridCol w:w="1084"/>
        <w:gridCol w:w="1082"/>
        <w:gridCol w:w="1084"/>
        <w:gridCol w:w="949"/>
        <w:gridCol w:w="1080"/>
        <w:gridCol w:w="1218"/>
      </w:tblGrid>
      <w:tr w:rsidR="00AB2864" w:rsidRPr="00CA4874" w14:paraId="50AE4422" w14:textId="77777777" w:rsidTr="008861D4">
        <w:tc>
          <w:tcPr>
            <w:tcW w:w="5000" w:type="pct"/>
            <w:gridSpan w:val="8"/>
            <w:shd w:val="clear" w:color="auto" w:fill="auto"/>
            <w:hideMark/>
          </w:tcPr>
          <w:p w14:paraId="71908795" w14:textId="77777777" w:rsidR="00AB2864" w:rsidRPr="008861D4" w:rsidRDefault="00AB2864" w:rsidP="008D6B0D">
            <w:pPr>
              <w:ind w:firstLine="300"/>
              <w:jc w:val="center"/>
              <w:rPr>
                <w:rFonts w:eastAsia="Times New Roman"/>
                <w:b/>
                <w:bCs/>
                <w:sz w:val="20"/>
                <w:szCs w:val="20"/>
                <w:lang w:val="lv-LV" w:eastAsia="lv-LV"/>
              </w:rPr>
            </w:pPr>
            <w:r w:rsidRPr="008861D4">
              <w:rPr>
                <w:rFonts w:eastAsia="Times New Roman"/>
                <w:b/>
                <w:bCs/>
                <w:sz w:val="20"/>
                <w:szCs w:val="20"/>
                <w:lang w:val="lv-LV" w:eastAsia="lv-LV"/>
              </w:rPr>
              <w:t>III. Tiesību akta projekta ietekme uz valsts budžetu un pašvaldību budžetiem</w:t>
            </w:r>
          </w:p>
        </w:tc>
      </w:tr>
      <w:tr w:rsidR="00AB2864" w:rsidRPr="008861D4" w14:paraId="4E19F325" w14:textId="77777777" w:rsidTr="008861D4">
        <w:tc>
          <w:tcPr>
            <w:tcW w:w="949" w:type="pct"/>
            <w:vMerge w:val="restart"/>
            <w:shd w:val="clear" w:color="auto" w:fill="auto"/>
            <w:hideMark/>
          </w:tcPr>
          <w:p w14:paraId="4878A07F" w14:textId="77777777" w:rsidR="00AB2864" w:rsidRPr="008861D4" w:rsidRDefault="00AB2864" w:rsidP="008D6B0D">
            <w:pPr>
              <w:ind w:right="-53"/>
              <w:rPr>
                <w:rFonts w:eastAsia="Times New Roman"/>
                <w:sz w:val="20"/>
                <w:szCs w:val="20"/>
                <w:lang w:val="lv-LV" w:eastAsia="lv-LV"/>
              </w:rPr>
            </w:pPr>
            <w:r w:rsidRPr="008861D4">
              <w:rPr>
                <w:rFonts w:eastAsia="Times New Roman"/>
                <w:sz w:val="20"/>
                <w:szCs w:val="20"/>
                <w:lang w:val="lv-LV" w:eastAsia="lv-LV"/>
              </w:rPr>
              <w:t>Rādītāji</w:t>
            </w:r>
          </w:p>
        </w:tc>
        <w:tc>
          <w:tcPr>
            <w:tcW w:w="1154" w:type="pct"/>
            <w:gridSpan w:val="2"/>
            <w:vMerge w:val="restart"/>
            <w:shd w:val="clear" w:color="auto" w:fill="auto"/>
            <w:hideMark/>
          </w:tcPr>
          <w:p w14:paraId="56B2014D"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2021.gads</w:t>
            </w:r>
          </w:p>
        </w:tc>
        <w:tc>
          <w:tcPr>
            <w:tcW w:w="2898" w:type="pct"/>
            <w:gridSpan w:val="5"/>
            <w:shd w:val="clear" w:color="auto" w:fill="auto"/>
            <w:hideMark/>
          </w:tcPr>
          <w:p w14:paraId="05E8C6A9"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Turpmākie trīs gadi (</w:t>
            </w:r>
            <w:r w:rsidRPr="008861D4">
              <w:rPr>
                <w:rFonts w:eastAsia="Times New Roman"/>
                <w:i/>
                <w:iCs/>
                <w:sz w:val="20"/>
                <w:szCs w:val="20"/>
                <w:lang w:val="lv-LV" w:eastAsia="lv-LV"/>
              </w:rPr>
              <w:t>euro</w:t>
            </w:r>
            <w:r w:rsidRPr="008861D4">
              <w:rPr>
                <w:rFonts w:eastAsia="Times New Roman"/>
                <w:sz w:val="20"/>
                <w:szCs w:val="20"/>
                <w:lang w:val="lv-LV" w:eastAsia="lv-LV"/>
              </w:rPr>
              <w:t>)</w:t>
            </w:r>
          </w:p>
        </w:tc>
      </w:tr>
      <w:tr w:rsidR="008861D4" w:rsidRPr="008861D4" w14:paraId="2E95485D" w14:textId="77777777" w:rsidTr="00D455E5">
        <w:tc>
          <w:tcPr>
            <w:tcW w:w="949" w:type="pct"/>
            <w:vMerge/>
            <w:shd w:val="clear" w:color="auto" w:fill="auto"/>
            <w:hideMark/>
          </w:tcPr>
          <w:p w14:paraId="5491C3A8" w14:textId="77777777" w:rsidR="00AB2864" w:rsidRPr="008861D4" w:rsidRDefault="00AB2864" w:rsidP="008D6B0D">
            <w:pPr>
              <w:rPr>
                <w:rFonts w:eastAsia="Times New Roman"/>
                <w:sz w:val="20"/>
                <w:szCs w:val="20"/>
                <w:lang w:val="lv-LV" w:eastAsia="lv-LV"/>
              </w:rPr>
            </w:pPr>
          </w:p>
        </w:tc>
        <w:tc>
          <w:tcPr>
            <w:tcW w:w="1154" w:type="pct"/>
            <w:gridSpan w:val="2"/>
            <w:vMerge/>
            <w:shd w:val="clear" w:color="auto" w:fill="auto"/>
            <w:hideMark/>
          </w:tcPr>
          <w:p w14:paraId="770BEF7A" w14:textId="77777777" w:rsidR="00AB2864" w:rsidRPr="008861D4" w:rsidRDefault="00AB2864" w:rsidP="008D6B0D">
            <w:pPr>
              <w:rPr>
                <w:rFonts w:eastAsia="Times New Roman"/>
                <w:sz w:val="20"/>
                <w:szCs w:val="20"/>
                <w:lang w:val="lv-LV" w:eastAsia="lv-LV"/>
              </w:rPr>
            </w:pPr>
          </w:p>
        </w:tc>
        <w:tc>
          <w:tcPr>
            <w:tcW w:w="1159" w:type="pct"/>
            <w:gridSpan w:val="2"/>
            <w:shd w:val="clear" w:color="auto" w:fill="auto"/>
            <w:hideMark/>
          </w:tcPr>
          <w:p w14:paraId="1FEF074B"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2022</w:t>
            </w:r>
          </w:p>
        </w:tc>
        <w:tc>
          <w:tcPr>
            <w:tcW w:w="1086" w:type="pct"/>
            <w:gridSpan w:val="2"/>
            <w:shd w:val="clear" w:color="auto" w:fill="auto"/>
            <w:hideMark/>
          </w:tcPr>
          <w:p w14:paraId="2FF79859"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2023</w:t>
            </w:r>
          </w:p>
        </w:tc>
        <w:tc>
          <w:tcPr>
            <w:tcW w:w="652" w:type="pct"/>
            <w:shd w:val="clear" w:color="auto" w:fill="auto"/>
            <w:hideMark/>
          </w:tcPr>
          <w:p w14:paraId="489C487A"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2024</w:t>
            </w:r>
          </w:p>
        </w:tc>
      </w:tr>
      <w:tr w:rsidR="008861D4" w:rsidRPr="008861D4" w14:paraId="23F3B74A" w14:textId="77777777" w:rsidTr="00D455E5">
        <w:tc>
          <w:tcPr>
            <w:tcW w:w="949" w:type="pct"/>
            <w:vMerge/>
            <w:shd w:val="clear" w:color="auto" w:fill="auto"/>
            <w:hideMark/>
          </w:tcPr>
          <w:p w14:paraId="3005DBAC" w14:textId="77777777" w:rsidR="00AB2864" w:rsidRPr="008861D4" w:rsidRDefault="00AB2864" w:rsidP="008D6B0D">
            <w:pPr>
              <w:rPr>
                <w:rFonts w:eastAsia="Times New Roman"/>
                <w:sz w:val="20"/>
                <w:szCs w:val="20"/>
                <w:lang w:val="lv-LV" w:eastAsia="lv-LV"/>
              </w:rPr>
            </w:pPr>
          </w:p>
        </w:tc>
        <w:tc>
          <w:tcPr>
            <w:tcW w:w="574" w:type="pct"/>
            <w:shd w:val="clear" w:color="auto" w:fill="auto"/>
            <w:hideMark/>
          </w:tcPr>
          <w:p w14:paraId="6BC91EB0" w14:textId="77777777" w:rsidR="00AB2864" w:rsidRPr="008861D4" w:rsidRDefault="00AB2864" w:rsidP="008D6B0D">
            <w:pPr>
              <w:contextualSpacing/>
              <w:rPr>
                <w:rFonts w:eastAsia="Times New Roman"/>
                <w:sz w:val="20"/>
                <w:szCs w:val="20"/>
                <w:lang w:val="lv-LV" w:eastAsia="lv-LV"/>
              </w:rPr>
            </w:pPr>
            <w:r w:rsidRPr="008861D4">
              <w:rPr>
                <w:rFonts w:eastAsia="Times New Roman"/>
                <w:sz w:val="20"/>
                <w:szCs w:val="20"/>
                <w:lang w:val="lv-LV" w:eastAsia="lv-LV"/>
              </w:rPr>
              <w:t>saskaņā ar valsts budžetu kārtējam gadam</w:t>
            </w:r>
          </w:p>
        </w:tc>
        <w:tc>
          <w:tcPr>
            <w:tcW w:w="580" w:type="pct"/>
            <w:shd w:val="clear" w:color="auto" w:fill="auto"/>
            <w:hideMark/>
          </w:tcPr>
          <w:p w14:paraId="1DAB3189" w14:textId="77777777" w:rsidR="00AB2864" w:rsidRPr="008861D4" w:rsidRDefault="00AB2864" w:rsidP="008D6B0D">
            <w:pPr>
              <w:ind w:left="-14" w:right="-63" w:firstLine="14"/>
              <w:rPr>
                <w:rFonts w:eastAsia="Times New Roman"/>
                <w:sz w:val="20"/>
                <w:szCs w:val="20"/>
                <w:lang w:val="lv-LV" w:eastAsia="lv-LV"/>
              </w:rPr>
            </w:pPr>
            <w:r w:rsidRPr="008861D4">
              <w:rPr>
                <w:rFonts w:eastAsia="Times New Roman"/>
                <w:sz w:val="20"/>
                <w:szCs w:val="20"/>
                <w:lang w:val="lv-LV" w:eastAsia="lv-LV"/>
              </w:rPr>
              <w:t>izmaiņas kārtējā gadā, salīdzinot ar valsts budžetu kārtējam gadam</w:t>
            </w:r>
          </w:p>
        </w:tc>
        <w:tc>
          <w:tcPr>
            <w:tcW w:w="579" w:type="pct"/>
            <w:shd w:val="clear" w:color="auto" w:fill="auto"/>
            <w:hideMark/>
          </w:tcPr>
          <w:p w14:paraId="4B982850"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t>saskaņā ar vidēja termiņa budžeta ietvaru</w:t>
            </w:r>
          </w:p>
        </w:tc>
        <w:tc>
          <w:tcPr>
            <w:tcW w:w="580" w:type="pct"/>
            <w:shd w:val="clear" w:color="auto" w:fill="auto"/>
            <w:hideMark/>
          </w:tcPr>
          <w:p w14:paraId="274F7335"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t>izmaiņas, salīdzinot ar vidēja termiņa budžeta ietvaru 2022.gadam</w:t>
            </w:r>
          </w:p>
        </w:tc>
        <w:tc>
          <w:tcPr>
            <w:tcW w:w="508" w:type="pct"/>
            <w:shd w:val="clear" w:color="auto" w:fill="auto"/>
            <w:hideMark/>
          </w:tcPr>
          <w:p w14:paraId="2E03928B"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t>saskaņā ar vidēja termiņa budžeta ietvaru</w:t>
            </w:r>
          </w:p>
        </w:tc>
        <w:tc>
          <w:tcPr>
            <w:tcW w:w="578" w:type="pct"/>
            <w:shd w:val="clear" w:color="auto" w:fill="auto"/>
            <w:hideMark/>
          </w:tcPr>
          <w:p w14:paraId="5A19B39D"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t>izmaiņas, salīdzinot ar vidēja termiņa budžeta ietvaru 2023.gadam</w:t>
            </w:r>
          </w:p>
        </w:tc>
        <w:tc>
          <w:tcPr>
            <w:tcW w:w="652" w:type="pct"/>
            <w:shd w:val="clear" w:color="auto" w:fill="auto"/>
            <w:hideMark/>
          </w:tcPr>
          <w:p w14:paraId="270C7510"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t>izmaiņas, salīdzinot ar vidēja termiņa budžeta ietvaru 2023.gadam</w:t>
            </w:r>
          </w:p>
        </w:tc>
      </w:tr>
      <w:tr w:rsidR="008861D4" w:rsidRPr="008861D4" w14:paraId="74E26587" w14:textId="77777777" w:rsidTr="00D455E5">
        <w:tc>
          <w:tcPr>
            <w:tcW w:w="949" w:type="pct"/>
            <w:shd w:val="clear" w:color="auto" w:fill="auto"/>
            <w:hideMark/>
          </w:tcPr>
          <w:p w14:paraId="57CB4881"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1</w:t>
            </w:r>
          </w:p>
        </w:tc>
        <w:tc>
          <w:tcPr>
            <w:tcW w:w="574" w:type="pct"/>
            <w:shd w:val="clear" w:color="auto" w:fill="auto"/>
            <w:hideMark/>
          </w:tcPr>
          <w:p w14:paraId="2CA966AA"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2</w:t>
            </w:r>
          </w:p>
        </w:tc>
        <w:tc>
          <w:tcPr>
            <w:tcW w:w="580" w:type="pct"/>
            <w:shd w:val="clear" w:color="auto" w:fill="auto"/>
            <w:hideMark/>
          </w:tcPr>
          <w:p w14:paraId="79D44D83"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3</w:t>
            </w:r>
          </w:p>
        </w:tc>
        <w:tc>
          <w:tcPr>
            <w:tcW w:w="579" w:type="pct"/>
            <w:shd w:val="clear" w:color="auto" w:fill="auto"/>
            <w:hideMark/>
          </w:tcPr>
          <w:p w14:paraId="60AE9EE9"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4</w:t>
            </w:r>
          </w:p>
        </w:tc>
        <w:tc>
          <w:tcPr>
            <w:tcW w:w="580" w:type="pct"/>
            <w:shd w:val="clear" w:color="auto" w:fill="auto"/>
            <w:hideMark/>
          </w:tcPr>
          <w:p w14:paraId="26134875"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5</w:t>
            </w:r>
          </w:p>
        </w:tc>
        <w:tc>
          <w:tcPr>
            <w:tcW w:w="508" w:type="pct"/>
            <w:shd w:val="clear" w:color="auto" w:fill="auto"/>
            <w:hideMark/>
          </w:tcPr>
          <w:p w14:paraId="4CCF74FD"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6</w:t>
            </w:r>
          </w:p>
        </w:tc>
        <w:tc>
          <w:tcPr>
            <w:tcW w:w="578" w:type="pct"/>
            <w:shd w:val="clear" w:color="auto" w:fill="auto"/>
            <w:hideMark/>
          </w:tcPr>
          <w:p w14:paraId="4DC7E87F"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7</w:t>
            </w:r>
          </w:p>
        </w:tc>
        <w:tc>
          <w:tcPr>
            <w:tcW w:w="652" w:type="pct"/>
            <w:shd w:val="clear" w:color="auto" w:fill="auto"/>
            <w:hideMark/>
          </w:tcPr>
          <w:p w14:paraId="092F4122" w14:textId="77777777" w:rsidR="00AB2864" w:rsidRPr="008861D4" w:rsidRDefault="00AB2864" w:rsidP="008D6B0D">
            <w:pPr>
              <w:ind w:firstLine="300"/>
              <w:jc w:val="center"/>
              <w:rPr>
                <w:rFonts w:eastAsia="Times New Roman"/>
                <w:sz w:val="20"/>
                <w:szCs w:val="20"/>
                <w:lang w:val="lv-LV" w:eastAsia="lv-LV"/>
              </w:rPr>
            </w:pPr>
            <w:r w:rsidRPr="008861D4">
              <w:rPr>
                <w:rFonts w:eastAsia="Times New Roman"/>
                <w:sz w:val="20"/>
                <w:szCs w:val="20"/>
                <w:lang w:val="lv-LV" w:eastAsia="lv-LV"/>
              </w:rPr>
              <w:t>8</w:t>
            </w:r>
          </w:p>
        </w:tc>
      </w:tr>
      <w:tr w:rsidR="008861D4" w:rsidRPr="008861D4" w14:paraId="71156554" w14:textId="77777777" w:rsidTr="00D455E5">
        <w:tc>
          <w:tcPr>
            <w:tcW w:w="949" w:type="pct"/>
            <w:shd w:val="clear" w:color="auto" w:fill="auto"/>
            <w:hideMark/>
          </w:tcPr>
          <w:p w14:paraId="2C5DE461" w14:textId="77777777" w:rsidR="008861D4" w:rsidRPr="008861D4" w:rsidRDefault="008861D4" w:rsidP="008861D4">
            <w:pPr>
              <w:rPr>
                <w:rFonts w:eastAsia="Times New Roman"/>
                <w:sz w:val="20"/>
                <w:szCs w:val="20"/>
                <w:lang w:val="lv-LV" w:eastAsia="lv-LV"/>
              </w:rPr>
            </w:pPr>
            <w:r w:rsidRPr="008861D4">
              <w:rPr>
                <w:rFonts w:eastAsia="Times New Roman"/>
                <w:sz w:val="20"/>
                <w:szCs w:val="20"/>
                <w:lang w:val="lv-LV" w:eastAsia="lv-LV"/>
              </w:rPr>
              <w:t>1. Budžeta ieņēmumi</w:t>
            </w:r>
          </w:p>
        </w:tc>
        <w:tc>
          <w:tcPr>
            <w:tcW w:w="574" w:type="pct"/>
            <w:shd w:val="clear" w:color="auto" w:fill="auto"/>
            <w:vAlign w:val="center"/>
            <w:hideMark/>
          </w:tcPr>
          <w:p w14:paraId="290F2C4A" w14:textId="1DA5103B" w:rsidR="008861D4" w:rsidRPr="008861D4" w:rsidRDefault="008861D4" w:rsidP="008861D4">
            <w:pPr>
              <w:rPr>
                <w:rFonts w:eastAsia="Times New Roman"/>
                <w:sz w:val="20"/>
                <w:szCs w:val="20"/>
                <w:lang w:val="lv-LV" w:eastAsia="lv-LV"/>
              </w:rPr>
            </w:pPr>
            <w:r w:rsidRPr="008861D4">
              <w:rPr>
                <w:rFonts w:eastAsia="Times New Roman"/>
                <w:sz w:val="20"/>
                <w:szCs w:val="20"/>
                <w:lang w:val="lv-LV" w:eastAsia="lv-LV"/>
              </w:rPr>
              <w:t>2 762 561</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622DE8F" w14:textId="7072A829" w:rsidR="008861D4" w:rsidRPr="008861D4" w:rsidRDefault="008861D4" w:rsidP="008861D4">
            <w:pPr>
              <w:rPr>
                <w:sz w:val="20"/>
                <w:szCs w:val="20"/>
                <w:lang w:val="lv-LV"/>
              </w:rPr>
            </w:pPr>
            <w:r w:rsidRPr="008861D4">
              <w:rPr>
                <w:sz w:val="20"/>
                <w:szCs w:val="20"/>
                <w:lang w:val="lv-LV"/>
              </w:rPr>
              <w:t>4 717 439</w:t>
            </w:r>
          </w:p>
        </w:tc>
        <w:tc>
          <w:tcPr>
            <w:tcW w:w="579" w:type="pct"/>
            <w:shd w:val="clear" w:color="auto" w:fill="auto"/>
            <w:vAlign w:val="center"/>
            <w:hideMark/>
          </w:tcPr>
          <w:p w14:paraId="42C0FF52" w14:textId="1426F4A3" w:rsidR="008861D4" w:rsidRPr="008861D4" w:rsidRDefault="000D0295" w:rsidP="008861D4">
            <w:pPr>
              <w:rPr>
                <w:sz w:val="20"/>
                <w:szCs w:val="20"/>
                <w:lang w:val="lv-LV"/>
              </w:rPr>
            </w:pPr>
            <w:r>
              <w:rPr>
                <w:rFonts w:eastAsia="Times New Roman"/>
                <w:sz w:val="20"/>
                <w:szCs w:val="20"/>
                <w:lang w:val="lv-LV" w:eastAsia="lv-LV"/>
              </w:rPr>
              <w:t>1 318 714</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10FD1CC" w14:textId="78DB0627" w:rsidR="008861D4" w:rsidRPr="008861D4" w:rsidRDefault="000D0295" w:rsidP="008861D4">
            <w:pPr>
              <w:rPr>
                <w:sz w:val="20"/>
                <w:szCs w:val="20"/>
                <w:lang w:val="lv-LV"/>
              </w:rPr>
            </w:pPr>
            <w:r>
              <w:rPr>
                <w:sz w:val="20"/>
                <w:szCs w:val="20"/>
                <w:lang w:val="lv-LV"/>
              </w:rPr>
              <w:t>6 161 286</w:t>
            </w:r>
          </w:p>
        </w:tc>
        <w:tc>
          <w:tcPr>
            <w:tcW w:w="50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6F02CE4" w14:textId="77777777" w:rsidR="008861D4" w:rsidRPr="008861D4" w:rsidRDefault="008861D4" w:rsidP="008861D4">
            <w:pPr>
              <w:jc w:val="center"/>
              <w:rPr>
                <w:sz w:val="20"/>
                <w:szCs w:val="20"/>
                <w:lang w:val="lv-LV"/>
              </w:rPr>
            </w:pPr>
            <w:r w:rsidRPr="008861D4">
              <w:rPr>
                <w:sz w:val="20"/>
                <w:szCs w:val="20"/>
                <w:lang w:val="lv-LV"/>
              </w:rPr>
              <w:t>0</w:t>
            </w:r>
          </w:p>
        </w:tc>
        <w:tc>
          <w:tcPr>
            <w:tcW w:w="5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6F6FFFE" w14:textId="77777777" w:rsidR="008861D4" w:rsidRPr="008861D4" w:rsidRDefault="008861D4" w:rsidP="008861D4">
            <w:pPr>
              <w:jc w:val="center"/>
              <w:rPr>
                <w:sz w:val="20"/>
                <w:szCs w:val="20"/>
                <w:lang w:val="lv-LV"/>
              </w:rPr>
            </w:pPr>
            <w:r w:rsidRPr="008861D4">
              <w:rPr>
                <w:sz w:val="20"/>
                <w:szCs w:val="20"/>
                <w:lang w:val="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C79E6B" w14:textId="77777777" w:rsidR="008861D4" w:rsidRPr="008861D4" w:rsidRDefault="008861D4" w:rsidP="008861D4">
            <w:pPr>
              <w:jc w:val="center"/>
              <w:rPr>
                <w:sz w:val="20"/>
                <w:szCs w:val="20"/>
                <w:lang w:val="lv-LV"/>
              </w:rPr>
            </w:pPr>
            <w:r w:rsidRPr="008861D4">
              <w:rPr>
                <w:sz w:val="20"/>
                <w:szCs w:val="20"/>
                <w:lang w:val="lv-LV"/>
              </w:rPr>
              <w:t>0</w:t>
            </w:r>
          </w:p>
        </w:tc>
      </w:tr>
      <w:tr w:rsidR="008861D4" w:rsidRPr="008861D4" w14:paraId="3901C2E4" w14:textId="77777777" w:rsidTr="00D455E5">
        <w:tc>
          <w:tcPr>
            <w:tcW w:w="949" w:type="pct"/>
            <w:shd w:val="clear" w:color="auto" w:fill="auto"/>
            <w:hideMark/>
          </w:tcPr>
          <w:p w14:paraId="5CDD4E63" w14:textId="77777777" w:rsidR="008861D4" w:rsidRPr="008861D4" w:rsidRDefault="008861D4" w:rsidP="008861D4">
            <w:pPr>
              <w:ind w:right="-53"/>
              <w:rPr>
                <w:rFonts w:eastAsia="Times New Roman"/>
                <w:sz w:val="20"/>
                <w:szCs w:val="20"/>
                <w:lang w:val="lv-LV" w:eastAsia="lv-LV"/>
              </w:rPr>
            </w:pPr>
            <w:r w:rsidRPr="008861D4">
              <w:rPr>
                <w:rFonts w:eastAsia="Times New Roman"/>
                <w:sz w:val="20"/>
                <w:szCs w:val="20"/>
                <w:lang w:val="lv-LV" w:eastAsia="lv-LV"/>
              </w:rPr>
              <w:t>1.1. valsts pamatbudžets, tai skaitā ieņēmumi no maksas pakalpojumiem un citi pašu ieņēmumi</w:t>
            </w:r>
          </w:p>
        </w:tc>
        <w:tc>
          <w:tcPr>
            <w:tcW w:w="574" w:type="pct"/>
            <w:shd w:val="clear" w:color="auto" w:fill="auto"/>
            <w:vAlign w:val="center"/>
            <w:hideMark/>
          </w:tcPr>
          <w:p w14:paraId="31150402" w14:textId="3339C30C" w:rsidR="008861D4" w:rsidRPr="008861D4" w:rsidRDefault="008861D4" w:rsidP="008861D4">
            <w:pPr>
              <w:rPr>
                <w:sz w:val="20"/>
                <w:szCs w:val="20"/>
                <w:lang w:val="lv-LV"/>
              </w:rPr>
            </w:pPr>
            <w:r w:rsidRPr="008861D4">
              <w:rPr>
                <w:rFonts w:eastAsia="Times New Roman"/>
                <w:sz w:val="20"/>
                <w:szCs w:val="20"/>
                <w:lang w:val="lv-LV" w:eastAsia="lv-LV"/>
              </w:rPr>
              <w:t>2 762 561</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E47849D" w14:textId="737C004E" w:rsidR="008861D4" w:rsidRPr="008861D4" w:rsidRDefault="008861D4" w:rsidP="008861D4">
            <w:pPr>
              <w:rPr>
                <w:sz w:val="20"/>
                <w:szCs w:val="20"/>
                <w:lang w:val="lv-LV"/>
              </w:rPr>
            </w:pPr>
            <w:r w:rsidRPr="008861D4">
              <w:rPr>
                <w:sz w:val="20"/>
                <w:szCs w:val="20"/>
                <w:lang w:val="lv-LV"/>
              </w:rPr>
              <w:t>4 717 439</w:t>
            </w:r>
          </w:p>
        </w:tc>
        <w:tc>
          <w:tcPr>
            <w:tcW w:w="579" w:type="pct"/>
            <w:shd w:val="clear" w:color="auto" w:fill="auto"/>
            <w:vAlign w:val="center"/>
            <w:hideMark/>
          </w:tcPr>
          <w:p w14:paraId="68B7443D" w14:textId="6909C50A" w:rsidR="008861D4" w:rsidRPr="008861D4" w:rsidRDefault="000D0295" w:rsidP="008861D4">
            <w:pPr>
              <w:rPr>
                <w:sz w:val="20"/>
                <w:szCs w:val="20"/>
                <w:lang w:val="lv-LV"/>
              </w:rPr>
            </w:pPr>
            <w:r>
              <w:rPr>
                <w:rFonts w:eastAsia="Times New Roman"/>
                <w:sz w:val="20"/>
                <w:szCs w:val="20"/>
                <w:lang w:val="lv-LV" w:eastAsia="lv-LV"/>
              </w:rPr>
              <w:t>1 318 714</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9C1C3C2" w14:textId="0F237EBC" w:rsidR="008861D4" w:rsidRPr="008861D4" w:rsidRDefault="000D0295" w:rsidP="008861D4">
            <w:pPr>
              <w:rPr>
                <w:sz w:val="20"/>
                <w:szCs w:val="20"/>
                <w:lang w:val="lv-LV"/>
              </w:rPr>
            </w:pPr>
            <w:r>
              <w:rPr>
                <w:sz w:val="20"/>
                <w:szCs w:val="20"/>
                <w:lang w:val="lv-LV"/>
              </w:rPr>
              <w:t>6 161 286</w:t>
            </w:r>
          </w:p>
        </w:tc>
        <w:tc>
          <w:tcPr>
            <w:tcW w:w="50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97FBD05" w14:textId="77777777" w:rsidR="008861D4" w:rsidRPr="008861D4" w:rsidRDefault="008861D4" w:rsidP="008861D4">
            <w:pPr>
              <w:jc w:val="center"/>
              <w:rPr>
                <w:sz w:val="20"/>
                <w:szCs w:val="20"/>
                <w:lang w:val="lv-LV"/>
              </w:rPr>
            </w:pPr>
            <w:r w:rsidRPr="008861D4">
              <w:rPr>
                <w:sz w:val="20"/>
                <w:szCs w:val="20"/>
                <w:lang w:val="lv-LV"/>
              </w:rPr>
              <w:t>0</w:t>
            </w:r>
          </w:p>
        </w:tc>
        <w:tc>
          <w:tcPr>
            <w:tcW w:w="5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48356F6" w14:textId="77777777" w:rsidR="008861D4" w:rsidRPr="008861D4" w:rsidRDefault="008861D4" w:rsidP="008861D4">
            <w:pPr>
              <w:jc w:val="center"/>
              <w:rPr>
                <w:sz w:val="20"/>
                <w:szCs w:val="20"/>
                <w:lang w:val="lv-LV"/>
              </w:rPr>
            </w:pPr>
            <w:r w:rsidRPr="008861D4">
              <w:rPr>
                <w:sz w:val="20"/>
                <w:szCs w:val="20"/>
                <w:lang w:val="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ABF5CF" w14:textId="77777777" w:rsidR="008861D4" w:rsidRPr="008861D4" w:rsidRDefault="008861D4" w:rsidP="008861D4">
            <w:pPr>
              <w:jc w:val="center"/>
              <w:rPr>
                <w:sz w:val="20"/>
                <w:szCs w:val="20"/>
                <w:lang w:val="lv-LV"/>
              </w:rPr>
            </w:pPr>
            <w:r w:rsidRPr="008861D4">
              <w:rPr>
                <w:sz w:val="20"/>
                <w:szCs w:val="20"/>
                <w:lang w:val="lv-LV"/>
              </w:rPr>
              <w:t>0</w:t>
            </w:r>
          </w:p>
        </w:tc>
      </w:tr>
      <w:tr w:rsidR="008861D4" w:rsidRPr="008861D4" w14:paraId="05FEF4A1" w14:textId="77777777" w:rsidTr="00D455E5">
        <w:tc>
          <w:tcPr>
            <w:tcW w:w="949" w:type="pct"/>
            <w:shd w:val="clear" w:color="auto" w:fill="auto"/>
            <w:hideMark/>
          </w:tcPr>
          <w:p w14:paraId="139E839E"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t>1.2. valsts speciālais budžets</w:t>
            </w:r>
          </w:p>
        </w:tc>
        <w:tc>
          <w:tcPr>
            <w:tcW w:w="574" w:type="pct"/>
            <w:shd w:val="clear" w:color="auto" w:fill="auto"/>
            <w:vAlign w:val="center"/>
            <w:hideMark/>
          </w:tcPr>
          <w:p w14:paraId="432BEF42"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07868CEC" w14:textId="77777777" w:rsidR="00AB2864" w:rsidRPr="008861D4" w:rsidRDefault="00AB2864" w:rsidP="008D6B0D">
            <w:pPr>
              <w:jc w:val="center"/>
              <w:rPr>
                <w:sz w:val="20"/>
                <w:szCs w:val="20"/>
                <w:lang w:val="lv-LV"/>
              </w:rPr>
            </w:pPr>
            <w:r w:rsidRPr="008861D4">
              <w:rPr>
                <w:sz w:val="20"/>
                <w:szCs w:val="20"/>
                <w:lang w:val="lv-LV"/>
              </w:rPr>
              <w:t>0</w:t>
            </w:r>
          </w:p>
        </w:tc>
        <w:tc>
          <w:tcPr>
            <w:tcW w:w="579" w:type="pct"/>
            <w:shd w:val="clear" w:color="auto" w:fill="auto"/>
            <w:vAlign w:val="center"/>
            <w:hideMark/>
          </w:tcPr>
          <w:p w14:paraId="4FD8FA52"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52080BA8" w14:textId="77777777" w:rsidR="00AB2864" w:rsidRPr="008861D4" w:rsidRDefault="00AB2864" w:rsidP="008D6B0D">
            <w:pPr>
              <w:jc w:val="center"/>
              <w:rPr>
                <w:sz w:val="20"/>
                <w:szCs w:val="20"/>
                <w:lang w:val="lv-LV"/>
              </w:rPr>
            </w:pPr>
            <w:r w:rsidRPr="008861D4">
              <w:rPr>
                <w:sz w:val="20"/>
                <w:szCs w:val="20"/>
                <w:lang w:val="lv-LV"/>
              </w:rPr>
              <w:t>0</w:t>
            </w:r>
          </w:p>
        </w:tc>
        <w:tc>
          <w:tcPr>
            <w:tcW w:w="508" w:type="pct"/>
            <w:shd w:val="clear" w:color="auto" w:fill="auto"/>
            <w:vAlign w:val="center"/>
            <w:hideMark/>
          </w:tcPr>
          <w:p w14:paraId="19B40D24" w14:textId="77777777" w:rsidR="00AB2864" w:rsidRPr="008861D4" w:rsidRDefault="00AB2864" w:rsidP="008D6B0D">
            <w:pPr>
              <w:jc w:val="center"/>
              <w:rPr>
                <w:sz w:val="20"/>
                <w:szCs w:val="20"/>
                <w:lang w:val="lv-LV"/>
              </w:rPr>
            </w:pPr>
            <w:r w:rsidRPr="008861D4">
              <w:rPr>
                <w:sz w:val="20"/>
                <w:szCs w:val="20"/>
                <w:lang w:val="lv-LV"/>
              </w:rPr>
              <w:t>0</w:t>
            </w:r>
          </w:p>
        </w:tc>
        <w:tc>
          <w:tcPr>
            <w:tcW w:w="578" w:type="pct"/>
            <w:shd w:val="clear" w:color="auto" w:fill="auto"/>
            <w:vAlign w:val="center"/>
            <w:hideMark/>
          </w:tcPr>
          <w:p w14:paraId="2B68E124" w14:textId="77777777" w:rsidR="00AB2864" w:rsidRPr="008861D4" w:rsidRDefault="00AB2864" w:rsidP="008D6B0D">
            <w:pPr>
              <w:jc w:val="center"/>
              <w:rPr>
                <w:sz w:val="20"/>
                <w:szCs w:val="20"/>
                <w:lang w:val="lv-LV"/>
              </w:rPr>
            </w:pPr>
            <w:r w:rsidRPr="008861D4">
              <w:rPr>
                <w:sz w:val="20"/>
                <w:szCs w:val="20"/>
                <w:lang w:val="lv-LV"/>
              </w:rPr>
              <w:t>0</w:t>
            </w:r>
          </w:p>
        </w:tc>
        <w:tc>
          <w:tcPr>
            <w:tcW w:w="652" w:type="pct"/>
            <w:shd w:val="clear" w:color="auto" w:fill="auto"/>
            <w:vAlign w:val="center"/>
            <w:hideMark/>
          </w:tcPr>
          <w:p w14:paraId="7191EB5B" w14:textId="77777777" w:rsidR="00AB2864" w:rsidRPr="008861D4" w:rsidRDefault="00AB2864" w:rsidP="008D6B0D">
            <w:pPr>
              <w:jc w:val="center"/>
              <w:rPr>
                <w:sz w:val="20"/>
                <w:szCs w:val="20"/>
                <w:lang w:val="lv-LV"/>
              </w:rPr>
            </w:pPr>
            <w:r w:rsidRPr="008861D4">
              <w:rPr>
                <w:sz w:val="20"/>
                <w:szCs w:val="20"/>
                <w:lang w:val="lv-LV"/>
              </w:rPr>
              <w:t>0</w:t>
            </w:r>
          </w:p>
        </w:tc>
      </w:tr>
      <w:tr w:rsidR="008861D4" w:rsidRPr="008861D4" w14:paraId="5534BEAA" w14:textId="77777777" w:rsidTr="00D455E5">
        <w:tc>
          <w:tcPr>
            <w:tcW w:w="949" w:type="pct"/>
            <w:shd w:val="clear" w:color="auto" w:fill="auto"/>
            <w:hideMark/>
          </w:tcPr>
          <w:p w14:paraId="20FB6DA0"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t>1.3. pašvaldību budžets</w:t>
            </w:r>
          </w:p>
        </w:tc>
        <w:tc>
          <w:tcPr>
            <w:tcW w:w="574" w:type="pct"/>
            <w:shd w:val="clear" w:color="auto" w:fill="auto"/>
            <w:vAlign w:val="center"/>
            <w:hideMark/>
          </w:tcPr>
          <w:p w14:paraId="68A9623F"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452B03E5" w14:textId="77777777" w:rsidR="00AB2864" w:rsidRPr="008861D4" w:rsidRDefault="00AB2864" w:rsidP="008D6B0D">
            <w:pPr>
              <w:jc w:val="center"/>
              <w:rPr>
                <w:sz w:val="20"/>
                <w:szCs w:val="20"/>
                <w:lang w:val="lv-LV"/>
              </w:rPr>
            </w:pPr>
            <w:r w:rsidRPr="008861D4">
              <w:rPr>
                <w:sz w:val="20"/>
                <w:szCs w:val="20"/>
                <w:lang w:val="lv-LV"/>
              </w:rPr>
              <w:t>0</w:t>
            </w:r>
          </w:p>
        </w:tc>
        <w:tc>
          <w:tcPr>
            <w:tcW w:w="579" w:type="pct"/>
            <w:shd w:val="clear" w:color="auto" w:fill="auto"/>
            <w:vAlign w:val="center"/>
            <w:hideMark/>
          </w:tcPr>
          <w:p w14:paraId="1E414F72"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4A91876E" w14:textId="77777777" w:rsidR="00AB2864" w:rsidRPr="008861D4" w:rsidRDefault="00AB2864" w:rsidP="008D6B0D">
            <w:pPr>
              <w:jc w:val="center"/>
              <w:rPr>
                <w:sz w:val="20"/>
                <w:szCs w:val="20"/>
                <w:lang w:val="lv-LV"/>
              </w:rPr>
            </w:pPr>
            <w:r w:rsidRPr="008861D4">
              <w:rPr>
                <w:sz w:val="20"/>
                <w:szCs w:val="20"/>
                <w:lang w:val="lv-LV"/>
              </w:rPr>
              <w:t>0</w:t>
            </w:r>
          </w:p>
        </w:tc>
        <w:tc>
          <w:tcPr>
            <w:tcW w:w="508" w:type="pct"/>
            <w:shd w:val="clear" w:color="auto" w:fill="auto"/>
            <w:vAlign w:val="center"/>
            <w:hideMark/>
          </w:tcPr>
          <w:p w14:paraId="4C055795" w14:textId="77777777" w:rsidR="00AB2864" w:rsidRPr="008861D4" w:rsidRDefault="00AB2864" w:rsidP="008D6B0D">
            <w:pPr>
              <w:jc w:val="center"/>
              <w:rPr>
                <w:sz w:val="20"/>
                <w:szCs w:val="20"/>
                <w:lang w:val="lv-LV"/>
              </w:rPr>
            </w:pPr>
            <w:r w:rsidRPr="008861D4">
              <w:rPr>
                <w:sz w:val="20"/>
                <w:szCs w:val="20"/>
                <w:lang w:val="lv-LV"/>
              </w:rPr>
              <w:t>0</w:t>
            </w:r>
          </w:p>
        </w:tc>
        <w:tc>
          <w:tcPr>
            <w:tcW w:w="578" w:type="pct"/>
            <w:shd w:val="clear" w:color="auto" w:fill="auto"/>
            <w:vAlign w:val="center"/>
            <w:hideMark/>
          </w:tcPr>
          <w:p w14:paraId="03FDDA0E" w14:textId="77777777" w:rsidR="00AB2864" w:rsidRPr="008861D4" w:rsidRDefault="00AB2864" w:rsidP="008D6B0D">
            <w:pPr>
              <w:jc w:val="center"/>
              <w:rPr>
                <w:sz w:val="20"/>
                <w:szCs w:val="20"/>
                <w:lang w:val="lv-LV"/>
              </w:rPr>
            </w:pPr>
            <w:r w:rsidRPr="008861D4">
              <w:rPr>
                <w:sz w:val="20"/>
                <w:szCs w:val="20"/>
                <w:lang w:val="lv-LV"/>
              </w:rPr>
              <w:t>0</w:t>
            </w:r>
          </w:p>
        </w:tc>
        <w:tc>
          <w:tcPr>
            <w:tcW w:w="652" w:type="pct"/>
            <w:shd w:val="clear" w:color="auto" w:fill="auto"/>
            <w:vAlign w:val="center"/>
            <w:hideMark/>
          </w:tcPr>
          <w:p w14:paraId="3CA30648" w14:textId="77777777" w:rsidR="00AB2864" w:rsidRPr="008861D4" w:rsidRDefault="00AB2864" w:rsidP="008D6B0D">
            <w:pPr>
              <w:jc w:val="center"/>
              <w:rPr>
                <w:sz w:val="20"/>
                <w:szCs w:val="20"/>
                <w:lang w:val="lv-LV"/>
              </w:rPr>
            </w:pPr>
            <w:r w:rsidRPr="008861D4">
              <w:rPr>
                <w:sz w:val="20"/>
                <w:szCs w:val="20"/>
                <w:lang w:val="lv-LV"/>
              </w:rPr>
              <w:t>0</w:t>
            </w:r>
          </w:p>
        </w:tc>
      </w:tr>
      <w:tr w:rsidR="00D455E5" w:rsidRPr="008861D4" w14:paraId="54EA0AE6" w14:textId="77777777" w:rsidTr="00D455E5">
        <w:trPr>
          <w:trHeight w:val="627"/>
        </w:trPr>
        <w:tc>
          <w:tcPr>
            <w:tcW w:w="949" w:type="pct"/>
            <w:shd w:val="clear" w:color="auto" w:fill="auto"/>
            <w:hideMark/>
          </w:tcPr>
          <w:p w14:paraId="638356AC" w14:textId="77777777" w:rsidR="00D455E5" w:rsidRPr="008861D4" w:rsidRDefault="00D455E5" w:rsidP="00D455E5">
            <w:pPr>
              <w:rPr>
                <w:rFonts w:eastAsia="Times New Roman"/>
                <w:sz w:val="20"/>
                <w:szCs w:val="20"/>
                <w:lang w:val="lv-LV" w:eastAsia="lv-LV"/>
              </w:rPr>
            </w:pPr>
            <w:r w:rsidRPr="008861D4">
              <w:rPr>
                <w:rFonts w:eastAsia="Times New Roman"/>
                <w:sz w:val="20"/>
                <w:szCs w:val="20"/>
                <w:lang w:val="lv-LV" w:eastAsia="lv-LV"/>
              </w:rPr>
              <w:t>2. Budžeta izdevumi</w:t>
            </w:r>
          </w:p>
        </w:tc>
        <w:tc>
          <w:tcPr>
            <w:tcW w:w="574" w:type="pct"/>
            <w:shd w:val="clear" w:color="auto" w:fill="auto"/>
            <w:vAlign w:val="center"/>
          </w:tcPr>
          <w:p w14:paraId="40A0F94C" w14:textId="72A16D66" w:rsidR="00D455E5" w:rsidRPr="008861D4" w:rsidRDefault="00D455E5" w:rsidP="00D455E5">
            <w:pPr>
              <w:rPr>
                <w:rFonts w:eastAsia="Times New Roman"/>
                <w:color w:val="FF0000"/>
                <w:sz w:val="20"/>
                <w:szCs w:val="20"/>
                <w:lang w:val="lv-LV" w:eastAsia="lv-LV"/>
              </w:rPr>
            </w:pPr>
            <w:r>
              <w:rPr>
                <w:rFonts w:eastAsia="Times New Roman"/>
                <w:sz w:val="20"/>
                <w:szCs w:val="20"/>
                <w:lang w:val="lv-LV" w:eastAsia="lv-LV"/>
              </w:rPr>
              <w:t>4 062 589</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A88B943" w14:textId="776F6980" w:rsidR="00D455E5" w:rsidRPr="008861D4" w:rsidRDefault="00D455E5" w:rsidP="00D455E5">
            <w:pPr>
              <w:rPr>
                <w:rFonts w:eastAsia="Times New Roman"/>
                <w:color w:val="FF0000"/>
                <w:sz w:val="20"/>
                <w:szCs w:val="20"/>
                <w:lang w:val="lv-LV" w:eastAsia="lv-LV"/>
              </w:rPr>
            </w:pPr>
            <w:r>
              <w:rPr>
                <w:sz w:val="20"/>
                <w:szCs w:val="20"/>
                <w:lang w:val="lv-LV"/>
              </w:rPr>
              <w:t>6 937 411</w:t>
            </w:r>
          </w:p>
        </w:tc>
        <w:tc>
          <w:tcPr>
            <w:tcW w:w="579" w:type="pct"/>
            <w:shd w:val="clear" w:color="auto" w:fill="auto"/>
            <w:vAlign w:val="center"/>
          </w:tcPr>
          <w:p w14:paraId="6A384BAE" w14:textId="043DD38F" w:rsidR="00D455E5" w:rsidRPr="008861D4" w:rsidRDefault="00D455E5" w:rsidP="00D455E5">
            <w:pPr>
              <w:rPr>
                <w:rFonts w:eastAsia="Times New Roman"/>
                <w:color w:val="FF0000"/>
                <w:sz w:val="20"/>
                <w:szCs w:val="20"/>
                <w:lang w:val="lv-LV" w:eastAsia="lv-LV"/>
              </w:rPr>
            </w:pPr>
            <w:r>
              <w:rPr>
                <w:rFonts w:eastAsia="Times New Roman"/>
                <w:sz w:val="20"/>
                <w:szCs w:val="20"/>
                <w:lang w:val="lv-LV" w:eastAsia="lv-LV"/>
              </w:rPr>
              <w:t>1 939 286</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CBC344C" w14:textId="5F8C4411" w:rsidR="00D455E5" w:rsidRPr="008861D4" w:rsidRDefault="00D455E5" w:rsidP="00D455E5">
            <w:pPr>
              <w:rPr>
                <w:rFonts w:eastAsia="Times New Roman"/>
                <w:color w:val="FF0000"/>
                <w:sz w:val="20"/>
                <w:szCs w:val="20"/>
                <w:lang w:val="lv-LV" w:eastAsia="lv-LV"/>
              </w:rPr>
            </w:pPr>
            <w:r>
              <w:rPr>
                <w:sz w:val="20"/>
                <w:szCs w:val="20"/>
                <w:lang w:val="lv-LV"/>
              </w:rPr>
              <w:t>9 060 714</w:t>
            </w:r>
          </w:p>
        </w:tc>
        <w:tc>
          <w:tcPr>
            <w:tcW w:w="508" w:type="pct"/>
            <w:shd w:val="clear" w:color="auto" w:fill="auto"/>
            <w:vAlign w:val="center"/>
          </w:tcPr>
          <w:p w14:paraId="2B2EF22C" w14:textId="78EC3DDC" w:rsidR="00D455E5" w:rsidRPr="008861D4" w:rsidRDefault="00D455E5" w:rsidP="00D455E5">
            <w:pPr>
              <w:jc w:val="center"/>
              <w:rPr>
                <w:rFonts w:eastAsia="Times New Roman"/>
                <w:sz w:val="20"/>
                <w:szCs w:val="20"/>
                <w:lang w:val="lv-LV" w:eastAsia="lv-LV"/>
              </w:rPr>
            </w:pPr>
            <w:r>
              <w:rPr>
                <w:rFonts w:eastAsia="Times New Roman"/>
                <w:sz w:val="20"/>
                <w:szCs w:val="20"/>
                <w:lang w:val="lv-LV" w:eastAsia="lv-LV"/>
              </w:rPr>
              <w:t>0</w:t>
            </w:r>
          </w:p>
        </w:tc>
        <w:tc>
          <w:tcPr>
            <w:tcW w:w="578" w:type="pct"/>
            <w:shd w:val="clear" w:color="auto" w:fill="auto"/>
            <w:vAlign w:val="center"/>
          </w:tcPr>
          <w:p w14:paraId="430D3C0E" w14:textId="797EB065" w:rsidR="00D455E5" w:rsidRPr="008861D4" w:rsidRDefault="00D455E5" w:rsidP="00D455E5">
            <w:pPr>
              <w:jc w:val="center"/>
              <w:rPr>
                <w:rFonts w:eastAsia="Times New Roman"/>
                <w:color w:val="FF0000"/>
                <w:sz w:val="20"/>
                <w:szCs w:val="20"/>
                <w:lang w:val="lv-LV" w:eastAsia="lv-LV"/>
              </w:rPr>
            </w:pPr>
            <w:r w:rsidRPr="008861D4">
              <w:rPr>
                <w:sz w:val="20"/>
                <w:szCs w:val="20"/>
                <w:lang w:val="lv-LV"/>
              </w:rPr>
              <w:t>0</w:t>
            </w:r>
          </w:p>
        </w:tc>
        <w:tc>
          <w:tcPr>
            <w:tcW w:w="652" w:type="pct"/>
            <w:shd w:val="clear" w:color="auto" w:fill="auto"/>
            <w:vAlign w:val="center"/>
          </w:tcPr>
          <w:p w14:paraId="6DC5B628" w14:textId="5A57F57E" w:rsidR="00D455E5" w:rsidRPr="008861D4" w:rsidRDefault="00D455E5" w:rsidP="00D455E5">
            <w:pPr>
              <w:jc w:val="center"/>
              <w:rPr>
                <w:rFonts w:eastAsia="Times New Roman"/>
                <w:color w:val="FF0000"/>
                <w:sz w:val="20"/>
                <w:szCs w:val="20"/>
                <w:lang w:val="lv-LV" w:eastAsia="lv-LV"/>
              </w:rPr>
            </w:pPr>
            <w:r w:rsidRPr="008861D4">
              <w:rPr>
                <w:sz w:val="20"/>
                <w:szCs w:val="20"/>
                <w:lang w:val="lv-LV"/>
              </w:rPr>
              <w:t>0</w:t>
            </w:r>
          </w:p>
        </w:tc>
      </w:tr>
      <w:tr w:rsidR="00D455E5" w:rsidRPr="008861D4" w14:paraId="54FD0C07" w14:textId="77777777" w:rsidTr="00D455E5">
        <w:trPr>
          <w:trHeight w:val="535"/>
        </w:trPr>
        <w:tc>
          <w:tcPr>
            <w:tcW w:w="949" w:type="pct"/>
            <w:shd w:val="clear" w:color="auto" w:fill="auto"/>
            <w:hideMark/>
          </w:tcPr>
          <w:p w14:paraId="31B108D3" w14:textId="77777777" w:rsidR="00D455E5" w:rsidRPr="008861D4" w:rsidRDefault="00D455E5" w:rsidP="00D455E5">
            <w:pPr>
              <w:rPr>
                <w:rFonts w:eastAsia="Times New Roman"/>
                <w:sz w:val="20"/>
                <w:szCs w:val="20"/>
                <w:lang w:val="lv-LV" w:eastAsia="lv-LV"/>
              </w:rPr>
            </w:pPr>
            <w:r w:rsidRPr="008861D4">
              <w:rPr>
                <w:rFonts w:eastAsia="Times New Roman"/>
                <w:sz w:val="20"/>
                <w:szCs w:val="20"/>
                <w:lang w:val="lv-LV" w:eastAsia="lv-LV"/>
              </w:rPr>
              <w:t>2.1. valsts pamatbudžets</w:t>
            </w:r>
          </w:p>
        </w:tc>
        <w:tc>
          <w:tcPr>
            <w:tcW w:w="574" w:type="pct"/>
            <w:shd w:val="clear" w:color="auto" w:fill="auto"/>
            <w:vAlign w:val="center"/>
          </w:tcPr>
          <w:p w14:paraId="6FAC5660" w14:textId="14C5E12C" w:rsidR="00D455E5" w:rsidRPr="008861D4" w:rsidRDefault="00D455E5" w:rsidP="00D455E5">
            <w:pPr>
              <w:rPr>
                <w:color w:val="FF0000"/>
                <w:sz w:val="20"/>
                <w:szCs w:val="20"/>
                <w:lang w:val="lv-LV"/>
              </w:rPr>
            </w:pPr>
            <w:r>
              <w:rPr>
                <w:rFonts w:eastAsia="Times New Roman"/>
                <w:sz w:val="20"/>
                <w:szCs w:val="20"/>
                <w:lang w:val="lv-LV" w:eastAsia="lv-LV"/>
              </w:rPr>
              <w:t>4 062 589</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17A84E8" w14:textId="1244D97C" w:rsidR="00D455E5" w:rsidRPr="008861D4" w:rsidRDefault="00D455E5" w:rsidP="00D455E5">
            <w:pPr>
              <w:ind w:right="-101"/>
              <w:rPr>
                <w:color w:val="FF0000"/>
                <w:sz w:val="20"/>
                <w:szCs w:val="20"/>
                <w:lang w:val="lv-LV"/>
              </w:rPr>
            </w:pPr>
            <w:r>
              <w:rPr>
                <w:sz w:val="20"/>
                <w:szCs w:val="20"/>
                <w:lang w:val="lv-LV"/>
              </w:rPr>
              <w:t>6 937 411</w:t>
            </w:r>
          </w:p>
        </w:tc>
        <w:tc>
          <w:tcPr>
            <w:tcW w:w="579" w:type="pct"/>
            <w:shd w:val="clear" w:color="auto" w:fill="auto"/>
            <w:vAlign w:val="center"/>
          </w:tcPr>
          <w:p w14:paraId="14497EA4" w14:textId="777F2D86" w:rsidR="00D455E5" w:rsidRPr="008861D4" w:rsidRDefault="00D455E5" w:rsidP="00D455E5">
            <w:pPr>
              <w:rPr>
                <w:color w:val="FF0000"/>
                <w:sz w:val="20"/>
                <w:szCs w:val="20"/>
                <w:lang w:val="lv-LV"/>
              </w:rPr>
            </w:pPr>
            <w:r>
              <w:rPr>
                <w:rFonts w:eastAsia="Times New Roman"/>
                <w:sz w:val="20"/>
                <w:szCs w:val="20"/>
                <w:lang w:val="lv-LV" w:eastAsia="lv-LV"/>
              </w:rPr>
              <w:t>1 939 286</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28C228E" w14:textId="267E089C" w:rsidR="00D455E5" w:rsidRPr="008861D4" w:rsidRDefault="00D455E5" w:rsidP="00D455E5">
            <w:pPr>
              <w:rPr>
                <w:color w:val="FF0000"/>
                <w:sz w:val="20"/>
                <w:szCs w:val="20"/>
                <w:lang w:val="lv-LV"/>
              </w:rPr>
            </w:pPr>
            <w:r>
              <w:rPr>
                <w:sz w:val="20"/>
                <w:szCs w:val="20"/>
                <w:lang w:val="lv-LV"/>
              </w:rPr>
              <w:t>9 060 714</w:t>
            </w:r>
          </w:p>
        </w:tc>
        <w:tc>
          <w:tcPr>
            <w:tcW w:w="508" w:type="pct"/>
            <w:shd w:val="clear" w:color="auto" w:fill="auto"/>
            <w:vAlign w:val="center"/>
          </w:tcPr>
          <w:p w14:paraId="35169EA4" w14:textId="2583FEA0" w:rsidR="00D455E5" w:rsidRPr="008861D4" w:rsidRDefault="00D455E5" w:rsidP="00D455E5">
            <w:pPr>
              <w:jc w:val="center"/>
              <w:rPr>
                <w:sz w:val="20"/>
                <w:szCs w:val="20"/>
                <w:lang w:val="lv-LV"/>
              </w:rPr>
            </w:pPr>
            <w:r>
              <w:rPr>
                <w:sz w:val="20"/>
                <w:szCs w:val="20"/>
                <w:lang w:val="lv-LV"/>
              </w:rPr>
              <w:t>0</w:t>
            </w:r>
          </w:p>
        </w:tc>
        <w:tc>
          <w:tcPr>
            <w:tcW w:w="578" w:type="pct"/>
            <w:shd w:val="clear" w:color="auto" w:fill="auto"/>
            <w:vAlign w:val="center"/>
          </w:tcPr>
          <w:p w14:paraId="3FD0D97D" w14:textId="55384663" w:rsidR="00D455E5" w:rsidRPr="008861D4" w:rsidRDefault="00D455E5" w:rsidP="00D455E5">
            <w:pPr>
              <w:jc w:val="center"/>
              <w:rPr>
                <w:color w:val="FF0000"/>
                <w:sz w:val="20"/>
                <w:szCs w:val="20"/>
                <w:lang w:val="lv-LV"/>
              </w:rPr>
            </w:pPr>
            <w:r w:rsidRPr="008861D4">
              <w:rPr>
                <w:sz w:val="20"/>
                <w:szCs w:val="20"/>
                <w:lang w:val="lv-LV"/>
              </w:rPr>
              <w:t>0</w:t>
            </w:r>
          </w:p>
        </w:tc>
        <w:tc>
          <w:tcPr>
            <w:tcW w:w="652" w:type="pct"/>
            <w:shd w:val="clear" w:color="auto" w:fill="auto"/>
            <w:vAlign w:val="center"/>
          </w:tcPr>
          <w:p w14:paraId="4A345711" w14:textId="414A5FE7" w:rsidR="00D455E5" w:rsidRPr="008861D4" w:rsidRDefault="00D455E5" w:rsidP="00D455E5">
            <w:pPr>
              <w:jc w:val="center"/>
              <w:rPr>
                <w:color w:val="FF0000"/>
                <w:sz w:val="20"/>
                <w:szCs w:val="20"/>
                <w:lang w:val="lv-LV"/>
              </w:rPr>
            </w:pPr>
            <w:r w:rsidRPr="008861D4">
              <w:rPr>
                <w:sz w:val="20"/>
                <w:szCs w:val="20"/>
                <w:lang w:val="lv-LV"/>
              </w:rPr>
              <w:t>0</w:t>
            </w:r>
          </w:p>
        </w:tc>
      </w:tr>
      <w:tr w:rsidR="008861D4" w:rsidRPr="008861D4" w14:paraId="228CA38A" w14:textId="77777777" w:rsidTr="00D455E5">
        <w:tc>
          <w:tcPr>
            <w:tcW w:w="949" w:type="pct"/>
            <w:shd w:val="clear" w:color="auto" w:fill="auto"/>
            <w:hideMark/>
          </w:tcPr>
          <w:p w14:paraId="0AC3551E"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t>2.2. valsts speciālais budžets</w:t>
            </w:r>
          </w:p>
        </w:tc>
        <w:tc>
          <w:tcPr>
            <w:tcW w:w="574" w:type="pct"/>
            <w:shd w:val="clear" w:color="auto" w:fill="auto"/>
            <w:vAlign w:val="center"/>
            <w:hideMark/>
          </w:tcPr>
          <w:p w14:paraId="02A51AF2"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13076E7D" w14:textId="77777777" w:rsidR="00AB2864" w:rsidRPr="008861D4" w:rsidRDefault="00AB2864" w:rsidP="008D6B0D">
            <w:pPr>
              <w:jc w:val="center"/>
              <w:rPr>
                <w:sz w:val="20"/>
                <w:szCs w:val="20"/>
                <w:lang w:val="lv-LV"/>
              </w:rPr>
            </w:pPr>
            <w:r w:rsidRPr="008861D4">
              <w:rPr>
                <w:sz w:val="20"/>
                <w:szCs w:val="20"/>
                <w:lang w:val="lv-LV"/>
              </w:rPr>
              <w:t>0</w:t>
            </w:r>
          </w:p>
        </w:tc>
        <w:tc>
          <w:tcPr>
            <w:tcW w:w="579" w:type="pct"/>
            <w:shd w:val="clear" w:color="auto" w:fill="auto"/>
            <w:vAlign w:val="center"/>
            <w:hideMark/>
          </w:tcPr>
          <w:p w14:paraId="1F266A36"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1FC557F6" w14:textId="77777777" w:rsidR="00AB2864" w:rsidRPr="008861D4" w:rsidRDefault="00AB2864" w:rsidP="008D6B0D">
            <w:pPr>
              <w:jc w:val="center"/>
              <w:rPr>
                <w:sz w:val="20"/>
                <w:szCs w:val="20"/>
                <w:lang w:val="lv-LV"/>
              </w:rPr>
            </w:pPr>
            <w:r w:rsidRPr="008861D4">
              <w:rPr>
                <w:sz w:val="20"/>
                <w:szCs w:val="20"/>
                <w:lang w:val="lv-LV"/>
              </w:rPr>
              <w:t>0</w:t>
            </w:r>
          </w:p>
        </w:tc>
        <w:tc>
          <w:tcPr>
            <w:tcW w:w="508" w:type="pct"/>
            <w:shd w:val="clear" w:color="auto" w:fill="auto"/>
            <w:vAlign w:val="center"/>
            <w:hideMark/>
          </w:tcPr>
          <w:p w14:paraId="70CC30A3" w14:textId="77777777" w:rsidR="00AB2864" w:rsidRPr="008861D4" w:rsidRDefault="00AB2864" w:rsidP="008D6B0D">
            <w:pPr>
              <w:jc w:val="center"/>
              <w:rPr>
                <w:sz w:val="20"/>
                <w:szCs w:val="20"/>
                <w:lang w:val="lv-LV"/>
              </w:rPr>
            </w:pPr>
            <w:r w:rsidRPr="008861D4">
              <w:rPr>
                <w:sz w:val="20"/>
                <w:szCs w:val="20"/>
                <w:lang w:val="lv-LV"/>
              </w:rPr>
              <w:t>0</w:t>
            </w:r>
          </w:p>
        </w:tc>
        <w:tc>
          <w:tcPr>
            <w:tcW w:w="578" w:type="pct"/>
            <w:shd w:val="clear" w:color="auto" w:fill="auto"/>
            <w:vAlign w:val="center"/>
            <w:hideMark/>
          </w:tcPr>
          <w:p w14:paraId="6472C6DD" w14:textId="77777777" w:rsidR="00AB2864" w:rsidRPr="008861D4" w:rsidRDefault="00AB2864" w:rsidP="008D6B0D">
            <w:pPr>
              <w:jc w:val="center"/>
              <w:rPr>
                <w:sz w:val="20"/>
                <w:szCs w:val="20"/>
                <w:lang w:val="lv-LV"/>
              </w:rPr>
            </w:pPr>
            <w:r w:rsidRPr="008861D4">
              <w:rPr>
                <w:sz w:val="20"/>
                <w:szCs w:val="20"/>
                <w:lang w:val="lv-LV"/>
              </w:rPr>
              <w:t>0</w:t>
            </w:r>
          </w:p>
        </w:tc>
        <w:tc>
          <w:tcPr>
            <w:tcW w:w="652" w:type="pct"/>
            <w:shd w:val="clear" w:color="auto" w:fill="auto"/>
            <w:vAlign w:val="center"/>
            <w:hideMark/>
          </w:tcPr>
          <w:p w14:paraId="2243EA9F" w14:textId="77777777" w:rsidR="00AB2864" w:rsidRPr="008861D4" w:rsidRDefault="00AB2864" w:rsidP="008D6B0D">
            <w:pPr>
              <w:jc w:val="center"/>
              <w:rPr>
                <w:sz w:val="20"/>
                <w:szCs w:val="20"/>
                <w:lang w:val="lv-LV"/>
              </w:rPr>
            </w:pPr>
            <w:r w:rsidRPr="008861D4">
              <w:rPr>
                <w:sz w:val="20"/>
                <w:szCs w:val="20"/>
                <w:lang w:val="lv-LV"/>
              </w:rPr>
              <w:t>0</w:t>
            </w:r>
          </w:p>
        </w:tc>
      </w:tr>
      <w:tr w:rsidR="008861D4" w:rsidRPr="008861D4" w14:paraId="5FF4CDA4" w14:textId="77777777" w:rsidTr="00D455E5">
        <w:tc>
          <w:tcPr>
            <w:tcW w:w="949" w:type="pct"/>
            <w:shd w:val="clear" w:color="auto" w:fill="auto"/>
            <w:hideMark/>
          </w:tcPr>
          <w:p w14:paraId="086AAD71"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t>2.3. pašvaldību budžets</w:t>
            </w:r>
          </w:p>
        </w:tc>
        <w:tc>
          <w:tcPr>
            <w:tcW w:w="574" w:type="pct"/>
            <w:shd w:val="clear" w:color="auto" w:fill="auto"/>
            <w:vAlign w:val="center"/>
            <w:hideMark/>
          </w:tcPr>
          <w:p w14:paraId="7F8C8663"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4D0C88F6" w14:textId="77777777" w:rsidR="00AB2864" w:rsidRPr="008861D4" w:rsidRDefault="00AB2864" w:rsidP="008D6B0D">
            <w:pPr>
              <w:jc w:val="center"/>
              <w:rPr>
                <w:sz w:val="20"/>
                <w:szCs w:val="20"/>
                <w:lang w:val="lv-LV"/>
              </w:rPr>
            </w:pPr>
            <w:r w:rsidRPr="008861D4">
              <w:rPr>
                <w:sz w:val="20"/>
                <w:szCs w:val="20"/>
                <w:lang w:val="lv-LV"/>
              </w:rPr>
              <w:t>0</w:t>
            </w:r>
          </w:p>
        </w:tc>
        <w:tc>
          <w:tcPr>
            <w:tcW w:w="579" w:type="pct"/>
            <w:shd w:val="clear" w:color="auto" w:fill="auto"/>
            <w:vAlign w:val="center"/>
            <w:hideMark/>
          </w:tcPr>
          <w:p w14:paraId="74EF2F17"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16EE6A83" w14:textId="77777777" w:rsidR="00AB2864" w:rsidRPr="008861D4" w:rsidRDefault="00AB2864" w:rsidP="008D6B0D">
            <w:pPr>
              <w:jc w:val="center"/>
              <w:rPr>
                <w:sz w:val="20"/>
                <w:szCs w:val="20"/>
                <w:lang w:val="lv-LV"/>
              </w:rPr>
            </w:pPr>
            <w:r w:rsidRPr="008861D4">
              <w:rPr>
                <w:sz w:val="20"/>
                <w:szCs w:val="20"/>
                <w:lang w:val="lv-LV"/>
              </w:rPr>
              <w:t>0</w:t>
            </w:r>
          </w:p>
        </w:tc>
        <w:tc>
          <w:tcPr>
            <w:tcW w:w="508" w:type="pct"/>
            <w:shd w:val="clear" w:color="auto" w:fill="auto"/>
            <w:vAlign w:val="center"/>
            <w:hideMark/>
          </w:tcPr>
          <w:p w14:paraId="5378DF75" w14:textId="77777777" w:rsidR="00AB2864" w:rsidRPr="008861D4" w:rsidRDefault="00AB2864" w:rsidP="008D6B0D">
            <w:pPr>
              <w:jc w:val="center"/>
              <w:rPr>
                <w:sz w:val="20"/>
                <w:szCs w:val="20"/>
                <w:lang w:val="lv-LV"/>
              </w:rPr>
            </w:pPr>
            <w:r w:rsidRPr="008861D4">
              <w:rPr>
                <w:sz w:val="20"/>
                <w:szCs w:val="20"/>
                <w:lang w:val="lv-LV"/>
              </w:rPr>
              <w:t>0</w:t>
            </w:r>
          </w:p>
        </w:tc>
        <w:tc>
          <w:tcPr>
            <w:tcW w:w="578" w:type="pct"/>
            <w:shd w:val="clear" w:color="auto" w:fill="auto"/>
            <w:vAlign w:val="center"/>
            <w:hideMark/>
          </w:tcPr>
          <w:p w14:paraId="5F216A5D" w14:textId="77777777" w:rsidR="00AB2864" w:rsidRPr="008861D4" w:rsidRDefault="00AB2864" w:rsidP="008D6B0D">
            <w:pPr>
              <w:jc w:val="center"/>
              <w:rPr>
                <w:sz w:val="20"/>
                <w:szCs w:val="20"/>
                <w:lang w:val="lv-LV"/>
              </w:rPr>
            </w:pPr>
            <w:r w:rsidRPr="008861D4">
              <w:rPr>
                <w:sz w:val="20"/>
                <w:szCs w:val="20"/>
                <w:lang w:val="lv-LV"/>
              </w:rPr>
              <w:t>0</w:t>
            </w:r>
          </w:p>
        </w:tc>
        <w:tc>
          <w:tcPr>
            <w:tcW w:w="652" w:type="pct"/>
            <w:shd w:val="clear" w:color="auto" w:fill="auto"/>
            <w:vAlign w:val="center"/>
            <w:hideMark/>
          </w:tcPr>
          <w:p w14:paraId="1FFA49FA" w14:textId="77777777" w:rsidR="00AB2864" w:rsidRPr="008861D4" w:rsidRDefault="00AB2864" w:rsidP="008D6B0D">
            <w:pPr>
              <w:jc w:val="center"/>
              <w:rPr>
                <w:sz w:val="20"/>
                <w:szCs w:val="20"/>
                <w:lang w:val="lv-LV"/>
              </w:rPr>
            </w:pPr>
            <w:r w:rsidRPr="008861D4">
              <w:rPr>
                <w:sz w:val="20"/>
                <w:szCs w:val="20"/>
                <w:lang w:val="lv-LV"/>
              </w:rPr>
              <w:t>0</w:t>
            </w:r>
          </w:p>
        </w:tc>
      </w:tr>
      <w:tr w:rsidR="00D455E5" w:rsidRPr="008861D4" w14:paraId="78AB8953" w14:textId="77777777" w:rsidTr="00D455E5">
        <w:trPr>
          <w:trHeight w:val="537"/>
        </w:trPr>
        <w:tc>
          <w:tcPr>
            <w:tcW w:w="949" w:type="pct"/>
            <w:shd w:val="clear" w:color="auto" w:fill="auto"/>
            <w:hideMark/>
          </w:tcPr>
          <w:p w14:paraId="4D81F3E7" w14:textId="77777777" w:rsidR="00D455E5" w:rsidRPr="008861D4" w:rsidRDefault="00D455E5" w:rsidP="00D455E5">
            <w:pPr>
              <w:rPr>
                <w:rFonts w:eastAsia="Times New Roman"/>
                <w:sz w:val="20"/>
                <w:szCs w:val="20"/>
                <w:lang w:val="lv-LV" w:eastAsia="lv-LV"/>
              </w:rPr>
            </w:pPr>
            <w:r w:rsidRPr="008861D4">
              <w:rPr>
                <w:rFonts w:eastAsia="Times New Roman"/>
                <w:sz w:val="20"/>
                <w:szCs w:val="20"/>
                <w:lang w:val="lv-LV" w:eastAsia="lv-LV"/>
              </w:rPr>
              <w:t>3. Finansiālā ietekme</w:t>
            </w:r>
          </w:p>
        </w:tc>
        <w:tc>
          <w:tcPr>
            <w:tcW w:w="574" w:type="pct"/>
            <w:shd w:val="clear" w:color="auto" w:fill="auto"/>
            <w:vAlign w:val="center"/>
            <w:hideMark/>
          </w:tcPr>
          <w:p w14:paraId="0D76D145" w14:textId="7678A90A" w:rsidR="00D455E5" w:rsidRPr="008861D4" w:rsidRDefault="00D455E5" w:rsidP="00D455E5">
            <w:pPr>
              <w:rPr>
                <w:rFonts w:eastAsia="Times New Roman"/>
                <w:color w:val="FF0000"/>
                <w:sz w:val="20"/>
                <w:szCs w:val="20"/>
                <w:lang w:val="lv-LV" w:eastAsia="lv-LV"/>
              </w:rPr>
            </w:pPr>
            <w:r>
              <w:rPr>
                <w:rFonts w:eastAsia="Times New Roman"/>
                <w:sz w:val="20"/>
                <w:szCs w:val="20"/>
                <w:lang w:val="lv-LV" w:eastAsia="lv-LV"/>
              </w:rPr>
              <w:t>-1 300 028</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246EA35" w14:textId="4467B9C2" w:rsidR="00D455E5" w:rsidRPr="008861D4" w:rsidRDefault="00D455E5" w:rsidP="00D455E5">
            <w:pPr>
              <w:ind w:right="-101"/>
              <w:jc w:val="center"/>
              <w:rPr>
                <w:rFonts w:eastAsia="Times New Roman"/>
                <w:color w:val="FF0000"/>
                <w:sz w:val="20"/>
                <w:szCs w:val="20"/>
                <w:lang w:val="lv-LV" w:eastAsia="lv-LV"/>
              </w:rPr>
            </w:pPr>
            <w:r>
              <w:rPr>
                <w:sz w:val="20"/>
                <w:szCs w:val="20"/>
                <w:lang w:val="lv-LV"/>
              </w:rPr>
              <w:t>-2 219 972</w:t>
            </w:r>
          </w:p>
        </w:tc>
        <w:tc>
          <w:tcPr>
            <w:tcW w:w="579" w:type="pct"/>
            <w:shd w:val="clear" w:color="auto" w:fill="auto"/>
            <w:vAlign w:val="center"/>
            <w:hideMark/>
          </w:tcPr>
          <w:p w14:paraId="1593B831" w14:textId="294D8791" w:rsidR="00D455E5" w:rsidRPr="008861D4" w:rsidRDefault="00D455E5" w:rsidP="00D455E5">
            <w:pPr>
              <w:jc w:val="center"/>
              <w:rPr>
                <w:rFonts w:eastAsia="Times New Roman"/>
                <w:color w:val="FF0000"/>
                <w:sz w:val="20"/>
                <w:szCs w:val="20"/>
                <w:lang w:val="lv-LV" w:eastAsia="lv-LV"/>
              </w:rPr>
            </w:pPr>
            <w:r>
              <w:rPr>
                <w:rFonts w:eastAsia="Times New Roman"/>
                <w:sz w:val="20"/>
                <w:szCs w:val="20"/>
                <w:lang w:val="lv-LV" w:eastAsia="lv-LV"/>
              </w:rPr>
              <w:t>-620 572</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F0DE779" w14:textId="2CB76BFB" w:rsidR="00D455E5" w:rsidRPr="008861D4" w:rsidRDefault="00D455E5" w:rsidP="00D455E5">
            <w:pPr>
              <w:jc w:val="center"/>
              <w:rPr>
                <w:rFonts w:eastAsia="Times New Roman"/>
                <w:color w:val="FF0000"/>
                <w:sz w:val="20"/>
                <w:szCs w:val="20"/>
                <w:lang w:val="lv-LV" w:eastAsia="lv-LV"/>
              </w:rPr>
            </w:pPr>
            <w:r>
              <w:rPr>
                <w:sz w:val="20"/>
                <w:szCs w:val="20"/>
                <w:lang w:val="lv-LV"/>
              </w:rPr>
              <w:t>-2 899 428</w:t>
            </w:r>
          </w:p>
        </w:tc>
        <w:tc>
          <w:tcPr>
            <w:tcW w:w="508" w:type="pct"/>
            <w:shd w:val="clear" w:color="auto" w:fill="auto"/>
            <w:vAlign w:val="center"/>
            <w:hideMark/>
          </w:tcPr>
          <w:p w14:paraId="3375E539" w14:textId="77777777" w:rsidR="00D455E5" w:rsidRPr="00D455E5" w:rsidRDefault="00D455E5" w:rsidP="00D455E5">
            <w:pPr>
              <w:jc w:val="center"/>
              <w:rPr>
                <w:rFonts w:eastAsia="Times New Roman"/>
                <w:sz w:val="20"/>
                <w:szCs w:val="20"/>
                <w:lang w:val="lv-LV" w:eastAsia="lv-LV"/>
              </w:rPr>
            </w:pPr>
            <w:r w:rsidRPr="00D455E5">
              <w:rPr>
                <w:rFonts w:eastAsia="Times New Roman"/>
                <w:sz w:val="20"/>
                <w:szCs w:val="20"/>
                <w:lang w:val="lv-LV" w:eastAsia="lv-LV"/>
              </w:rPr>
              <w:t>0</w:t>
            </w:r>
          </w:p>
        </w:tc>
        <w:tc>
          <w:tcPr>
            <w:tcW w:w="578" w:type="pct"/>
            <w:shd w:val="clear" w:color="auto" w:fill="auto"/>
            <w:vAlign w:val="center"/>
          </w:tcPr>
          <w:p w14:paraId="4CE7947F" w14:textId="7B0A0714" w:rsidR="00D455E5" w:rsidRPr="008861D4" w:rsidRDefault="00D455E5" w:rsidP="00D455E5">
            <w:pPr>
              <w:jc w:val="center"/>
              <w:rPr>
                <w:rFonts w:eastAsia="Times New Roman"/>
                <w:color w:val="FF0000"/>
                <w:sz w:val="20"/>
                <w:szCs w:val="20"/>
                <w:lang w:val="lv-LV" w:eastAsia="lv-LV"/>
              </w:rPr>
            </w:pPr>
            <w:r w:rsidRPr="008861D4">
              <w:rPr>
                <w:sz w:val="20"/>
                <w:szCs w:val="20"/>
                <w:lang w:val="lv-LV"/>
              </w:rPr>
              <w:t>0</w:t>
            </w:r>
          </w:p>
        </w:tc>
        <w:tc>
          <w:tcPr>
            <w:tcW w:w="652" w:type="pct"/>
            <w:shd w:val="clear" w:color="auto" w:fill="auto"/>
            <w:vAlign w:val="center"/>
          </w:tcPr>
          <w:p w14:paraId="6B38AF57" w14:textId="0A5754D5" w:rsidR="00D455E5" w:rsidRPr="008861D4" w:rsidRDefault="00D455E5" w:rsidP="00D455E5">
            <w:pPr>
              <w:jc w:val="center"/>
              <w:rPr>
                <w:rFonts w:eastAsia="Times New Roman"/>
                <w:color w:val="FF0000"/>
                <w:sz w:val="20"/>
                <w:szCs w:val="20"/>
                <w:lang w:val="lv-LV" w:eastAsia="lv-LV"/>
              </w:rPr>
            </w:pPr>
            <w:r w:rsidRPr="008861D4">
              <w:rPr>
                <w:sz w:val="20"/>
                <w:szCs w:val="20"/>
                <w:lang w:val="lv-LV"/>
              </w:rPr>
              <w:t>0</w:t>
            </w:r>
          </w:p>
        </w:tc>
      </w:tr>
      <w:tr w:rsidR="00D455E5" w:rsidRPr="008861D4" w14:paraId="665AB4DD" w14:textId="77777777" w:rsidTr="00D455E5">
        <w:trPr>
          <w:trHeight w:val="558"/>
        </w:trPr>
        <w:tc>
          <w:tcPr>
            <w:tcW w:w="949" w:type="pct"/>
            <w:shd w:val="clear" w:color="auto" w:fill="auto"/>
            <w:hideMark/>
          </w:tcPr>
          <w:p w14:paraId="67C02492" w14:textId="77777777" w:rsidR="00D455E5" w:rsidRPr="008861D4" w:rsidRDefault="00D455E5" w:rsidP="00D455E5">
            <w:pPr>
              <w:rPr>
                <w:rFonts w:eastAsia="Times New Roman"/>
                <w:sz w:val="20"/>
                <w:szCs w:val="20"/>
                <w:lang w:val="lv-LV" w:eastAsia="lv-LV"/>
              </w:rPr>
            </w:pPr>
            <w:r w:rsidRPr="008861D4">
              <w:rPr>
                <w:rFonts w:eastAsia="Times New Roman"/>
                <w:sz w:val="20"/>
                <w:szCs w:val="20"/>
                <w:lang w:val="lv-LV" w:eastAsia="lv-LV"/>
              </w:rPr>
              <w:t>3.1. valsts pamatbudžets</w:t>
            </w:r>
          </w:p>
        </w:tc>
        <w:tc>
          <w:tcPr>
            <w:tcW w:w="574" w:type="pct"/>
            <w:shd w:val="clear" w:color="auto" w:fill="auto"/>
            <w:vAlign w:val="center"/>
            <w:hideMark/>
          </w:tcPr>
          <w:p w14:paraId="5147D2C6" w14:textId="03560044" w:rsidR="00D455E5" w:rsidRPr="008861D4" w:rsidRDefault="00D455E5" w:rsidP="00D455E5">
            <w:pPr>
              <w:jc w:val="center"/>
              <w:rPr>
                <w:rFonts w:eastAsia="Times New Roman"/>
                <w:color w:val="FF0000"/>
                <w:sz w:val="20"/>
                <w:szCs w:val="20"/>
                <w:lang w:val="lv-LV" w:eastAsia="lv-LV"/>
              </w:rPr>
            </w:pPr>
            <w:r>
              <w:rPr>
                <w:rFonts w:eastAsia="Times New Roman"/>
                <w:sz w:val="20"/>
                <w:szCs w:val="20"/>
                <w:lang w:val="lv-LV" w:eastAsia="lv-LV"/>
              </w:rPr>
              <w:t>-1 300 028</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B6DD8AF" w14:textId="74A5CBAC" w:rsidR="00D455E5" w:rsidRPr="008861D4" w:rsidRDefault="00D455E5" w:rsidP="00D455E5">
            <w:pPr>
              <w:ind w:right="-101"/>
              <w:jc w:val="center"/>
              <w:rPr>
                <w:rFonts w:eastAsia="Times New Roman"/>
                <w:color w:val="FF0000"/>
                <w:sz w:val="20"/>
                <w:szCs w:val="20"/>
                <w:lang w:val="lv-LV" w:eastAsia="lv-LV"/>
              </w:rPr>
            </w:pPr>
            <w:r>
              <w:rPr>
                <w:sz w:val="20"/>
                <w:szCs w:val="20"/>
                <w:lang w:val="lv-LV"/>
              </w:rPr>
              <w:t>-2 219 972</w:t>
            </w:r>
          </w:p>
        </w:tc>
        <w:tc>
          <w:tcPr>
            <w:tcW w:w="579" w:type="pct"/>
            <w:shd w:val="clear" w:color="auto" w:fill="auto"/>
            <w:vAlign w:val="center"/>
            <w:hideMark/>
          </w:tcPr>
          <w:p w14:paraId="501E9AD9" w14:textId="72243EAF" w:rsidR="00D455E5" w:rsidRPr="008861D4" w:rsidRDefault="00D455E5" w:rsidP="00D455E5">
            <w:pPr>
              <w:jc w:val="center"/>
              <w:rPr>
                <w:rFonts w:eastAsia="Times New Roman"/>
                <w:color w:val="FF0000"/>
                <w:sz w:val="20"/>
                <w:szCs w:val="20"/>
                <w:lang w:val="lv-LV" w:eastAsia="lv-LV"/>
              </w:rPr>
            </w:pPr>
            <w:r>
              <w:rPr>
                <w:rFonts w:eastAsia="Times New Roman"/>
                <w:sz w:val="20"/>
                <w:szCs w:val="20"/>
                <w:lang w:val="lv-LV" w:eastAsia="lv-LV"/>
              </w:rPr>
              <w:t>-620 572</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127588A" w14:textId="65B37E8E" w:rsidR="00D455E5" w:rsidRPr="008861D4" w:rsidRDefault="00D455E5" w:rsidP="00D455E5">
            <w:pPr>
              <w:jc w:val="center"/>
              <w:rPr>
                <w:rFonts w:eastAsia="Times New Roman"/>
                <w:color w:val="FF0000"/>
                <w:sz w:val="20"/>
                <w:szCs w:val="20"/>
                <w:lang w:val="lv-LV" w:eastAsia="lv-LV"/>
              </w:rPr>
            </w:pPr>
            <w:r>
              <w:rPr>
                <w:sz w:val="20"/>
                <w:szCs w:val="20"/>
                <w:lang w:val="lv-LV"/>
              </w:rPr>
              <w:t>-2 899 428</w:t>
            </w:r>
          </w:p>
        </w:tc>
        <w:tc>
          <w:tcPr>
            <w:tcW w:w="508" w:type="pct"/>
            <w:shd w:val="clear" w:color="auto" w:fill="auto"/>
            <w:vAlign w:val="center"/>
            <w:hideMark/>
          </w:tcPr>
          <w:p w14:paraId="1D7C7A94" w14:textId="77777777" w:rsidR="00D455E5" w:rsidRPr="00D455E5" w:rsidRDefault="00D455E5" w:rsidP="00D455E5">
            <w:pPr>
              <w:jc w:val="center"/>
              <w:rPr>
                <w:rFonts w:eastAsia="Times New Roman"/>
                <w:sz w:val="20"/>
                <w:szCs w:val="20"/>
                <w:lang w:val="lv-LV" w:eastAsia="lv-LV"/>
              </w:rPr>
            </w:pPr>
            <w:r w:rsidRPr="00D455E5">
              <w:rPr>
                <w:rFonts w:eastAsia="Times New Roman"/>
                <w:sz w:val="20"/>
                <w:szCs w:val="20"/>
                <w:lang w:val="lv-LV" w:eastAsia="lv-LV"/>
              </w:rPr>
              <w:t>0</w:t>
            </w:r>
          </w:p>
        </w:tc>
        <w:tc>
          <w:tcPr>
            <w:tcW w:w="578" w:type="pct"/>
            <w:shd w:val="clear" w:color="auto" w:fill="auto"/>
            <w:vAlign w:val="center"/>
          </w:tcPr>
          <w:p w14:paraId="4B774E71" w14:textId="5B2A3739" w:rsidR="00D455E5" w:rsidRPr="008861D4" w:rsidRDefault="00D455E5" w:rsidP="00D455E5">
            <w:pPr>
              <w:jc w:val="center"/>
              <w:rPr>
                <w:rFonts w:eastAsia="Times New Roman"/>
                <w:color w:val="FF0000"/>
                <w:sz w:val="20"/>
                <w:szCs w:val="20"/>
                <w:lang w:val="lv-LV" w:eastAsia="lv-LV"/>
              </w:rPr>
            </w:pPr>
            <w:r w:rsidRPr="008861D4">
              <w:rPr>
                <w:sz w:val="20"/>
                <w:szCs w:val="20"/>
                <w:lang w:val="lv-LV"/>
              </w:rPr>
              <w:t>0</w:t>
            </w:r>
          </w:p>
        </w:tc>
        <w:tc>
          <w:tcPr>
            <w:tcW w:w="652" w:type="pct"/>
            <w:shd w:val="clear" w:color="auto" w:fill="auto"/>
            <w:vAlign w:val="center"/>
          </w:tcPr>
          <w:p w14:paraId="3B091440" w14:textId="69D5091F" w:rsidR="00D455E5" w:rsidRPr="008861D4" w:rsidRDefault="00D455E5" w:rsidP="00D455E5">
            <w:pPr>
              <w:jc w:val="center"/>
              <w:rPr>
                <w:rFonts w:eastAsia="Times New Roman"/>
                <w:color w:val="FF0000"/>
                <w:sz w:val="20"/>
                <w:szCs w:val="20"/>
                <w:lang w:val="lv-LV" w:eastAsia="lv-LV"/>
              </w:rPr>
            </w:pPr>
            <w:r w:rsidRPr="008861D4">
              <w:rPr>
                <w:sz w:val="20"/>
                <w:szCs w:val="20"/>
                <w:lang w:val="lv-LV"/>
              </w:rPr>
              <w:t>0</w:t>
            </w:r>
          </w:p>
        </w:tc>
      </w:tr>
      <w:tr w:rsidR="008861D4" w:rsidRPr="008861D4" w14:paraId="22EB6DF6" w14:textId="77777777" w:rsidTr="00D455E5">
        <w:tc>
          <w:tcPr>
            <w:tcW w:w="949" w:type="pct"/>
            <w:shd w:val="clear" w:color="auto" w:fill="auto"/>
            <w:hideMark/>
          </w:tcPr>
          <w:p w14:paraId="40D9656A"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t>3.2. speciālais budžets</w:t>
            </w:r>
          </w:p>
        </w:tc>
        <w:tc>
          <w:tcPr>
            <w:tcW w:w="574" w:type="pct"/>
            <w:shd w:val="clear" w:color="auto" w:fill="auto"/>
            <w:vAlign w:val="center"/>
            <w:hideMark/>
          </w:tcPr>
          <w:p w14:paraId="6F147942"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7F7CCC70" w14:textId="77777777" w:rsidR="00AB2864" w:rsidRPr="008861D4" w:rsidRDefault="00AB2864" w:rsidP="008D6B0D">
            <w:pPr>
              <w:jc w:val="center"/>
              <w:rPr>
                <w:sz w:val="20"/>
                <w:szCs w:val="20"/>
                <w:lang w:val="lv-LV"/>
              </w:rPr>
            </w:pPr>
            <w:r w:rsidRPr="008861D4">
              <w:rPr>
                <w:sz w:val="20"/>
                <w:szCs w:val="20"/>
                <w:lang w:val="lv-LV"/>
              </w:rPr>
              <w:t>0</w:t>
            </w:r>
          </w:p>
        </w:tc>
        <w:tc>
          <w:tcPr>
            <w:tcW w:w="579" w:type="pct"/>
            <w:shd w:val="clear" w:color="auto" w:fill="auto"/>
            <w:vAlign w:val="center"/>
            <w:hideMark/>
          </w:tcPr>
          <w:p w14:paraId="71BBE171"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4FC49686" w14:textId="77777777" w:rsidR="00AB2864" w:rsidRPr="008861D4" w:rsidRDefault="00AB2864" w:rsidP="008D6B0D">
            <w:pPr>
              <w:jc w:val="center"/>
              <w:rPr>
                <w:sz w:val="20"/>
                <w:szCs w:val="20"/>
                <w:lang w:val="lv-LV"/>
              </w:rPr>
            </w:pPr>
            <w:r w:rsidRPr="008861D4">
              <w:rPr>
                <w:sz w:val="20"/>
                <w:szCs w:val="20"/>
                <w:lang w:val="lv-LV"/>
              </w:rPr>
              <w:t>0</w:t>
            </w:r>
          </w:p>
        </w:tc>
        <w:tc>
          <w:tcPr>
            <w:tcW w:w="508" w:type="pct"/>
            <w:shd w:val="clear" w:color="auto" w:fill="auto"/>
            <w:vAlign w:val="center"/>
            <w:hideMark/>
          </w:tcPr>
          <w:p w14:paraId="43CF70DD" w14:textId="77777777" w:rsidR="00AB2864" w:rsidRPr="008861D4" w:rsidRDefault="00AB2864" w:rsidP="008D6B0D">
            <w:pPr>
              <w:jc w:val="center"/>
              <w:rPr>
                <w:sz w:val="20"/>
                <w:szCs w:val="20"/>
                <w:lang w:val="lv-LV"/>
              </w:rPr>
            </w:pPr>
            <w:r w:rsidRPr="008861D4">
              <w:rPr>
                <w:sz w:val="20"/>
                <w:szCs w:val="20"/>
                <w:lang w:val="lv-LV"/>
              </w:rPr>
              <w:t>0</w:t>
            </w:r>
          </w:p>
        </w:tc>
        <w:tc>
          <w:tcPr>
            <w:tcW w:w="578" w:type="pct"/>
            <w:shd w:val="clear" w:color="auto" w:fill="auto"/>
            <w:vAlign w:val="center"/>
            <w:hideMark/>
          </w:tcPr>
          <w:p w14:paraId="0829B47E" w14:textId="77777777" w:rsidR="00AB2864" w:rsidRPr="008861D4" w:rsidRDefault="00AB2864" w:rsidP="008D6B0D">
            <w:pPr>
              <w:jc w:val="center"/>
              <w:rPr>
                <w:sz w:val="20"/>
                <w:szCs w:val="20"/>
                <w:lang w:val="lv-LV"/>
              </w:rPr>
            </w:pPr>
            <w:r w:rsidRPr="008861D4">
              <w:rPr>
                <w:sz w:val="20"/>
                <w:szCs w:val="20"/>
                <w:lang w:val="lv-LV"/>
              </w:rPr>
              <w:t>0</w:t>
            </w:r>
          </w:p>
        </w:tc>
        <w:tc>
          <w:tcPr>
            <w:tcW w:w="652" w:type="pct"/>
            <w:shd w:val="clear" w:color="auto" w:fill="auto"/>
            <w:vAlign w:val="center"/>
            <w:hideMark/>
          </w:tcPr>
          <w:p w14:paraId="42FDEFF5" w14:textId="77777777" w:rsidR="00AB2864" w:rsidRPr="008861D4" w:rsidRDefault="00AB2864" w:rsidP="008D6B0D">
            <w:pPr>
              <w:jc w:val="center"/>
              <w:rPr>
                <w:sz w:val="20"/>
                <w:szCs w:val="20"/>
                <w:lang w:val="lv-LV"/>
              </w:rPr>
            </w:pPr>
            <w:r w:rsidRPr="008861D4">
              <w:rPr>
                <w:sz w:val="20"/>
                <w:szCs w:val="20"/>
                <w:lang w:val="lv-LV"/>
              </w:rPr>
              <w:t>0</w:t>
            </w:r>
          </w:p>
        </w:tc>
      </w:tr>
      <w:tr w:rsidR="008861D4" w:rsidRPr="008861D4" w14:paraId="1D19E36C" w14:textId="77777777" w:rsidTr="00D455E5">
        <w:tc>
          <w:tcPr>
            <w:tcW w:w="949" w:type="pct"/>
            <w:shd w:val="clear" w:color="auto" w:fill="auto"/>
            <w:hideMark/>
          </w:tcPr>
          <w:p w14:paraId="3CE635AF"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lastRenderedPageBreak/>
              <w:t>3.3. pašvaldību budžets</w:t>
            </w:r>
          </w:p>
        </w:tc>
        <w:tc>
          <w:tcPr>
            <w:tcW w:w="574" w:type="pct"/>
            <w:shd w:val="clear" w:color="auto" w:fill="auto"/>
            <w:vAlign w:val="center"/>
            <w:hideMark/>
          </w:tcPr>
          <w:p w14:paraId="66A640B4"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130D3A32" w14:textId="77777777" w:rsidR="00AB2864" w:rsidRPr="008861D4" w:rsidRDefault="00AB2864" w:rsidP="008D6B0D">
            <w:pPr>
              <w:jc w:val="center"/>
              <w:rPr>
                <w:sz w:val="20"/>
                <w:szCs w:val="20"/>
                <w:lang w:val="lv-LV"/>
              </w:rPr>
            </w:pPr>
            <w:r w:rsidRPr="008861D4">
              <w:rPr>
                <w:sz w:val="20"/>
                <w:szCs w:val="20"/>
                <w:lang w:val="lv-LV"/>
              </w:rPr>
              <w:t>0</w:t>
            </w:r>
          </w:p>
        </w:tc>
        <w:tc>
          <w:tcPr>
            <w:tcW w:w="579" w:type="pct"/>
            <w:shd w:val="clear" w:color="auto" w:fill="auto"/>
            <w:vAlign w:val="center"/>
            <w:hideMark/>
          </w:tcPr>
          <w:p w14:paraId="7D7E4CDA"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71574C57" w14:textId="77777777" w:rsidR="00AB2864" w:rsidRPr="008861D4" w:rsidRDefault="00AB2864" w:rsidP="008D6B0D">
            <w:pPr>
              <w:jc w:val="center"/>
              <w:rPr>
                <w:sz w:val="20"/>
                <w:szCs w:val="20"/>
                <w:lang w:val="lv-LV"/>
              </w:rPr>
            </w:pPr>
            <w:r w:rsidRPr="008861D4">
              <w:rPr>
                <w:sz w:val="20"/>
                <w:szCs w:val="20"/>
                <w:lang w:val="lv-LV"/>
              </w:rPr>
              <w:t>0</w:t>
            </w:r>
          </w:p>
        </w:tc>
        <w:tc>
          <w:tcPr>
            <w:tcW w:w="508" w:type="pct"/>
            <w:shd w:val="clear" w:color="auto" w:fill="auto"/>
            <w:vAlign w:val="center"/>
            <w:hideMark/>
          </w:tcPr>
          <w:p w14:paraId="3D189D44" w14:textId="77777777" w:rsidR="00AB2864" w:rsidRPr="008861D4" w:rsidRDefault="00AB2864" w:rsidP="008D6B0D">
            <w:pPr>
              <w:jc w:val="center"/>
              <w:rPr>
                <w:sz w:val="20"/>
                <w:szCs w:val="20"/>
                <w:lang w:val="lv-LV"/>
              </w:rPr>
            </w:pPr>
            <w:r w:rsidRPr="008861D4">
              <w:rPr>
                <w:sz w:val="20"/>
                <w:szCs w:val="20"/>
                <w:lang w:val="lv-LV"/>
              </w:rPr>
              <w:t>0</w:t>
            </w:r>
          </w:p>
        </w:tc>
        <w:tc>
          <w:tcPr>
            <w:tcW w:w="578" w:type="pct"/>
            <w:shd w:val="clear" w:color="auto" w:fill="auto"/>
            <w:vAlign w:val="center"/>
            <w:hideMark/>
          </w:tcPr>
          <w:p w14:paraId="745616B0" w14:textId="77777777" w:rsidR="00AB2864" w:rsidRPr="008861D4" w:rsidRDefault="00AB2864" w:rsidP="008D6B0D">
            <w:pPr>
              <w:jc w:val="center"/>
              <w:rPr>
                <w:sz w:val="20"/>
                <w:szCs w:val="20"/>
                <w:lang w:val="lv-LV"/>
              </w:rPr>
            </w:pPr>
            <w:r w:rsidRPr="008861D4">
              <w:rPr>
                <w:sz w:val="20"/>
                <w:szCs w:val="20"/>
                <w:lang w:val="lv-LV"/>
              </w:rPr>
              <w:t>0</w:t>
            </w:r>
          </w:p>
        </w:tc>
        <w:tc>
          <w:tcPr>
            <w:tcW w:w="652" w:type="pct"/>
            <w:shd w:val="clear" w:color="auto" w:fill="auto"/>
            <w:vAlign w:val="center"/>
            <w:hideMark/>
          </w:tcPr>
          <w:p w14:paraId="25B147BD" w14:textId="77777777" w:rsidR="00AB2864" w:rsidRPr="008861D4" w:rsidRDefault="00AB2864" w:rsidP="008D6B0D">
            <w:pPr>
              <w:jc w:val="center"/>
              <w:rPr>
                <w:sz w:val="20"/>
                <w:szCs w:val="20"/>
                <w:lang w:val="lv-LV"/>
              </w:rPr>
            </w:pPr>
            <w:r w:rsidRPr="008861D4">
              <w:rPr>
                <w:sz w:val="20"/>
                <w:szCs w:val="20"/>
                <w:lang w:val="lv-LV"/>
              </w:rPr>
              <w:t>0</w:t>
            </w:r>
          </w:p>
        </w:tc>
      </w:tr>
      <w:tr w:rsidR="008861D4" w:rsidRPr="008861D4" w14:paraId="07261ED8" w14:textId="77777777" w:rsidTr="00D455E5">
        <w:tc>
          <w:tcPr>
            <w:tcW w:w="949" w:type="pct"/>
            <w:shd w:val="clear" w:color="auto" w:fill="auto"/>
            <w:hideMark/>
          </w:tcPr>
          <w:p w14:paraId="05365DD6" w14:textId="77777777" w:rsidR="00AB2864" w:rsidRPr="008861D4" w:rsidRDefault="00AB2864" w:rsidP="008D6B0D">
            <w:pPr>
              <w:rPr>
                <w:rFonts w:eastAsia="Times New Roman"/>
                <w:sz w:val="20"/>
                <w:szCs w:val="20"/>
                <w:lang w:val="lv-LV" w:eastAsia="lv-LV"/>
              </w:rPr>
            </w:pPr>
            <w:r w:rsidRPr="008861D4">
              <w:rPr>
                <w:rFonts w:eastAsia="Times New Roman"/>
                <w:sz w:val="20"/>
                <w:szCs w:val="20"/>
                <w:lang w:val="lv-LV" w:eastAsia="lv-LV"/>
              </w:rPr>
              <w:t>4. Finanšu līdzekļi papildu izdevumu finansēšanai (kompensējošu izdevumu samazinājumu norāda ar "+" zīmi)</w:t>
            </w:r>
          </w:p>
        </w:tc>
        <w:tc>
          <w:tcPr>
            <w:tcW w:w="574" w:type="pct"/>
            <w:shd w:val="clear" w:color="auto" w:fill="auto"/>
            <w:vAlign w:val="center"/>
            <w:hideMark/>
          </w:tcPr>
          <w:p w14:paraId="11BA85AE"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3BA71AC2" w14:textId="77777777" w:rsidR="00AB2864" w:rsidRPr="008861D4" w:rsidRDefault="00AB2864" w:rsidP="008D6B0D">
            <w:pPr>
              <w:jc w:val="center"/>
              <w:rPr>
                <w:sz w:val="20"/>
                <w:szCs w:val="20"/>
                <w:lang w:val="lv-LV"/>
              </w:rPr>
            </w:pPr>
            <w:r w:rsidRPr="008861D4">
              <w:rPr>
                <w:sz w:val="20"/>
                <w:szCs w:val="20"/>
                <w:lang w:val="lv-LV"/>
              </w:rPr>
              <w:t>0</w:t>
            </w:r>
          </w:p>
        </w:tc>
        <w:tc>
          <w:tcPr>
            <w:tcW w:w="579" w:type="pct"/>
            <w:shd w:val="clear" w:color="auto" w:fill="auto"/>
            <w:vAlign w:val="center"/>
            <w:hideMark/>
          </w:tcPr>
          <w:p w14:paraId="14BA674F" w14:textId="77777777" w:rsidR="00AB2864" w:rsidRPr="008861D4" w:rsidRDefault="00AB2864" w:rsidP="008D6B0D">
            <w:pPr>
              <w:jc w:val="center"/>
              <w:rPr>
                <w:sz w:val="20"/>
                <w:szCs w:val="20"/>
                <w:lang w:val="lv-LV"/>
              </w:rPr>
            </w:pPr>
            <w:r w:rsidRPr="008861D4">
              <w:rPr>
                <w:sz w:val="20"/>
                <w:szCs w:val="20"/>
                <w:lang w:val="lv-LV"/>
              </w:rPr>
              <w:t>0</w:t>
            </w:r>
          </w:p>
        </w:tc>
        <w:tc>
          <w:tcPr>
            <w:tcW w:w="580" w:type="pct"/>
            <w:shd w:val="clear" w:color="auto" w:fill="auto"/>
            <w:vAlign w:val="center"/>
            <w:hideMark/>
          </w:tcPr>
          <w:p w14:paraId="4E1A0B94" w14:textId="77777777" w:rsidR="00AB2864" w:rsidRPr="008861D4" w:rsidRDefault="00AB2864" w:rsidP="008D6B0D">
            <w:pPr>
              <w:jc w:val="center"/>
              <w:rPr>
                <w:sz w:val="20"/>
                <w:szCs w:val="20"/>
                <w:lang w:val="lv-LV"/>
              </w:rPr>
            </w:pPr>
            <w:r w:rsidRPr="008861D4">
              <w:rPr>
                <w:sz w:val="20"/>
                <w:szCs w:val="20"/>
                <w:lang w:val="lv-LV"/>
              </w:rPr>
              <w:t>0</w:t>
            </w:r>
          </w:p>
        </w:tc>
        <w:tc>
          <w:tcPr>
            <w:tcW w:w="508" w:type="pct"/>
            <w:shd w:val="clear" w:color="auto" w:fill="auto"/>
            <w:vAlign w:val="center"/>
            <w:hideMark/>
          </w:tcPr>
          <w:p w14:paraId="583B0A5A" w14:textId="77777777" w:rsidR="00AB2864" w:rsidRPr="008861D4" w:rsidRDefault="00AB2864" w:rsidP="008D6B0D">
            <w:pPr>
              <w:jc w:val="center"/>
              <w:rPr>
                <w:sz w:val="20"/>
                <w:szCs w:val="20"/>
                <w:lang w:val="lv-LV"/>
              </w:rPr>
            </w:pPr>
            <w:r w:rsidRPr="008861D4">
              <w:rPr>
                <w:sz w:val="20"/>
                <w:szCs w:val="20"/>
                <w:lang w:val="lv-LV"/>
              </w:rPr>
              <w:t>0</w:t>
            </w:r>
          </w:p>
        </w:tc>
        <w:tc>
          <w:tcPr>
            <w:tcW w:w="578" w:type="pct"/>
            <w:shd w:val="clear" w:color="auto" w:fill="auto"/>
            <w:vAlign w:val="center"/>
            <w:hideMark/>
          </w:tcPr>
          <w:p w14:paraId="6C08F383" w14:textId="77777777" w:rsidR="00AB2864" w:rsidRPr="008861D4" w:rsidRDefault="00AB2864" w:rsidP="008D6B0D">
            <w:pPr>
              <w:jc w:val="center"/>
              <w:rPr>
                <w:sz w:val="20"/>
                <w:szCs w:val="20"/>
                <w:lang w:val="lv-LV"/>
              </w:rPr>
            </w:pPr>
            <w:r w:rsidRPr="008861D4">
              <w:rPr>
                <w:sz w:val="20"/>
                <w:szCs w:val="20"/>
                <w:lang w:val="lv-LV"/>
              </w:rPr>
              <w:t>0</w:t>
            </w:r>
          </w:p>
        </w:tc>
        <w:tc>
          <w:tcPr>
            <w:tcW w:w="652" w:type="pct"/>
            <w:shd w:val="clear" w:color="auto" w:fill="auto"/>
            <w:vAlign w:val="center"/>
            <w:hideMark/>
          </w:tcPr>
          <w:p w14:paraId="2E72DA1C" w14:textId="77777777" w:rsidR="00AB2864" w:rsidRPr="008861D4" w:rsidRDefault="00AB2864" w:rsidP="008D6B0D">
            <w:pPr>
              <w:jc w:val="center"/>
              <w:rPr>
                <w:sz w:val="20"/>
                <w:szCs w:val="20"/>
                <w:lang w:val="lv-LV"/>
              </w:rPr>
            </w:pPr>
            <w:r w:rsidRPr="008861D4">
              <w:rPr>
                <w:sz w:val="20"/>
                <w:szCs w:val="20"/>
                <w:lang w:val="lv-LV"/>
              </w:rPr>
              <w:t>0</w:t>
            </w:r>
          </w:p>
        </w:tc>
      </w:tr>
      <w:tr w:rsidR="008861D4" w:rsidRPr="008861D4" w14:paraId="72D11E5E" w14:textId="77777777" w:rsidTr="00D455E5">
        <w:tc>
          <w:tcPr>
            <w:tcW w:w="949" w:type="pct"/>
            <w:shd w:val="clear" w:color="auto" w:fill="auto"/>
            <w:hideMark/>
          </w:tcPr>
          <w:p w14:paraId="5C7A008F" w14:textId="77777777" w:rsidR="008861D4" w:rsidRPr="008861D4" w:rsidRDefault="008861D4" w:rsidP="008861D4">
            <w:pPr>
              <w:rPr>
                <w:rFonts w:eastAsia="Times New Roman"/>
                <w:sz w:val="20"/>
                <w:szCs w:val="20"/>
                <w:lang w:val="lv-LV" w:eastAsia="lv-LV"/>
              </w:rPr>
            </w:pPr>
            <w:r w:rsidRPr="008861D4">
              <w:rPr>
                <w:rFonts w:eastAsia="Times New Roman"/>
                <w:sz w:val="20"/>
                <w:szCs w:val="20"/>
                <w:lang w:val="lv-LV" w:eastAsia="lv-LV"/>
              </w:rPr>
              <w:t>5. Precizēta finansiālā ietekme</w:t>
            </w:r>
          </w:p>
        </w:tc>
        <w:tc>
          <w:tcPr>
            <w:tcW w:w="574" w:type="pct"/>
            <w:vMerge w:val="restart"/>
            <w:shd w:val="clear" w:color="auto" w:fill="auto"/>
            <w:vAlign w:val="center"/>
            <w:hideMark/>
          </w:tcPr>
          <w:p w14:paraId="4F7461B6" w14:textId="77777777"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c>
          <w:tcPr>
            <w:tcW w:w="580" w:type="pct"/>
            <w:shd w:val="clear" w:color="auto" w:fill="auto"/>
            <w:vAlign w:val="center"/>
          </w:tcPr>
          <w:p w14:paraId="3ED5754F" w14:textId="37DFF020" w:rsidR="008861D4" w:rsidRPr="008861D4" w:rsidRDefault="008861D4" w:rsidP="008861D4">
            <w:pPr>
              <w:ind w:right="-101"/>
              <w:jc w:val="center"/>
              <w:rPr>
                <w:rFonts w:eastAsia="Times New Roman"/>
                <w:sz w:val="20"/>
                <w:szCs w:val="20"/>
                <w:lang w:val="lv-LV" w:eastAsia="lv-LV"/>
              </w:rPr>
            </w:pPr>
            <w:r>
              <w:rPr>
                <w:sz w:val="20"/>
                <w:szCs w:val="20"/>
                <w:lang w:val="lv-LV"/>
              </w:rPr>
              <w:t>-2 219 972</w:t>
            </w:r>
          </w:p>
        </w:tc>
        <w:tc>
          <w:tcPr>
            <w:tcW w:w="579" w:type="pct"/>
            <w:vMerge w:val="restart"/>
            <w:shd w:val="clear" w:color="auto" w:fill="auto"/>
            <w:vAlign w:val="center"/>
            <w:hideMark/>
          </w:tcPr>
          <w:p w14:paraId="1E022AA6" w14:textId="77777777"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42AD8B4" w14:textId="61EB4A3B" w:rsidR="008861D4" w:rsidRPr="008861D4" w:rsidRDefault="008861D4" w:rsidP="008861D4">
            <w:pPr>
              <w:jc w:val="center"/>
              <w:rPr>
                <w:rFonts w:eastAsia="Times New Roman"/>
                <w:sz w:val="20"/>
                <w:szCs w:val="20"/>
                <w:lang w:val="lv-LV" w:eastAsia="lv-LV"/>
              </w:rPr>
            </w:pPr>
            <w:r>
              <w:rPr>
                <w:sz w:val="20"/>
                <w:szCs w:val="20"/>
                <w:lang w:val="lv-LV"/>
              </w:rPr>
              <w:t>-2 899 428</w:t>
            </w:r>
          </w:p>
        </w:tc>
        <w:tc>
          <w:tcPr>
            <w:tcW w:w="508" w:type="pct"/>
            <w:vMerge w:val="restart"/>
            <w:shd w:val="clear" w:color="auto" w:fill="auto"/>
            <w:vAlign w:val="center"/>
            <w:hideMark/>
          </w:tcPr>
          <w:p w14:paraId="0AC8464A" w14:textId="77777777"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c>
          <w:tcPr>
            <w:tcW w:w="578" w:type="pct"/>
            <w:shd w:val="clear" w:color="auto" w:fill="auto"/>
            <w:vAlign w:val="center"/>
          </w:tcPr>
          <w:p w14:paraId="403D30A4" w14:textId="721DF3DF"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c>
          <w:tcPr>
            <w:tcW w:w="652" w:type="pct"/>
            <w:shd w:val="clear" w:color="auto" w:fill="auto"/>
            <w:vAlign w:val="center"/>
          </w:tcPr>
          <w:p w14:paraId="067FE06B" w14:textId="5E958E18"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r>
      <w:tr w:rsidR="008861D4" w:rsidRPr="008861D4" w14:paraId="45DF41F8" w14:textId="77777777" w:rsidTr="00D455E5">
        <w:trPr>
          <w:trHeight w:val="622"/>
        </w:trPr>
        <w:tc>
          <w:tcPr>
            <w:tcW w:w="949" w:type="pct"/>
            <w:shd w:val="clear" w:color="auto" w:fill="auto"/>
            <w:hideMark/>
          </w:tcPr>
          <w:p w14:paraId="5B86F083" w14:textId="77777777" w:rsidR="008861D4" w:rsidRPr="008861D4" w:rsidRDefault="008861D4" w:rsidP="008861D4">
            <w:pPr>
              <w:rPr>
                <w:rFonts w:eastAsia="Times New Roman"/>
                <w:sz w:val="20"/>
                <w:szCs w:val="20"/>
                <w:lang w:val="lv-LV" w:eastAsia="lv-LV"/>
              </w:rPr>
            </w:pPr>
            <w:r w:rsidRPr="008861D4">
              <w:rPr>
                <w:rFonts w:eastAsia="Times New Roman"/>
                <w:sz w:val="20"/>
                <w:szCs w:val="20"/>
                <w:lang w:val="lv-LV" w:eastAsia="lv-LV"/>
              </w:rPr>
              <w:t>5.1. valsts pamatbudžets</w:t>
            </w:r>
          </w:p>
        </w:tc>
        <w:tc>
          <w:tcPr>
            <w:tcW w:w="574" w:type="pct"/>
            <w:vMerge/>
            <w:shd w:val="clear" w:color="auto" w:fill="auto"/>
            <w:vAlign w:val="center"/>
            <w:hideMark/>
          </w:tcPr>
          <w:p w14:paraId="62C5AEE0" w14:textId="77777777" w:rsidR="008861D4" w:rsidRPr="008861D4" w:rsidRDefault="008861D4" w:rsidP="008861D4">
            <w:pPr>
              <w:jc w:val="center"/>
              <w:rPr>
                <w:rFonts w:eastAsia="Times New Roman"/>
                <w:sz w:val="20"/>
                <w:szCs w:val="20"/>
                <w:lang w:val="lv-LV" w:eastAsia="lv-LV"/>
              </w:rPr>
            </w:pPr>
          </w:p>
        </w:tc>
        <w:tc>
          <w:tcPr>
            <w:tcW w:w="580" w:type="pct"/>
            <w:shd w:val="clear" w:color="auto" w:fill="auto"/>
            <w:vAlign w:val="center"/>
          </w:tcPr>
          <w:p w14:paraId="54D2A6AF" w14:textId="67AC780C" w:rsidR="008861D4" w:rsidRPr="008861D4" w:rsidRDefault="008861D4" w:rsidP="008861D4">
            <w:pPr>
              <w:ind w:right="-101"/>
              <w:jc w:val="center"/>
              <w:rPr>
                <w:rFonts w:eastAsia="Times New Roman"/>
                <w:sz w:val="20"/>
                <w:szCs w:val="20"/>
                <w:lang w:val="lv-LV" w:eastAsia="lv-LV"/>
              </w:rPr>
            </w:pPr>
            <w:r>
              <w:rPr>
                <w:sz w:val="20"/>
                <w:szCs w:val="20"/>
                <w:lang w:val="lv-LV"/>
              </w:rPr>
              <w:t>-2 219 972</w:t>
            </w:r>
          </w:p>
        </w:tc>
        <w:tc>
          <w:tcPr>
            <w:tcW w:w="579" w:type="pct"/>
            <w:vMerge/>
            <w:shd w:val="clear" w:color="auto" w:fill="auto"/>
            <w:vAlign w:val="center"/>
            <w:hideMark/>
          </w:tcPr>
          <w:p w14:paraId="30516336" w14:textId="77777777" w:rsidR="008861D4" w:rsidRPr="008861D4" w:rsidRDefault="008861D4" w:rsidP="008861D4">
            <w:pPr>
              <w:jc w:val="center"/>
              <w:rPr>
                <w:rFonts w:eastAsia="Times New Roman"/>
                <w:sz w:val="20"/>
                <w:szCs w:val="20"/>
                <w:lang w:val="lv-LV" w:eastAsia="lv-LV"/>
              </w:rPr>
            </w:pPr>
          </w:p>
        </w:tc>
        <w:tc>
          <w:tcPr>
            <w:tcW w:w="58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D57EE14" w14:textId="334486DE" w:rsidR="008861D4" w:rsidRPr="008861D4" w:rsidRDefault="008861D4" w:rsidP="008861D4">
            <w:pPr>
              <w:jc w:val="center"/>
              <w:rPr>
                <w:rFonts w:eastAsia="Times New Roman"/>
                <w:sz w:val="20"/>
                <w:szCs w:val="20"/>
                <w:lang w:val="lv-LV" w:eastAsia="lv-LV"/>
              </w:rPr>
            </w:pPr>
            <w:r>
              <w:rPr>
                <w:sz w:val="20"/>
                <w:szCs w:val="20"/>
                <w:lang w:val="lv-LV"/>
              </w:rPr>
              <w:t>-2 899 428</w:t>
            </w:r>
          </w:p>
        </w:tc>
        <w:tc>
          <w:tcPr>
            <w:tcW w:w="508" w:type="pct"/>
            <w:vMerge/>
            <w:shd w:val="clear" w:color="auto" w:fill="auto"/>
            <w:vAlign w:val="center"/>
            <w:hideMark/>
          </w:tcPr>
          <w:p w14:paraId="71553879" w14:textId="77777777" w:rsidR="008861D4" w:rsidRPr="008861D4" w:rsidRDefault="008861D4" w:rsidP="008861D4">
            <w:pPr>
              <w:jc w:val="center"/>
              <w:rPr>
                <w:rFonts w:eastAsia="Times New Roman"/>
                <w:sz w:val="20"/>
                <w:szCs w:val="20"/>
                <w:lang w:val="lv-LV" w:eastAsia="lv-LV"/>
              </w:rPr>
            </w:pPr>
          </w:p>
        </w:tc>
        <w:tc>
          <w:tcPr>
            <w:tcW w:w="578" w:type="pct"/>
            <w:shd w:val="clear" w:color="auto" w:fill="auto"/>
            <w:vAlign w:val="center"/>
          </w:tcPr>
          <w:p w14:paraId="6D647789" w14:textId="02219D20"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c>
          <w:tcPr>
            <w:tcW w:w="652" w:type="pct"/>
            <w:shd w:val="clear" w:color="auto" w:fill="auto"/>
            <w:vAlign w:val="center"/>
          </w:tcPr>
          <w:p w14:paraId="424AAD18" w14:textId="2A7914C6"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r>
      <w:tr w:rsidR="008861D4" w:rsidRPr="008861D4" w14:paraId="17AF8FCD" w14:textId="77777777" w:rsidTr="00D455E5">
        <w:tc>
          <w:tcPr>
            <w:tcW w:w="949" w:type="pct"/>
            <w:shd w:val="clear" w:color="auto" w:fill="auto"/>
            <w:hideMark/>
          </w:tcPr>
          <w:p w14:paraId="20F28F2D" w14:textId="77777777" w:rsidR="008861D4" w:rsidRPr="008861D4" w:rsidRDefault="008861D4" w:rsidP="008861D4">
            <w:pPr>
              <w:rPr>
                <w:rFonts w:eastAsia="Times New Roman"/>
                <w:sz w:val="20"/>
                <w:szCs w:val="20"/>
                <w:lang w:val="lv-LV" w:eastAsia="lv-LV"/>
              </w:rPr>
            </w:pPr>
            <w:r w:rsidRPr="008861D4">
              <w:rPr>
                <w:rFonts w:eastAsia="Times New Roman"/>
                <w:sz w:val="20"/>
                <w:szCs w:val="20"/>
                <w:lang w:val="lv-LV" w:eastAsia="lv-LV"/>
              </w:rPr>
              <w:t>5.2. speciālais budžets</w:t>
            </w:r>
          </w:p>
        </w:tc>
        <w:tc>
          <w:tcPr>
            <w:tcW w:w="574" w:type="pct"/>
            <w:vMerge/>
            <w:shd w:val="clear" w:color="auto" w:fill="auto"/>
            <w:vAlign w:val="center"/>
            <w:hideMark/>
          </w:tcPr>
          <w:p w14:paraId="146B8126" w14:textId="77777777" w:rsidR="008861D4" w:rsidRPr="008861D4" w:rsidRDefault="008861D4" w:rsidP="008861D4">
            <w:pPr>
              <w:jc w:val="center"/>
              <w:rPr>
                <w:rFonts w:eastAsia="Times New Roman"/>
                <w:sz w:val="20"/>
                <w:szCs w:val="20"/>
                <w:lang w:val="lv-LV" w:eastAsia="lv-LV"/>
              </w:rPr>
            </w:pPr>
          </w:p>
        </w:tc>
        <w:tc>
          <w:tcPr>
            <w:tcW w:w="580" w:type="pct"/>
            <w:shd w:val="clear" w:color="auto" w:fill="auto"/>
            <w:vAlign w:val="center"/>
            <w:hideMark/>
          </w:tcPr>
          <w:p w14:paraId="7B465370" w14:textId="77777777"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c>
          <w:tcPr>
            <w:tcW w:w="579" w:type="pct"/>
            <w:vMerge/>
            <w:shd w:val="clear" w:color="auto" w:fill="auto"/>
            <w:vAlign w:val="center"/>
            <w:hideMark/>
          </w:tcPr>
          <w:p w14:paraId="53FBD836" w14:textId="77777777" w:rsidR="008861D4" w:rsidRPr="008861D4" w:rsidRDefault="008861D4" w:rsidP="008861D4">
            <w:pPr>
              <w:jc w:val="center"/>
              <w:rPr>
                <w:rFonts w:eastAsia="Times New Roman"/>
                <w:sz w:val="20"/>
                <w:szCs w:val="20"/>
                <w:lang w:val="lv-LV" w:eastAsia="lv-LV"/>
              </w:rPr>
            </w:pPr>
          </w:p>
        </w:tc>
        <w:tc>
          <w:tcPr>
            <w:tcW w:w="580" w:type="pct"/>
            <w:shd w:val="clear" w:color="auto" w:fill="auto"/>
            <w:vAlign w:val="center"/>
            <w:hideMark/>
          </w:tcPr>
          <w:p w14:paraId="7FA27870" w14:textId="77777777"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c>
          <w:tcPr>
            <w:tcW w:w="508" w:type="pct"/>
            <w:vMerge/>
            <w:shd w:val="clear" w:color="auto" w:fill="auto"/>
            <w:vAlign w:val="center"/>
            <w:hideMark/>
          </w:tcPr>
          <w:p w14:paraId="16F36550" w14:textId="77777777" w:rsidR="008861D4" w:rsidRPr="008861D4" w:rsidRDefault="008861D4" w:rsidP="008861D4">
            <w:pPr>
              <w:jc w:val="center"/>
              <w:rPr>
                <w:rFonts w:eastAsia="Times New Roman"/>
                <w:sz w:val="20"/>
                <w:szCs w:val="20"/>
                <w:lang w:val="lv-LV" w:eastAsia="lv-LV"/>
              </w:rPr>
            </w:pPr>
          </w:p>
        </w:tc>
        <w:tc>
          <w:tcPr>
            <w:tcW w:w="578" w:type="pct"/>
            <w:shd w:val="clear" w:color="auto" w:fill="auto"/>
            <w:vAlign w:val="center"/>
            <w:hideMark/>
          </w:tcPr>
          <w:p w14:paraId="12827506" w14:textId="77777777"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c>
          <w:tcPr>
            <w:tcW w:w="652" w:type="pct"/>
            <w:shd w:val="clear" w:color="auto" w:fill="auto"/>
            <w:vAlign w:val="center"/>
            <w:hideMark/>
          </w:tcPr>
          <w:p w14:paraId="31D01B2E" w14:textId="77777777"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r>
      <w:tr w:rsidR="008861D4" w:rsidRPr="008861D4" w14:paraId="5278E087" w14:textId="77777777" w:rsidTr="00D455E5">
        <w:tc>
          <w:tcPr>
            <w:tcW w:w="949" w:type="pct"/>
            <w:shd w:val="clear" w:color="auto" w:fill="auto"/>
            <w:hideMark/>
          </w:tcPr>
          <w:p w14:paraId="452C6804" w14:textId="77777777" w:rsidR="008861D4" w:rsidRPr="008861D4" w:rsidRDefault="008861D4" w:rsidP="008861D4">
            <w:pPr>
              <w:rPr>
                <w:rFonts w:eastAsia="Times New Roman"/>
                <w:sz w:val="20"/>
                <w:szCs w:val="20"/>
                <w:lang w:val="lv-LV" w:eastAsia="lv-LV"/>
              </w:rPr>
            </w:pPr>
            <w:r w:rsidRPr="008861D4">
              <w:rPr>
                <w:rFonts w:eastAsia="Times New Roman"/>
                <w:sz w:val="20"/>
                <w:szCs w:val="20"/>
                <w:lang w:val="lv-LV" w:eastAsia="lv-LV"/>
              </w:rPr>
              <w:t>5.3. pašvaldību budžets</w:t>
            </w:r>
          </w:p>
        </w:tc>
        <w:tc>
          <w:tcPr>
            <w:tcW w:w="574" w:type="pct"/>
            <w:vMerge/>
            <w:shd w:val="clear" w:color="auto" w:fill="auto"/>
            <w:vAlign w:val="center"/>
            <w:hideMark/>
          </w:tcPr>
          <w:p w14:paraId="539F324D" w14:textId="77777777" w:rsidR="008861D4" w:rsidRPr="008861D4" w:rsidRDefault="008861D4" w:rsidP="008861D4">
            <w:pPr>
              <w:jc w:val="center"/>
              <w:rPr>
                <w:rFonts w:eastAsia="Times New Roman"/>
                <w:sz w:val="20"/>
                <w:szCs w:val="20"/>
                <w:lang w:val="lv-LV" w:eastAsia="lv-LV"/>
              </w:rPr>
            </w:pPr>
          </w:p>
        </w:tc>
        <w:tc>
          <w:tcPr>
            <w:tcW w:w="580" w:type="pct"/>
            <w:shd w:val="clear" w:color="auto" w:fill="auto"/>
            <w:vAlign w:val="center"/>
            <w:hideMark/>
          </w:tcPr>
          <w:p w14:paraId="1D598D71" w14:textId="77777777"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c>
          <w:tcPr>
            <w:tcW w:w="579" w:type="pct"/>
            <w:vMerge/>
            <w:shd w:val="clear" w:color="auto" w:fill="auto"/>
            <w:vAlign w:val="center"/>
            <w:hideMark/>
          </w:tcPr>
          <w:p w14:paraId="0F93D6E2" w14:textId="77777777" w:rsidR="008861D4" w:rsidRPr="008861D4" w:rsidRDefault="008861D4" w:rsidP="008861D4">
            <w:pPr>
              <w:jc w:val="center"/>
              <w:rPr>
                <w:rFonts w:eastAsia="Times New Roman"/>
                <w:sz w:val="20"/>
                <w:szCs w:val="20"/>
                <w:lang w:val="lv-LV" w:eastAsia="lv-LV"/>
              </w:rPr>
            </w:pPr>
          </w:p>
        </w:tc>
        <w:tc>
          <w:tcPr>
            <w:tcW w:w="580" w:type="pct"/>
            <w:shd w:val="clear" w:color="auto" w:fill="auto"/>
            <w:vAlign w:val="center"/>
            <w:hideMark/>
          </w:tcPr>
          <w:p w14:paraId="35A763BC" w14:textId="77777777"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c>
          <w:tcPr>
            <w:tcW w:w="508" w:type="pct"/>
            <w:vMerge/>
            <w:shd w:val="clear" w:color="auto" w:fill="auto"/>
            <w:vAlign w:val="center"/>
            <w:hideMark/>
          </w:tcPr>
          <w:p w14:paraId="71A9EFA5" w14:textId="77777777" w:rsidR="008861D4" w:rsidRPr="008861D4" w:rsidRDefault="008861D4" w:rsidP="008861D4">
            <w:pPr>
              <w:jc w:val="center"/>
              <w:rPr>
                <w:rFonts w:eastAsia="Times New Roman"/>
                <w:sz w:val="20"/>
                <w:szCs w:val="20"/>
                <w:lang w:val="lv-LV" w:eastAsia="lv-LV"/>
              </w:rPr>
            </w:pPr>
          </w:p>
        </w:tc>
        <w:tc>
          <w:tcPr>
            <w:tcW w:w="578" w:type="pct"/>
            <w:shd w:val="clear" w:color="auto" w:fill="auto"/>
            <w:vAlign w:val="center"/>
            <w:hideMark/>
          </w:tcPr>
          <w:p w14:paraId="1F5B90AB" w14:textId="77777777"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c>
          <w:tcPr>
            <w:tcW w:w="652" w:type="pct"/>
            <w:shd w:val="clear" w:color="auto" w:fill="auto"/>
            <w:vAlign w:val="center"/>
            <w:hideMark/>
          </w:tcPr>
          <w:p w14:paraId="16C9B030" w14:textId="77777777" w:rsidR="008861D4" w:rsidRPr="008861D4" w:rsidRDefault="008861D4" w:rsidP="008861D4">
            <w:pPr>
              <w:jc w:val="center"/>
              <w:rPr>
                <w:rFonts w:eastAsia="Times New Roman"/>
                <w:sz w:val="20"/>
                <w:szCs w:val="20"/>
                <w:lang w:val="lv-LV" w:eastAsia="lv-LV"/>
              </w:rPr>
            </w:pPr>
            <w:r w:rsidRPr="008861D4">
              <w:rPr>
                <w:rFonts w:eastAsia="Times New Roman"/>
                <w:sz w:val="20"/>
                <w:szCs w:val="20"/>
                <w:lang w:val="lv-LV" w:eastAsia="lv-LV"/>
              </w:rPr>
              <w:t>0</w:t>
            </w:r>
          </w:p>
        </w:tc>
      </w:tr>
      <w:tr w:rsidR="008861D4" w:rsidRPr="008861D4" w14:paraId="4CF2C39A" w14:textId="77777777" w:rsidTr="008861D4">
        <w:tc>
          <w:tcPr>
            <w:tcW w:w="949" w:type="pct"/>
            <w:shd w:val="clear" w:color="auto" w:fill="auto"/>
            <w:hideMark/>
          </w:tcPr>
          <w:p w14:paraId="024A72A3" w14:textId="77777777" w:rsidR="008861D4" w:rsidRPr="008861D4" w:rsidRDefault="008861D4" w:rsidP="008861D4">
            <w:pPr>
              <w:rPr>
                <w:rFonts w:eastAsia="Times New Roman"/>
                <w:sz w:val="20"/>
                <w:szCs w:val="20"/>
                <w:lang w:val="lv-LV" w:eastAsia="lv-LV"/>
              </w:rPr>
            </w:pPr>
            <w:r w:rsidRPr="008861D4">
              <w:rPr>
                <w:rFonts w:eastAsia="Times New Roman"/>
                <w:sz w:val="20"/>
                <w:szCs w:val="20"/>
                <w:lang w:val="lv-LV" w:eastAsia="lv-LV"/>
              </w:rPr>
              <w:t>6. Detalizēts ieņēmumu un izdevumu aprēķins (ja nepieciešams, detalizētu ieņēmumu un izdevumu aprēķinu var pievienot anotācijas pielikumā)</w:t>
            </w:r>
          </w:p>
        </w:tc>
        <w:tc>
          <w:tcPr>
            <w:tcW w:w="4051" w:type="pct"/>
            <w:gridSpan w:val="7"/>
            <w:vMerge w:val="restart"/>
            <w:shd w:val="clear" w:color="auto" w:fill="auto"/>
            <w:hideMark/>
          </w:tcPr>
          <w:p w14:paraId="74679676" w14:textId="093464E0" w:rsidR="008861D4" w:rsidRPr="008861D4" w:rsidRDefault="008861D4" w:rsidP="008861D4">
            <w:pPr>
              <w:jc w:val="both"/>
              <w:rPr>
                <w:lang w:val="lv-LV" w:eastAsia="lv-LV"/>
              </w:rPr>
            </w:pPr>
            <w:r w:rsidRPr="008861D4">
              <w:rPr>
                <w:lang w:val="lv-LV"/>
              </w:rPr>
              <w:t>Lauku attīstības programmas pasākumā “Ražas, dzīvnieku un augu apdrošināšanas prēmija” papildu</w:t>
            </w:r>
            <w:r w:rsidR="002F0492">
              <w:rPr>
                <w:lang w:val="lv-LV"/>
              </w:rPr>
              <w:t>s</w:t>
            </w:r>
            <w:r w:rsidRPr="008861D4">
              <w:rPr>
                <w:lang w:val="lv-LV"/>
              </w:rPr>
              <w:t xml:space="preserve"> piešķirts pārejas perioda publiskais finansējums </w:t>
            </w:r>
            <w:r>
              <w:rPr>
                <w:lang w:val="lv-LV"/>
              </w:rPr>
              <w:t>22</w:t>
            </w:r>
            <w:r w:rsidRPr="008861D4">
              <w:rPr>
                <w:lang w:val="lv-LV"/>
              </w:rPr>
              <w:t xml:space="preserve"> 000 000 </w:t>
            </w:r>
            <w:r w:rsidRPr="000B04D5">
              <w:rPr>
                <w:i/>
                <w:lang w:val="lv-LV"/>
              </w:rPr>
              <w:t>euro</w:t>
            </w:r>
            <w:r w:rsidRPr="008861D4">
              <w:rPr>
                <w:lang w:val="lv-LV"/>
              </w:rPr>
              <w:t xml:space="preserve"> apmērā, kas veido ELFLA līdzfinansējums 68</w:t>
            </w:r>
            <w:r w:rsidR="002F0492">
              <w:rPr>
                <w:lang w:val="lv-LV"/>
              </w:rPr>
              <w:t> </w:t>
            </w:r>
            <w:r w:rsidRPr="008861D4">
              <w:rPr>
                <w:lang w:val="lv-LV"/>
              </w:rPr>
              <w:t>% (</w:t>
            </w:r>
            <w:r w:rsidR="009E5906">
              <w:rPr>
                <w:lang w:val="lv-LV"/>
              </w:rPr>
              <w:t>14 960 000</w:t>
            </w:r>
            <w:r w:rsidRPr="008861D4">
              <w:rPr>
                <w:lang w:val="lv-LV"/>
              </w:rPr>
              <w:t xml:space="preserve"> </w:t>
            </w:r>
            <w:r w:rsidRPr="000B04D5">
              <w:rPr>
                <w:i/>
                <w:lang w:val="lv-LV"/>
              </w:rPr>
              <w:t>euro</w:t>
            </w:r>
            <w:r w:rsidRPr="008861D4">
              <w:rPr>
                <w:lang w:val="lv-LV"/>
              </w:rPr>
              <w:t>) apmērā un Latvijas valsts līdzfinansējums 32</w:t>
            </w:r>
            <w:r w:rsidR="002F0492">
              <w:rPr>
                <w:lang w:val="lv-LV"/>
              </w:rPr>
              <w:t> </w:t>
            </w:r>
            <w:r w:rsidRPr="008861D4">
              <w:rPr>
                <w:lang w:val="lv-LV"/>
              </w:rPr>
              <w:t>% (</w:t>
            </w:r>
            <w:r w:rsidR="009E5906">
              <w:rPr>
                <w:lang w:val="lv-LV"/>
              </w:rPr>
              <w:t xml:space="preserve">7 040 </w:t>
            </w:r>
            <w:r w:rsidRPr="008861D4">
              <w:rPr>
                <w:lang w:val="lv-LV"/>
              </w:rPr>
              <w:t xml:space="preserve">000 </w:t>
            </w:r>
            <w:r w:rsidRPr="000B04D5">
              <w:rPr>
                <w:i/>
                <w:lang w:val="lv-LV"/>
              </w:rPr>
              <w:t>euro</w:t>
            </w:r>
            <w:r w:rsidRPr="008861D4">
              <w:rPr>
                <w:lang w:val="lv-LV"/>
              </w:rPr>
              <w:t xml:space="preserve">) apmērā. </w:t>
            </w:r>
          </w:p>
          <w:p w14:paraId="45042AAC" w14:textId="37FC45FC" w:rsidR="008861D4" w:rsidRPr="008861D4" w:rsidRDefault="008861D4" w:rsidP="008861D4">
            <w:pPr>
              <w:jc w:val="both"/>
              <w:rPr>
                <w:lang w:val="lv-LV"/>
              </w:rPr>
            </w:pPr>
            <w:r w:rsidRPr="008861D4">
              <w:rPr>
                <w:lang w:val="lv-LV"/>
              </w:rPr>
              <w:t xml:space="preserve">Pasākumam tiek novirzīts publiskais finansējums </w:t>
            </w:r>
            <w:r w:rsidR="009E5906">
              <w:rPr>
                <w:lang w:val="lv-LV"/>
              </w:rPr>
              <w:t>22</w:t>
            </w:r>
            <w:r w:rsidRPr="008861D4">
              <w:rPr>
                <w:lang w:val="lv-LV"/>
              </w:rPr>
              <w:t xml:space="preserve"> 000 000 </w:t>
            </w:r>
            <w:r w:rsidRPr="000B04D5">
              <w:rPr>
                <w:i/>
                <w:lang w:val="lv-LV"/>
              </w:rPr>
              <w:t>euro</w:t>
            </w:r>
            <w:r w:rsidRPr="008861D4">
              <w:rPr>
                <w:lang w:val="lv-LV"/>
              </w:rPr>
              <w:t xml:space="preserve"> apmērā no Lauku attīstības programmas īstenošanai piešķirtā pārejas perioda finansējuma 2021. un 2022. gadam, kurš apstiprināts Ministru kabineta 2021.gada 4. februāra protokollēmumā (prot. Nr. 12 28.§) “Informatīvais ziņojums “Par Latvijas Lauku attīstības programmas 2014.–2020. gadam pārejas periodu””.</w:t>
            </w:r>
          </w:p>
          <w:p w14:paraId="4BE5E16D" w14:textId="3A0E9C86" w:rsidR="008861D4" w:rsidRPr="008861D4" w:rsidRDefault="008861D4" w:rsidP="008861D4">
            <w:pPr>
              <w:jc w:val="both"/>
              <w:rPr>
                <w:lang w:val="lv-LV"/>
              </w:rPr>
            </w:pPr>
            <w:r w:rsidRPr="008861D4">
              <w:rPr>
                <w:lang w:val="lv-LV"/>
              </w:rPr>
              <w:t>Lauku attīstības programmas grozījumi par papildu publisko finansējumu pasākumā tika saskaņoti 2021. gada 11. februāra Lauku attīstības programmas uzraudzības komitejas sēdē, un 2021. gada 19.</w:t>
            </w:r>
            <w:r w:rsidR="002F0492">
              <w:rPr>
                <w:lang w:val="lv-LV"/>
              </w:rPr>
              <w:t xml:space="preserve"> </w:t>
            </w:r>
            <w:r w:rsidRPr="008861D4">
              <w:rPr>
                <w:lang w:val="lv-LV"/>
              </w:rPr>
              <w:t xml:space="preserve">martā tie tika iesniegti Eiropas Komisijā ar elektroniskās datu apmaiņas sistēmas </w:t>
            </w:r>
            <w:r w:rsidRPr="000B04D5">
              <w:rPr>
                <w:i/>
                <w:lang w:val="lv-LV"/>
              </w:rPr>
              <w:t>SFC 2014</w:t>
            </w:r>
            <w:r w:rsidRPr="008861D4">
              <w:rPr>
                <w:lang w:val="lv-LV"/>
              </w:rPr>
              <w:t xml:space="preserve"> starpniecību.</w:t>
            </w:r>
          </w:p>
          <w:p w14:paraId="4D05DD60" w14:textId="77777777" w:rsidR="008861D4" w:rsidRPr="008861D4" w:rsidRDefault="008861D4" w:rsidP="008861D4">
            <w:pPr>
              <w:jc w:val="both"/>
              <w:rPr>
                <w:lang w:val="lv-LV"/>
              </w:rPr>
            </w:pPr>
          </w:p>
          <w:p w14:paraId="750A905A" w14:textId="27B2A59C" w:rsidR="008861D4" w:rsidRPr="008861D4" w:rsidRDefault="008861D4" w:rsidP="008861D4">
            <w:pPr>
              <w:jc w:val="both"/>
              <w:rPr>
                <w:lang w:val="lv-LV"/>
              </w:rPr>
            </w:pPr>
            <w:r w:rsidRPr="008861D4">
              <w:rPr>
                <w:lang w:val="lv-LV"/>
              </w:rPr>
              <w:t>Ņemot vērā Zemkopības ministrijas budžetā saskaņā ar likumu “Par valsts budžetu 2021.</w:t>
            </w:r>
            <w:r w:rsidR="002F0492">
              <w:rPr>
                <w:lang w:val="lv-LV"/>
              </w:rPr>
              <w:t xml:space="preserve"> </w:t>
            </w:r>
            <w:r w:rsidRPr="008861D4">
              <w:rPr>
                <w:lang w:val="lv-LV"/>
              </w:rPr>
              <w:t>gadam” un likumu “Par vidēja termiņa budžeta ietvaru 2021., 2022. un 2023.</w:t>
            </w:r>
            <w:r w:rsidR="002F0492">
              <w:rPr>
                <w:lang w:val="lv-LV"/>
              </w:rPr>
              <w:t xml:space="preserve"> </w:t>
            </w:r>
            <w:r w:rsidRPr="008861D4">
              <w:rPr>
                <w:lang w:val="lv-LV"/>
              </w:rPr>
              <w:t>gadam” pasākumam “</w:t>
            </w:r>
            <w:r w:rsidR="009E5906" w:rsidRPr="009E5906">
              <w:rPr>
                <w:lang w:val="lv-LV"/>
              </w:rPr>
              <w:t>Ražas, dzīvnieku un augu apdrošināšanas prēmija</w:t>
            </w:r>
            <w:r w:rsidRPr="008861D4">
              <w:rPr>
                <w:lang w:val="lv-LV"/>
              </w:rPr>
              <w:t>” plānoto finansējumu 2021., 2022. un 2023.</w:t>
            </w:r>
            <w:r w:rsidR="002F0492">
              <w:rPr>
                <w:lang w:val="lv-LV"/>
              </w:rPr>
              <w:t xml:space="preserve"> </w:t>
            </w:r>
            <w:r w:rsidRPr="008861D4">
              <w:rPr>
                <w:lang w:val="lv-LV"/>
              </w:rPr>
              <w:t>gadam, tad:</w:t>
            </w:r>
          </w:p>
          <w:p w14:paraId="3150BCCA" w14:textId="0B880BE5" w:rsidR="008861D4" w:rsidRPr="008861D4" w:rsidRDefault="008861D4" w:rsidP="008861D4">
            <w:pPr>
              <w:jc w:val="both"/>
              <w:rPr>
                <w:lang w:val="lv-LV"/>
              </w:rPr>
            </w:pPr>
            <w:r w:rsidRPr="008861D4">
              <w:rPr>
                <w:lang w:val="lv-LV"/>
              </w:rPr>
              <w:t>2021. gadā papildu</w:t>
            </w:r>
            <w:r w:rsidR="002F0492">
              <w:rPr>
                <w:lang w:val="lv-LV"/>
              </w:rPr>
              <w:t>s</w:t>
            </w:r>
            <w:r w:rsidRPr="008861D4">
              <w:rPr>
                <w:lang w:val="lv-LV"/>
              </w:rPr>
              <w:t xml:space="preserve"> nepieciešami </w:t>
            </w:r>
            <w:r w:rsidR="009E5906">
              <w:rPr>
                <w:lang w:val="lv-LV"/>
              </w:rPr>
              <w:t>6 937 411</w:t>
            </w:r>
            <w:r w:rsidRPr="008861D4">
              <w:rPr>
                <w:lang w:val="lv-LV"/>
              </w:rPr>
              <w:t xml:space="preserve"> </w:t>
            </w:r>
            <w:r w:rsidRPr="000B04D5">
              <w:rPr>
                <w:i/>
                <w:lang w:val="lv-LV"/>
              </w:rPr>
              <w:t>euro</w:t>
            </w:r>
            <w:r w:rsidRPr="008861D4">
              <w:rPr>
                <w:lang w:val="lv-LV"/>
              </w:rPr>
              <w:t>;</w:t>
            </w:r>
          </w:p>
          <w:p w14:paraId="7D1C97A6" w14:textId="4E21BCA2" w:rsidR="008861D4" w:rsidRPr="008861D4" w:rsidRDefault="008861D4" w:rsidP="009E5906">
            <w:pPr>
              <w:jc w:val="both"/>
              <w:rPr>
                <w:rFonts w:eastAsia="Times New Roman"/>
                <w:lang w:val="lv-LV" w:eastAsia="lv-LV"/>
              </w:rPr>
            </w:pPr>
            <w:r w:rsidRPr="008861D4">
              <w:rPr>
                <w:lang w:val="lv-LV"/>
              </w:rPr>
              <w:t xml:space="preserve">2022. gadā papildus nepieciešami </w:t>
            </w:r>
            <w:r w:rsidR="009E5906">
              <w:rPr>
                <w:lang w:val="lv-LV"/>
              </w:rPr>
              <w:t>9 060 714</w:t>
            </w:r>
            <w:r w:rsidRPr="008861D4">
              <w:rPr>
                <w:lang w:val="lv-LV"/>
              </w:rPr>
              <w:t xml:space="preserve"> </w:t>
            </w:r>
            <w:r w:rsidRPr="000B04D5">
              <w:rPr>
                <w:i/>
                <w:lang w:val="lv-LV"/>
              </w:rPr>
              <w:t>euro</w:t>
            </w:r>
            <w:r w:rsidR="009E5906">
              <w:rPr>
                <w:lang w:val="lv-LV"/>
              </w:rPr>
              <w:t>.</w:t>
            </w:r>
          </w:p>
        </w:tc>
      </w:tr>
      <w:tr w:rsidR="008861D4" w:rsidRPr="008861D4" w14:paraId="40314779" w14:textId="77777777" w:rsidTr="008861D4">
        <w:tc>
          <w:tcPr>
            <w:tcW w:w="949" w:type="pct"/>
            <w:shd w:val="clear" w:color="auto" w:fill="auto"/>
            <w:hideMark/>
          </w:tcPr>
          <w:p w14:paraId="1846C4F0" w14:textId="77777777" w:rsidR="008861D4" w:rsidRPr="008861D4" w:rsidRDefault="008861D4" w:rsidP="008861D4">
            <w:pPr>
              <w:rPr>
                <w:rFonts w:eastAsia="Times New Roman"/>
                <w:sz w:val="20"/>
                <w:szCs w:val="20"/>
                <w:lang w:val="lv-LV" w:eastAsia="lv-LV"/>
              </w:rPr>
            </w:pPr>
            <w:r w:rsidRPr="008861D4">
              <w:rPr>
                <w:rFonts w:eastAsia="Times New Roman"/>
                <w:sz w:val="20"/>
                <w:szCs w:val="20"/>
                <w:lang w:val="lv-LV" w:eastAsia="lv-LV"/>
              </w:rPr>
              <w:t>6.1. detalizēts ieņēmumu aprēķins</w:t>
            </w:r>
          </w:p>
        </w:tc>
        <w:tc>
          <w:tcPr>
            <w:tcW w:w="4051" w:type="pct"/>
            <w:gridSpan w:val="7"/>
            <w:vMerge/>
            <w:shd w:val="clear" w:color="auto" w:fill="auto"/>
            <w:hideMark/>
          </w:tcPr>
          <w:p w14:paraId="6DFDE46E" w14:textId="77777777" w:rsidR="008861D4" w:rsidRPr="008861D4" w:rsidRDefault="008861D4" w:rsidP="008861D4">
            <w:pPr>
              <w:rPr>
                <w:rFonts w:eastAsia="Times New Roman"/>
                <w:lang w:val="lv-LV" w:eastAsia="lv-LV"/>
              </w:rPr>
            </w:pPr>
          </w:p>
        </w:tc>
      </w:tr>
      <w:tr w:rsidR="008861D4" w:rsidRPr="008861D4" w14:paraId="1814AECB" w14:textId="77777777" w:rsidTr="008861D4">
        <w:tc>
          <w:tcPr>
            <w:tcW w:w="949" w:type="pct"/>
            <w:shd w:val="clear" w:color="auto" w:fill="auto"/>
            <w:hideMark/>
          </w:tcPr>
          <w:p w14:paraId="3D8FBC02" w14:textId="77777777" w:rsidR="008861D4" w:rsidRPr="008861D4" w:rsidRDefault="008861D4" w:rsidP="008861D4">
            <w:pPr>
              <w:rPr>
                <w:rFonts w:eastAsia="Times New Roman"/>
                <w:sz w:val="20"/>
                <w:szCs w:val="20"/>
                <w:lang w:val="lv-LV" w:eastAsia="lv-LV"/>
              </w:rPr>
            </w:pPr>
            <w:r w:rsidRPr="008861D4">
              <w:rPr>
                <w:rFonts w:eastAsia="Times New Roman"/>
                <w:sz w:val="20"/>
                <w:szCs w:val="20"/>
                <w:lang w:val="lv-LV" w:eastAsia="lv-LV"/>
              </w:rPr>
              <w:t>6.2. detalizēts izdevumu aprēķins</w:t>
            </w:r>
          </w:p>
        </w:tc>
        <w:tc>
          <w:tcPr>
            <w:tcW w:w="4051" w:type="pct"/>
            <w:gridSpan w:val="7"/>
            <w:vMerge/>
            <w:shd w:val="clear" w:color="auto" w:fill="auto"/>
            <w:hideMark/>
          </w:tcPr>
          <w:p w14:paraId="4E2C6467" w14:textId="77777777" w:rsidR="008861D4" w:rsidRPr="008861D4" w:rsidRDefault="008861D4" w:rsidP="008861D4">
            <w:pPr>
              <w:rPr>
                <w:rFonts w:eastAsia="Times New Roman"/>
                <w:lang w:val="lv-LV" w:eastAsia="lv-LV"/>
              </w:rPr>
            </w:pPr>
          </w:p>
        </w:tc>
      </w:tr>
      <w:tr w:rsidR="008861D4" w:rsidRPr="008861D4" w14:paraId="22972D6A" w14:textId="77777777" w:rsidTr="008861D4">
        <w:tc>
          <w:tcPr>
            <w:tcW w:w="949" w:type="pct"/>
            <w:shd w:val="clear" w:color="auto" w:fill="auto"/>
            <w:hideMark/>
          </w:tcPr>
          <w:p w14:paraId="6C826062" w14:textId="77777777" w:rsidR="008861D4" w:rsidRPr="008861D4" w:rsidRDefault="008861D4" w:rsidP="008861D4">
            <w:pPr>
              <w:rPr>
                <w:rFonts w:eastAsia="Times New Roman"/>
                <w:sz w:val="20"/>
                <w:szCs w:val="20"/>
                <w:lang w:val="lv-LV" w:eastAsia="lv-LV"/>
              </w:rPr>
            </w:pPr>
            <w:r w:rsidRPr="008861D4">
              <w:rPr>
                <w:rFonts w:eastAsia="Times New Roman"/>
                <w:sz w:val="20"/>
                <w:szCs w:val="20"/>
                <w:lang w:val="lv-LV" w:eastAsia="lv-LV"/>
              </w:rPr>
              <w:t>7. Amata vietu skaita izmaiņas</w:t>
            </w:r>
          </w:p>
        </w:tc>
        <w:tc>
          <w:tcPr>
            <w:tcW w:w="4051" w:type="pct"/>
            <w:gridSpan w:val="7"/>
            <w:shd w:val="clear" w:color="auto" w:fill="auto"/>
            <w:hideMark/>
          </w:tcPr>
          <w:p w14:paraId="60B88A1C" w14:textId="77777777" w:rsidR="008861D4" w:rsidRPr="008861D4" w:rsidRDefault="008861D4" w:rsidP="008861D4">
            <w:pPr>
              <w:rPr>
                <w:rFonts w:eastAsia="Times New Roman"/>
                <w:lang w:val="lv-LV" w:eastAsia="lv-LV"/>
              </w:rPr>
            </w:pPr>
            <w:r w:rsidRPr="008861D4">
              <w:rPr>
                <w:rFonts w:eastAsia="Times New Roman"/>
                <w:lang w:val="lv-LV" w:eastAsia="lv-LV"/>
              </w:rPr>
              <w:t>Projekts šo jomu neskar.</w:t>
            </w:r>
          </w:p>
        </w:tc>
      </w:tr>
      <w:tr w:rsidR="008861D4" w:rsidRPr="00CA4874" w14:paraId="061D5933" w14:textId="77777777" w:rsidTr="008861D4">
        <w:tc>
          <w:tcPr>
            <w:tcW w:w="949" w:type="pct"/>
            <w:shd w:val="clear" w:color="auto" w:fill="auto"/>
            <w:hideMark/>
          </w:tcPr>
          <w:p w14:paraId="1CB5FBCC" w14:textId="77777777" w:rsidR="008861D4" w:rsidRPr="008861D4" w:rsidRDefault="008861D4" w:rsidP="008861D4">
            <w:pPr>
              <w:rPr>
                <w:rFonts w:eastAsia="Times New Roman"/>
                <w:sz w:val="20"/>
                <w:szCs w:val="20"/>
                <w:lang w:val="lv-LV" w:eastAsia="lv-LV"/>
              </w:rPr>
            </w:pPr>
            <w:r w:rsidRPr="008861D4">
              <w:rPr>
                <w:rFonts w:eastAsia="Times New Roman"/>
                <w:sz w:val="20"/>
                <w:szCs w:val="20"/>
                <w:lang w:val="lv-LV" w:eastAsia="lv-LV"/>
              </w:rPr>
              <w:t>8. Cita informācija</w:t>
            </w:r>
          </w:p>
        </w:tc>
        <w:tc>
          <w:tcPr>
            <w:tcW w:w="4051" w:type="pct"/>
            <w:gridSpan w:val="7"/>
            <w:shd w:val="clear" w:color="auto" w:fill="auto"/>
            <w:hideMark/>
          </w:tcPr>
          <w:p w14:paraId="11D7B486" w14:textId="503C0CAB" w:rsidR="0017493A" w:rsidRPr="0017493A" w:rsidRDefault="0017493A" w:rsidP="0017493A">
            <w:pPr>
              <w:jc w:val="both"/>
              <w:rPr>
                <w:rFonts w:eastAsia="Times New Roman"/>
                <w:lang w:val="lv-LV"/>
              </w:rPr>
            </w:pPr>
            <w:r w:rsidRPr="0017493A">
              <w:rPr>
                <w:rFonts w:eastAsia="Times New Roman"/>
                <w:lang w:val="lv-LV"/>
              </w:rPr>
              <w:t>Ir mainījies pasākuma īstenošanai pieejamais publiskais finansējums, jo ir izdarīti grozījumi Lauku attīstības programmā</w:t>
            </w:r>
            <w:r>
              <w:rPr>
                <w:rFonts w:eastAsia="Times New Roman"/>
                <w:lang w:val="lv-LV"/>
              </w:rPr>
              <w:t xml:space="preserve">, </w:t>
            </w:r>
            <w:r w:rsidRPr="0017493A">
              <w:rPr>
                <w:rFonts w:eastAsia="Times New Roman"/>
                <w:lang w:val="lv-LV"/>
              </w:rPr>
              <w:t>kuri paredz pārejas perioda publiskā finansējuma piešķiršanu. Publiskā finansējuma nodrošināšanai pasākumam valsts budžetā ir nepieciešami papildu finanšu līdzekļi.</w:t>
            </w:r>
          </w:p>
          <w:p w14:paraId="1529F80A" w14:textId="6B305A50" w:rsidR="008861D4" w:rsidRPr="008861D4" w:rsidRDefault="00673BFD" w:rsidP="0017493A">
            <w:pPr>
              <w:jc w:val="both"/>
              <w:rPr>
                <w:rFonts w:eastAsia="Times New Roman"/>
                <w:lang w:val="lv-LV" w:eastAsia="lv-LV"/>
              </w:rPr>
            </w:pPr>
            <w:r w:rsidRPr="00673BFD">
              <w:rPr>
                <w:rFonts w:eastAsia="Times New Roman"/>
                <w:lang w:val="lv-LV"/>
              </w:rPr>
              <w:t xml:space="preserve">Nepieciešamo finansējumu pasākuma īstenošanai Zemkopības ministrija pieprasīs normatīvajos aktos noteiktajā kārtībā no 74. resora “Gadskārtējā valsts budžeta izpildes procesā pārdalāmais finansējums” programmas 80.00.00 “Nesadalītais finansējums Eiropas Savienības politiku instrumentu un pārējās ārvalstu finanšu palīdzības līdzfinansēto projektu un pasākumu īstenošanai””. </w:t>
            </w:r>
            <w:r w:rsidR="0017493A" w:rsidRPr="0017493A">
              <w:rPr>
                <w:rFonts w:eastAsia="Times New Roman"/>
                <w:lang w:val="lv-LV"/>
              </w:rPr>
              <w:t xml:space="preserve">Zemkopības ministrija atbalstu pasākuma īstenošanai </w:t>
            </w:r>
            <w:r w:rsidR="0017493A" w:rsidRPr="0017493A">
              <w:rPr>
                <w:rFonts w:eastAsia="Times New Roman"/>
                <w:lang w:val="lv-LV"/>
              </w:rPr>
              <w:lastRenderedPageBreak/>
              <w:t>izmaksās no budžeta apakšprogrammas 65.08.00. “Maksājumu iestādes izdevumi Eiropas Lauksaimniecības fonda lauku attīstībai (ELFLA) projektu un pasākumu īstenošanai (2014–2020)”.</w:t>
            </w:r>
          </w:p>
        </w:tc>
      </w:tr>
    </w:tbl>
    <w:p w14:paraId="58C52BE0" w14:textId="1F311109" w:rsidR="00AB2864" w:rsidRDefault="00AB2864" w:rsidP="00AB2864">
      <w:pPr>
        <w:pStyle w:val="Body"/>
        <w:spacing w:after="0" w:line="240" w:lineRule="auto"/>
        <w:ind w:right="-7"/>
        <w:rPr>
          <w:rFonts w:ascii="Times New Roman" w:eastAsia="Times New Roman" w:hAnsi="Times New Roman" w:cs="Times New Roman"/>
          <w:sz w:val="24"/>
          <w:szCs w:val="24"/>
        </w:rPr>
      </w:pPr>
    </w:p>
    <w:tbl>
      <w:tblPr>
        <w:tblW w:w="90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55"/>
      </w:tblGrid>
      <w:tr w:rsidR="008243E6" w:rsidRPr="00A86D4B" w14:paraId="608196FA" w14:textId="77777777">
        <w:trPr>
          <w:trHeight w:val="305"/>
        </w:trPr>
        <w:tc>
          <w:tcPr>
            <w:tcW w:w="90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D3CD8E" w14:textId="77777777" w:rsidR="008243E6" w:rsidRPr="00F95322" w:rsidRDefault="00110810">
            <w:pPr>
              <w:pStyle w:val="Body"/>
              <w:spacing w:after="0" w:line="240" w:lineRule="auto"/>
            </w:pPr>
            <w:r w:rsidRPr="00F95322">
              <w:rPr>
                <w:rFonts w:ascii="Times New Roman" w:hAnsi="Times New Roman"/>
                <w:b/>
                <w:bCs/>
                <w:sz w:val="24"/>
                <w:szCs w:val="24"/>
              </w:rPr>
              <w:t>IV. Tiesību akta projekta ietekme uz spēkā esošo tiesību normu sistēmu</w:t>
            </w:r>
          </w:p>
        </w:tc>
      </w:tr>
      <w:tr w:rsidR="008243E6" w:rsidRPr="00F95322" w14:paraId="52453E7C" w14:textId="77777777">
        <w:trPr>
          <w:trHeight w:val="305"/>
        </w:trPr>
        <w:tc>
          <w:tcPr>
            <w:tcW w:w="90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89DF37" w14:textId="77777777" w:rsidR="008243E6" w:rsidRPr="00F95322" w:rsidRDefault="00110810">
            <w:pPr>
              <w:pStyle w:val="Body"/>
              <w:spacing w:after="0" w:line="240" w:lineRule="auto"/>
              <w:jc w:val="center"/>
            </w:pPr>
            <w:r w:rsidRPr="00F95322">
              <w:rPr>
                <w:rFonts w:ascii="Times New Roman" w:hAnsi="Times New Roman"/>
                <w:sz w:val="24"/>
                <w:szCs w:val="24"/>
              </w:rPr>
              <w:t>Projekts šo jomu neskar.</w:t>
            </w:r>
          </w:p>
        </w:tc>
      </w:tr>
    </w:tbl>
    <w:p w14:paraId="1A7E89B7" w14:textId="03A0B1FD" w:rsidR="008243E6" w:rsidRPr="00F95322" w:rsidRDefault="008243E6">
      <w:pPr>
        <w:pStyle w:val="Body"/>
        <w:tabs>
          <w:tab w:val="left" w:pos="3499"/>
        </w:tabs>
        <w:spacing w:after="0" w:line="240" w:lineRule="auto"/>
        <w:rPr>
          <w:rFonts w:ascii="Times New Roman" w:eastAsia="Times New Roman" w:hAnsi="Times New Roman" w:cs="Times New Roman"/>
          <w:sz w:val="24"/>
          <w:szCs w:val="24"/>
        </w:rPr>
      </w:pPr>
    </w:p>
    <w:tbl>
      <w:tblPr>
        <w:tblW w:w="90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55"/>
      </w:tblGrid>
      <w:tr w:rsidR="008243E6" w:rsidRPr="00F95322" w14:paraId="5EDA25C9" w14:textId="77777777">
        <w:trPr>
          <w:trHeight w:val="305"/>
        </w:trPr>
        <w:tc>
          <w:tcPr>
            <w:tcW w:w="90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75F239" w14:textId="77777777" w:rsidR="008243E6" w:rsidRPr="00F95322" w:rsidRDefault="00110810">
            <w:pPr>
              <w:pStyle w:val="Body"/>
              <w:spacing w:after="0" w:line="240" w:lineRule="auto"/>
            </w:pPr>
            <w:r w:rsidRPr="00F95322">
              <w:rPr>
                <w:rFonts w:ascii="Times New Roman" w:hAnsi="Times New Roman"/>
                <w:b/>
                <w:bCs/>
                <w:sz w:val="24"/>
                <w:szCs w:val="24"/>
              </w:rPr>
              <w:t>V. Tiesību akta projekta atbilstība Latvijas Republikas starptautiskajām saistībām</w:t>
            </w:r>
          </w:p>
        </w:tc>
      </w:tr>
      <w:tr w:rsidR="008243E6" w:rsidRPr="00F95322" w14:paraId="7C0C9046" w14:textId="77777777">
        <w:trPr>
          <w:trHeight w:val="305"/>
        </w:trPr>
        <w:tc>
          <w:tcPr>
            <w:tcW w:w="90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E868E2" w14:textId="77777777" w:rsidR="008243E6" w:rsidRPr="00F95322" w:rsidRDefault="00110810">
            <w:pPr>
              <w:pStyle w:val="Body"/>
              <w:spacing w:after="0" w:line="240" w:lineRule="auto"/>
              <w:jc w:val="center"/>
            </w:pPr>
            <w:r w:rsidRPr="00F95322">
              <w:rPr>
                <w:rFonts w:ascii="Times New Roman" w:hAnsi="Times New Roman"/>
                <w:sz w:val="24"/>
                <w:szCs w:val="24"/>
              </w:rPr>
              <w:t>Projekts šo jomu neskar.</w:t>
            </w:r>
          </w:p>
        </w:tc>
      </w:tr>
    </w:tbl>
    <w:p w14:paraId="07E1FA36" w14:textId="77777777" w:rsidR="008243E6" w:rsidRPr="00F95322" w:rsidRDefault="008243E6">
      <w:pPr>
        <w:pStyle w:val="Body"/>
        <w:tabs>
          <w:tab w:val="left" w:pos="3499"/>
        </w:tabs>
        <w:spacing w:after="0" w:line="240" w:lineRule="auto"/>
        <w:rPr>
          <w:rFonts w:ascii="Times New Roman" w:eastAsia="Times New Roman" w:hAnsi="Times New Roman" w:cs="Times New Roman"/>
          <w:sz w:val="24"/>
          <w:szCs w:val="24"/>
        </w:rPr>
      </w:pPr>
    </w:p>
    <w:tbl>
      <w:tblPr>
        <w:tblW w:w="90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80" w:firstRow="0" w:lastRow="0" w:firstColumn="1" w:lastColumn="0" w:noHBand="0" w:noVBand="1"/>
      </w:tblPr>
      <w:tblGrid>
        <w:gridCol w:w="581"/>
        <w:gridCol w:w="3068"/>
        <w:gridCol w:w="5406"/>
      </w:tblGrid>
      <w:tr w:rsidR="008243E6" w:rsidRPr="00A86D4B" w14:paraId="132CD9FD" w14:textId="77777777" w:rsidTr="00321528">
        <w:trPr>
          <w:trHeight w:val="305"/>
        </w:trPr>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489947" w14:textId="77777777" w:rsidR="008243E6" w:rsidRPr="00F95322" w:rsidRDefault="00110810">
            <w:pPr>
              <w:pStyle w:val="Body"/>
              <w:spacing w:after="0" w:line="240" w:lineRule="auto"/>
            </w:pPr>
            <w:r w:rsidRPr="00F95322">
              <w:rPr>
                <w:rFonts w:ascii="Times New Roman" w:hAnsi="Times New Roman"/>
                <w:b/>
                <w:bCs/>
                <w:sz w:val="24"/>
                <w:szCs w:val="24"/>
              </w:rPr>
              <w:t>VI. Sabiedrības līdzdalība un komunikācijas aktivitātes</w:t>
            </w:r>
          </w:p>
        </w:tc>
      </w:tr>
      <w:tr w:rsidR="008243E6" w:rsidRPr="00A86D4B" w14:paraId="6B54AC6D" w14:textId="77777777" w:rsidTr="00AA7A53">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B3844C" w14:textId="77777777" w:rsidR="008243E6" w:rsidRPr="00F95322" w:rsidRDefault="00110810">
            <w:pPr>
              <w:pStyle w:val="Body"/>
              <w:spacing w:after="0" w:line="240" w:lineRule="auto"/>
            </w:pPr>
            <w:r w:rsidRPr="00F95322">
              <w:rPr>
                <w:rFonts w:ascii="Times New Roman" w:hAnsi="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E729BC" w14:textId="77777777" w:rsidR="008243E6" w:rsidRPr="00F95322" w:rsidRDefault="00110810">
            <w:pPr>
              <w:pStyle w:val="Body"/>
              <w:spacing w:after="0" w:line="240" w:lineRule="auto"/>
            </w:pPr>
            <w:r w:rsidRPr="00F95322">
              <w:rPr>
                <w:rFonts w:ascii="Times New Roman" w:hAnsi="Times New Roman"/>
                <w:sz w:val="24"/>
                <w:szCs w:val="24"/>
              </w:rPr>
              <w:t>Plānotās sabiedrības līdzdalības un komunikācijas aktivitātes saistībā ar projektu</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38C7C6" w14:textId="2A4792DF" w:rsidR="008243E6" w:rsidRPr="00F95322" w:rsidRDefault="00110810">
            <w:pPr>
              <w:pStyle w:val="Body"/>
              <w:spacing w:after="0" w:line="240" w:lineRule="auto"/>
              <w:jc w:val="both"/>
            </w:pPr>
            <w:r w:rsidRPr="00F95322">
              <w:rPr>
                <w:rFonts w:ascii="Times New Roman" w:hAnsi="Times New Roman"/>
                <w:sz w:val="24"/>
                <w:szCs w:val="24"/>
              </w:rPr>
              <w:t>Informācija par noteikumu projektu no 2021. gada 16. līdz 30. aprīlim bija ievietota Zemkopības ministrijas tīmekļvietnes</w:t>
            </w:r>
            <w:r w:rsidR="001F755C">
              <w:rPr>
                <w:rFonts w:ascii="Times New Roman" w:hAnsi="Times New Roman"/>
                <w:sz w:val="24"/>
                <w:szCs w:val="24"/>
              </w:rPr>
              <w:t xml:space="preserve"> sadaļā “</w:t>
            </w:r>
            <w:r w:rsidRPr="00F95322">
              <w:rPr>
                <w:rFonts w:ascii="Times New Roman" w:hAnsi="Times New Roman"/>
                <w:sz w:val="24"/>
                <w:szCs w:val="24"/>
              </w:rPr>
              <w:t xml:space="preserve">Sabiedrības līdzdalība”, kā arī Ministru kabineta tīmekļvietnes </w:t>
            </w:r>
            <w:r w:rsidR="001F755C">
              <w:rPr>
                <w:rFonts w:ascii="Times New Roman" w:hAnsi="Times New Roman"/>
                <w:sz w:val="24"/>
                <w:szCs w:val="24"/>
              </w:rPr>
              <w:t>sadaļā “</w:t>
            </w:r>
            <w:r w:rsidR="001F755C" w:rsidRPr="00F95322">
              <w:rPr>
                <w:rFonts w:ascii="Times New Roman" w:hAnsi="Times New Roman"/>
                <w:sz w:val="24"/>
                <w:szCs w:val="24"/>
              </w:rPr>
              <w:t>Sabiedrības līdzdalība”</w:t>
            </w:r>
            <w:r w:rsidRPr="00F95322">
              <w:rPr>
                <w:rFonts w:ascii="Times New Roman" w:hAnsi="Times New Roman"/>
                <w:sz w:val="24"/>
                <w:szCs w:val="24"/>
              </w:rPr>
              <w:t>. Lai noteikumu projektu saskaņotu ar apdrošinātājiem, tas tika nosūtīts Latvijas Apdrošinātāju asociācijai (turpmāk – LAA).</w:t>
            </w:r>
          </w:p>
        </w:tc>
      </w:tr>
      <w:tr w:rsidR="008243E6" w:rsidRPr="00A86D4B" w14:paraId="195443AA" w14:textId="77777777" w:rsidTr="00AA7A53">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67C5F7" w14:textId="77777777" w:rsidR="008243E6" w:rsidRPr="00F95322" w:rsidRDefault="00110810">
            <w:pPr>
              <w:pStyle w:val="Body"/>
              <w:spacing w:after="0" w:line="240" w:lineRule="auto"/>
            </w:pPr>
            <w:r w:rsidRPr="00F95322">
              <w:rPr>
                <w:rFonts w:ascii="Times New Roman" w:hAnsi="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224BA7" w14:textId="77777777" w:rsidR="008243E6" w:rsidRPr="00F95322" w:rsidRDefault="00110810">
            <w:pPr>
              <w:pStyle w:val="Body"/>
              <w:spacing w:after="0" w:line="240" w:lineRule="auto"/>
              <w:jc w:val="both"/>
            </w:pPr>
            <w:r w:rsidRPr="00F95322">
              <w:rPr>
                <w:rFonts w:ascii="Times New Roman" w:hAnsi="Times New Roman"/>
                <w:sz w:val="24"/>
                <w:szCs w:val="24"/>
              </w:rPr>
              <w:t>Sabiedrības līdzdalība projekta izstrādē</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BD24FA" w14:textId="4E4107B0" w:rsidR="008243E6" w:rsidRPr="00F95322" w:rsidRDefault="00110810">
            <w:pPr>
              <w:pStyle w:val="Body"/>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Zemkopības ministrija saņēma priekšlikumus, komentārus un jautājumus no LAA. Būtiskākie no priekšlikumiem un komentāriem bija:</w:t>
            </w:r>
          </w:p>
          <w:p w14:paraId="33406675" w14:textId="77777777" w:rsidR="008243E6" w:rsidRPr="00F95322" w:rsidRDefault="00110810">
            <w:pPr>
              <w:pStyle w:val="Body"/>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1) par nepieciešamību darīt zināmu lauksaimniekiem brīdi, kurā atbalstam pieteiktais publiskais finansējums sasniedzis 90% no kopējā pieejamā finansējuma (ņemot vērā, ka starp 90% sasniegšanu un publikāciju ir starplaiks, kurā lauksaimnieki nav informēti par 90% sasniegšanu un iespējamo atbalsta proporcionālo samazinājumu);</w:t>
            </w:r>
          </w:p>
          <w:p w14:paraId="48A775F6" w14:textId="78BAA536" w:rsidR="008243E6" w:rsidRPr="001F755C" w:rsidRDefault="00110810">
            <w:pPr>
              <w:pStyle w:val="Body"/>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 xml:space="preserve">2) priekšlikums izteikt noteikumos Nr. 492 iekļaujamo </w:t>
            </w:r>
            <w:r w:rsidRPr="00006DD1">
              <w:rPr>
                <w:rFonts w:ascii="Times New Roman" w:hAnsi="Times New Roman" w:cs="Times New Roman"/>
                <w:sz w:val="24"/>
                <w:szCs w:val="24"/>
              </w:rPr>
              <w:t>10.6</w:t>
            </w:r>
            <w:r w:rsidR="001F755C">
              <w:rPr>
                <w:rFonts w:ascii="Times New Roman" w:hAnsi="Times New Roman" w:cs="Times New Roman"/>
                <w:sz w:val="24"/>
                <w:szCs w:val="24"/>
              </w:rPr>
              <w:t>.</w:t>
            </w:r>
            <w:r w:rsidRPr="00006DD1">
              <w:rPr>
                <w:rFonts w:ascii="Times New Roman" w:hAnsi="Times New Roman" w:cs="Times New Roman"/>
                <w:sz w:val="24"/>
                <w:szCs w:val="24"/>
              </w:rPr>
              <w:t xml:space="preserve"> un 10.7. apakšpunktu</w:t>
            </w:r>
            <w:r w:rsidRPr="00673A1A">
              <w:rPr>
                <w:rFonts w:ascii="Times New Roman" w:hAnsi="Times New Roman" w:cs="Times New Roman"/>
                <w:sz w:val="24"/>
                <w:szCs w:val="24"/>
              </w:rPr>
              <w:t xml:space="preserve"> šādā redakcijā:</w:t>
            </w:r>
          </w:p>
          <w:p w14:paraId="5B6547F1" w14:textId="77777777" w:rsidR="008243E6" w:rsidRPr="00F95322" w:rsidRDefault="00110810" w:rsidP="000B04D5">
            <w:pPr>
              <w:pStyle w:val="Body"/>
              <w:spacing w:after="0" w:line="240" w:lineRule="auto"/>
              <w:jc w:val="both"/>
              <w:rPr>
                <w:rFonts w:ascii="Times New Roman" w:eastAsia="Times New Roman" w:hAnsi="Times New Roman" w:cs="Times New Roman"/>
                <w:sz w:val="24"/>
                <w:szCs w:val="24"/>
              </w:rPr>
            </w:pPr>
            <w:r w:rsidRPr="00006DD1">
              <w:rPr>
                <w:rFonts w:ascii="Times New Roman" w:hAnsi="Times New Roman" w:cs="Times New Roman"/>
                <w:sz w:val="24"/>
                <w:szCs w:val="24"/>
                <w:rtl/>
              </w:rPr>
              <w:t>“</w:t>
            </w:r>
            <w:r w:rsidRPr="00006DD1">
              <w:rPr>
                <w:rFonts w:ascii="Times New Roman" w:hAnsi="Times New Roman" w:cs="Times New Roman"/>
                <w:sz w:val="24"/>
                <w:szCs w:val="24"/>
              </w:rPr>
              <w:t>10.6.</w:t>
            </w:r>
            <w:r w:rsidRPr="00F95322">
              <w:rPr>
                <w:rFonts w:ascii="Times New Roman" w:hAnsi="Times New Roman"/>
                <w:sz w:val="24"/>
                <w:szCs w:val="24"/>
              </w:rPr>
              <w:t xml:space="preserve"> ka maksimālais atlīdzības apmērs, iestājoties šo noteikumu 10.1. punktā minētajiem riskiem, nedrīkst tikt noteikts mazākā apmērā kā 200 procenti no polises parakstītās prēmijas; </w:t>
            </w:r>
          </w:p>
          <w:p w14:paraId="5785BFC4" w14:textId="2B60F245" w:rsidR="008243E6" w:rsidRPr="00F95322" w:rsidRDefault="00110810" w:rsidP="000B04D5">
            <w:pPr>
              <w:pStyle w:val="Body"/>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10.7. ka pašrisks, iestājoties šo noteikumu 10.1. punktā minētajiem riskiem, nav atkarīgs no tā vai attiecīgās apdrošināšanas polises ietvaros iepriekš ir izmaksātas atlīdzības par šo noteikumu 10.1. punktā minētajiem riskiem.”</w:t>
            </w:r>
          </w:p>
          <w:p w14:paraId="411AAC87" w14:textId="77777777" w:rsidR="008243E6" w:rsidRPr="00F95322" w:rsidRDefault="00110810" w:rsidP="000B04D5">
            <w:pPr>
              <w:pStyle w:val="Body"/>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LAA norāda, ka nebūtu korekti, ja nevienam no apdrošinātajiem riskiem nevar tikt uzlikts ierobežojums;</w:t>
            </w:r>
          </w:p>
          <w:p w14:paraId="37598738" w14:textId="77777777" w:rsidR="008243E6" w:rsidRPr="00F95322" w:rsidRDefault="00110810" w:rsidP="000B04D5">
            <w:pPr>
              <w:pStyle w:val="Body"/>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3) par nepieciešamību norādīt, kādā formā un ar kādu regularitāti apdrošinātājs nosūta informāciju Lauku atbalsta dienestam par lauksaimniekam atmaksātu apdrošināšanas prēmiju vai tās daļu;</w:t>
            </w:r>
          </w:p>
          <w:p w14:paraId="00A53076" w14:textId="77777777" w:rsidR="008243E6" w:rsidRPr="00F95322" w:rsidRDefault="00110810" w:rsidP="000B04D5">
            <w:pPr>
              <w:pStyle w:val="Body"/>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lastRenderedPageBreak/>
              <w:t>4) par nepieciešamību norādīt, vai skaidrojuma nesniegšana var ietekmēt iespēju saņem atbalstu, kā arī par nepieciešamību noteikt skaidrus kritērijus tam, vai skaidrojums ir atbilstošs;</w:t>
            </w:r>
          </w:p>
          <w:p w14:paraId="5C40CC6C" w14:textId="413AF90A" w:rsidR="008243E6" w:rsidRPr="001F755C" w:rsidRDefault="00110810" w:rsidP="000B04D5">
            <w:pPr>
              <w:pStyle w:val="Body"/>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 xml:space="preserve">5) </w:t>
            </w:r>
            <w:r w:rsidRPr="00006DD1">
              <w:rPr>
                <w:rFonts w:ascii="Times New Roman" w:hAnsi="Times New Roman" w:cs="Times New Roman"/>
                <w:sz w:val="24"/>
                <w:szCs w:val="24"/>
              </w:rPr>
              <w:t xml:space="preserve">par nepieciešamību pārejas noteikumos </w:t>
            </w:r>
            <w:r w:rsidRPr="00673A1A">
              <w:rPr>
                <w:rFonts w:ascii="Times New Roman" w:hAnsi="Times New Roman" w:cs="Times New Roman"/>
                <w:sz w:val="24"/>
                <w:szCs w:val="24"/>
              </w:rPr>
              <w:t xml:space="preserve">vārdus </w:t>
            </w:r>
            <w:r w:rsidRPr="00006DD1">
              <w:rPr>
                <w:rFonts w:ascii="Times New Roman" w:hAnsi="Times New Roman" w:cs="Times New Roman"/>
                <w:sz w:val="24"/>
                <w:szCs w:val="24"/>
                <w:rtl/>
              </w:rPr>
              <w:t>“</w:t>
            </w:r>
            <w:r w:rsidRPr="00006DD1">
              <w:rPr>
                <w:rFonts w:ascii="Times New Roman" w:hAnsi="Times New Roman" w:cs="Times New Roman"/>
                <w:sz w:val="24"/>
                <w:szCs w:val="24"/>
              </w:rPr>
              <w:t xml:space="preserve">polises iegādes datums” </w:t>
            </w:r>
            <w:r w:rsidR="001F755C" w:rsidRPr="00721444">
              <w:rPr>
                <w:rFonts w:ascii="Times New Roman" w:hAnsi="Times New Roman" w:cs="Times New Roman"/>
                <w:sz w:val="24"/>
                <w:szCs w:val="24"/>
              </w:rPr>
              <w:t>aizstāt</w:t>
            </w:r>
            <w:r w:rsidR="001F755C" w:rsidRPr="001F755C">
              <w:rPr>
                <w:rFonts w:ascii="Times New Roman" w:hAnsi="Times New Roman" w:cs="Times New Roman"/>
                <w:sz w:val="24"/>
                <w:szCs w:val="24"/>
              </w:rPr>
              <w:t xml:space="preserve"> </w:t>
            </w:r>
            <w:r w:rsidRPr="00006DD1">
              <w:rPr>
                <w:rFonts w:ascii="Times New Roman" w:hAnsi="Times New Roman" w:cs="Times New Roman"/>
                <w:sz w:val="24"/>
                <w:szCs w:val="24"/>
              </w:rPr>
              <w:t xml:space="preserve">ar vārdiem </w:t>
            </w:r>
            <w:r w:rsidRPr="00006DD1">
              <w:rPr>
                <w:rFonts w:ascii="Times New Roman" w:hAnsi="Times New Roman" w:cs="Times New Roman"/>
                <w:sz w:val="24"/>
                <w:szCs w:val="24"/>
                <w:rtl/>
              </w:rPr>
              <w:t>“</w:t>
            </w:r>
            <w:r w:rsidRPr="00006DD1">
              <w:rPr>
                <w:rFonts w:ascii="Times New Roman" w:hAnsi="Times New Roman" w:cs="Times New Roman"/>
                <w:sz w:val="24"/>
                <w:szCs w:val="24"/>
              </w:rPr>
              <w:t>apdrošināšanas līguma noslēgšanas datums”, jo šāda terminoloģija atbilst apdrošināšanas sfērā lietotajai;</w:t>
            </w:r>
          </w:p>
          <w:p w14:paraId="3CEF35DC" w14:textId="0E70C269" w:rsidR="008243E6" w:rsidRPr="001F755C" w:rsidRDefault="00110810" w:rsidP="000B04D5">
            <w:pPr>
              <w:pStyle w:val="Body"/>
              <w:spacing w:after="0" w:line="240" w:lineRule="auto"/>
              <w:jc w:val="both"/>
              <w:rPr>
                <w:rFonts w:ascii="Times New Roman" w:eastAsia="Times New Roman" w:hAnsi="Times New Roman" w:cs="Times New Roman"/>
                <w:sz w:val="24"/>
                <w:szCs w:val="24"/>
              </w:rPr>
            </w:pPr>
            <w:r w:rsidRPr="00006DD1">
              <w:rPr>
                <w:rFonts w:ascii="Times New Roman" w:hAnsi="Times New Roman" w:cs="Times New Roman"/>
                <w:sz w:val="24"/>
                <w:szCs w:val="24"/>
              </w:rPr>
              <w:t>6) priekšlikums iekļaut noteikumos Nr. 492 12.</w:t>
            </w:r>
            <w:r w:rsidRPr="00006DD1">
              <w:rPr>
                <w:rFonts w:ascii="Times New Roman" w:hAnsi="Times New Roman" w:cs="Times New Roman"/>
                <w:sz w:val="24"/>
                <w:szCs w:val="24"/>
                <w:vertAlign w:val="superscript"/>
              </w:rPr>
              <w:t>1</w:t>
            </w:r>
            <w:r w:rsidR="001F755C">
              <w:rPr>
                <w:rFonts w:ascii="Times New Roman" w:hAnsi="Times New Roman" w:cs="Times New Roman"/>
                <w:sz w:val="24"/>
                <w:szCs w:val="24"/>
              </w:rPr>
              <w:t> </w:t>
            </w:r>
            <w:r w:rsidRPr="00006DD1">
              <w:rPr>
                <w:rFonts w:ascii="Times New Roman" w:hAnsi="Times New Roman" w:cs="Times New Roman"/>
                <w:sz w:val="24"/>
                <w:szCs w:val="24"/>
              </w:rPr>
              <w:t>punktu</w:t>
            </w:r>
            <w:r w:rsidR="001F755C">
              <w:rPr>
                <w:rFonts w:ascii="Times New Roman" w:hAnsi="Times New Roman" w:cs="Times New Roman"/>
                <w:sz w:val="24"/>
                <w:szCs w:val="24"/>
              </w:rPr>
              <w:t>:</w:t>
            </w:r>
          </w:p>
          <w:p w14:paraId="3FF20A12" w14:textId="066C5B52" w:rsidR="008243E6" w:rsidRPr="00F95322" w:rsidRDefault="00110810" w:rsidP="000B04D5">
            <w:pPr>
              <w:pStyle w:val="Body"/>
              <w:spacing w:after="0" w:line="240" w:lineRule="auto"/>
              <w:jc w:val="both"/>
              <w:rPr>
                <w:rFonts w:ascii="Times New Roman" w:eastAsia="Times New Roman" w:hAnsi="Times New Roman" w:cs="Times New Roman"/>
                <w:sz w:val="24"/>
                <w:szCs w:val="24"/>
              </w:rPr>
            </w:pPr>
            <w:r w:rsidRPr="00006DD1">
              <w:rPr>
                <w:rFonts w:ascii="Times New Roman" w:hAnsi="Times New Roman" w:cs="Times New Roman"/>
                <w:sz w:val="24"/>
                <w:szCs w:val="24"/>
                <w:rtl/>
              </w:rPr>
              <w:t>“</w:t>
            </w:r>
            <w:r w:rsidRPr="00006DD1">
              <w:rPr>
                <w:rFonts w:ascii="Times New Roman" w:hAnsi="Times New Roman" w:cs="Times New Roman"/>
                <w:sz w:val="24"/>
                <w:szCs w:val="24"/>
              </w:rPr>
              <w:t>12.</w:t>
            </w:r>
            <w:r w:rsidRPr="00006DD1">
              <w:rPr>
                <w:rFonts w:ascii="Times New Roman" w:hAnsi="Times New Roman" w:cs="Times New Roman"/>
                <w:sz w:val="24"/>
                <w:szCs w:val="24"/>
                <w:vertAlign w:val="superscript"/>
              </w:rPr>
              <w:t>1</w:t>
            </w:r>
            <w:r w:rsidRPr="00673A1A">
              <w:rPr>
                <w:rFonts w:ascii="Times New Roman" w:hAnsi="Times New Roman" w:cs="Times New Roman"/>
                <w:sz w:val="24"/>
                <w:szCs w:val="24"/>
              </w:rPr>
              <w:t xml:space="preserve"> Ja apdrošināšanas</w:t>
            </w:r>
            <w:r w:rsidRPr="00F95322">
              <w:rPr>
                <w:rFonts w:ascii="Times New Roman" w:hAnsi="Times New Roman"/>
                <w:sz w:val="24"/>
                <w:szCs w:val="24"/>
              </w:rPr>
              <w:t xml:space="preserve"> līguma, ar kuru apdrošināti dzīvnieki, termiņš ir īsāks kā viens kalendārais gads, tad maksimālais atbalsts par vienu liellopa vienību tiek proporcionāli samazināts atbilstoši līguma darbības termiņa dienu skaitam”, lai </w:t>
            </w:r>
            <w:r w:rsidR="001F755C">
              <w:rPr>
                <w:rFonts w:ascii="Times New Roman" w:hAnsi="Times New Roman"/>
                <w:sz w:val="24"/>
                <w:szCs w:val="24"/>
              </w:rPr>
              <w:t>nepieļautu</w:t>
            </w:r>
            <w:r w:rsidR="001F755C" w:rsidRPr="00F95322">
              <w:rPr>
                <w:rFonts w:ascii="Times New Roman" w:hAnsi="Times New Roman"/>
                <w:sz w:val="24"/>
                <w:szCs w:val="24"/>
              </w:rPr>
              <w:t xml:space="preserve"> </w:t>
            </w:r>
            <w:r w:rsidRPr="00F95322">
              <w:rPr>
                <w:rFonts w:ascii="Times New Roman" w:hAnsi="Times New Roman"/>
                <w:sz w:val="24"/>
                <w:szCs w:val="24"/>
              </w:rPr>
              <w:t xml:space="preserve">iespēju izvairīties no 50 </w:t>
            </w:r>
            <w:r w:rsidRPr="00F95322">
              <w:rPr>
                <w:rFonts w:ascii="Times New Roman" w:hAnsi="Times New Roman"/>
                <w:i/>
                <w:iCs/>
                <w:sz w:val="24"/>
                <w:szCs w:val="24"/>
              </w:rPr>
              <w:t>euro</w:t>
            </w:r>
            <w:r w:rsidRPr="00F95322">
              <w:rPr>
                <w:rFonts w:ascii="Times New Roman" w:hAnsi="Times New Roman"/>
                <w:sz w:val="24"/>
                <w:szCs w:val="24"/>
              </w:rPr>
              <w:t xml:space="preserve"> ierobežojuma. Šādu prasību nebūtu korekti attiecināt uz sējumu un stādījumu apdrošināšanu, kur</w:t>
            </w:r>
            <w:r w:rsidR="001F755C">
              <w:rPr>
                <w:rFonts w:ascii="Times New Roman" w:hAnsi="Times New Roman"/>
                <w:sz w:val="24"/>
                <w:szCs w:val="24"/>
              </w:rPr>
              <w:t>ā</w:t>
            </w:r>
            <w:r w:rsidRPr="00F95322">
              <w:rPr>
                <w:rFonts w:ascii="Times New Roman" w:hAnsi="Times New Roman"/>
                <w:sz w:val="24"/>
                <w:szCs w:val="24"/>
              </w:rPr>
              <w:t xml:space="preserve"> seguma darbības periods tiek noteikts, pamatojoties uz kultūru un izvēlētajiem sezonālajiem risk</w:t>
            </w:r>
            <w:r w:rsidR="001F755C">
              <w:rPr>
                <w:rFonts w:ascii="Times New Roman" w:hAnsi="Times New Roman"/>
                <w:sz w:val="24"/>
                <w:szCs w:val="24"/>
              </w:rPr>
              <w:t>a faktoriem</w:t>
            </w:r>
            <w:r w:rsidRPr="00F95322">
              <w:rPr>
                <w:rFonts w:ascii="Times New Roman" w:hAnsi="Times New Roman"/>
                <w:sz w:val="24"/>
                <w:szCs w:val="24"/>
              </w:rPr>
              <w:t>.</w:t>
            </w:r>
          </w:p>
          <w:p w14:paraId="43792383" w14:textId="0569A933" w:rsidR="008243E6" w:rsidRPr="00F95322" w:rsidRDefault="00110810">
            <w:pPr>
              <w:pStyle w:val="Body"/>
              <w:shd w:val="clear" w:color="auto" w:fill="FFFFFF"/>
              <w:spacing w:after="0" w:line="240" w:lineRule="auto"/>
              <w:jc w:val="both"/>
            </w:pPr>
            <w:r w:rsidRPr="00F95322">
              <w:rPr>
                <w:rFonts w:ascii="Times New Roman" w:hAnsi="Times New Roman"/>
                <w:sz w:val="24"/>
                <w:szCs w:val="24"/>
              </w:rPr>
              <w:t xml:space="preserve">Zemkopības ministrija par noteikumu projektu saņēma jautājumus </w:t>
            </w:r>
            <w:r w:rsidRPr="00006DD1">
              <w:rPr>
                <w:rFonts w:ascii="Times New Roman" w:hAnsi="Times New Roman" w:cs="Times New Roman"/>
                <w:sz w:val="24"/>
                <w:szCs w:val="24"/>
              </w:rPr>
              <w:t xml:space="preserve">no </w:t>
            </w:r>
            <w:r w:rsidR="001F755C">
              <w:rPr>
                <w:rFonts w:ascii="Times New Roman" w:hAnsi="Times New Roman" w:cs="Times New Roman"/>
                <w:sz w:val="24"/>
                <w:szCs w:val="24"/>
              </w:rPr>
              <w:t>l</w:t>
            </w:r>
            <w:r w:rsidRPr="00006DD1">
              <w:rPr>
                <w:rFonts w:ascii="Times New Roman" w:hAnsi="Times New Roman" w:cs="Times New Roman"/>
                <w:sz w:val="24"/>
                <w:szCs w:val="24"/>
              </w:rPr>
              <w:t xml:space="preserve">auksaimniecības pakalpojumu kooperatīvās sabiedrības </w:t>
            </w:r>
            <w:r w:rsidRPr="00006DD1">
              <w:rPr>
                <w:rFonts w:ascii="Times New Roman" w:hAnsi="Times New Roman" w:cs="Times New Roman"/>
                <w:sz w:val="24"/>
                <w:szCs w:val="24"/>
                <w:rtl/>
              </w:rPr>
              <w:t>“</w:t>
            </w:r>
            <w:r w:rsidRPr="00006DD1">
              <w:rPr>
                <w:rFonts w:ascii="Times New Roman" w:hAnsi="Times New Roman" w:cs="Times New Roman"/>
                <w:sz w:val="24"/>
                <w:szCs w:val="24"/>
              </w:rPr>
              <w:t>Latraps” (turpmāk – Latraps), kas piedāvā arī apdrošināšanas pakalpojumus (</w:t>
            </w:r>
            <w:r w:rsidR="001F755C" w:rsidRPr="00BF36B3">
              <w:rPr>
                <w:rFonts w:ascii="Times New Roman" w:hAnsi="Times New Roman" w:cs="Times New Roman"/>
                <w:sz w:val="24"/>
                <w:szCs w:val="24"/>
                <w:rtl/>
              </w:rPr>
              <w:t>“</w:t>
            </w:r>
            <w:r w:rsidRPr="00006DD1">
              <w:rPr>
                <w:rFonts w:ascii="Times New Roman" w:hAnsi="Times New Roman" w:cs="Times New Roman"/>
                <w:sz w:val="24"/>
                <w:szCs w:val="24"/>
              </w:rPr>
              <w:t>Vereinigte Hagel” pārstāvis).</w:t>
            </w:r>
          </w:p>
        </w:tc>
      </w:tr>
      <w:tr w:rsidR="008243E6" w:rsidRPr="006812EB" w14:paraId="280FAB33" w14:textId="77777777" w:rsidTr="00AA7A53">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B499E3" w14:textId="77777777" w:rsidR="008243E6" w:rsidRPr="00F95322" w:rsidRDefault="00110810">
            <w:pPr>
              <w:pStyle w:val="Body"/>
              <w:spacing w:after="0" w:line="240" w:lineRule="auto"/>
            </w:pPr>
            <w:r w:rsidRPr="00F95322">
              <w:rPr>
                <w:rFonts w:ascii="Times New Roman" w:hAnsi="Times New Roman"/>
                <w:sz w:val="24"/>
                <w:szCs w:val="24"/>
              </w:rPr>
              <w:lastRenderedPageBreak/>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807E18" w14:textId="77777777" w:rsidR="008243E6" w:rsidRPr="00F95322" w:rsidRDefault="00110810">
            <w:pPr>
              <w:pStyle w:val="Body"/>
              <w:spacing w:after="0" w:line="240" w:lineRule="auto"/>
            </w:pPr>
            <w:r w:rsidRPr="00F95322">
              <w:rPr>
                <w:rFonts w:ascii="Times New Roman" w:hAnsi="Times New Roman"/>
                <w:sz w:val="24"/>
                <w:szCs w:val="24"/>
              </w:rPr>
              <w:t>Sabiedrības līdzdalības rezultāti</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723662" w14:textId="418CB3B6" w:rsidR="008243E6" w:rsidRPr="00F95322" w:rsidRDefault="00110810">
            <w:pPr>
              <w:pStyle w:val="Body"/>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 xml:space="preserve">Zemkopības ministrija sniedz šādu skaidrojumu </w:t>
            </w:r>
            <w:r w:rsidR="001F755C">
              <w:rPr>
                <w:rFonts w:ascii="Times New Roman" w:hAnsi="Times New Roman"/>
                <w:sz w:val="24"/>
                <w:szCs w:val="24"/>
              </w:rPr>
              <w:t>par</w:t>
            </w:r>
            <w:r w:rsidRPr="00F95322">
              <w:rPr>
                <w:rFonts w:ascii="Times New Roman" w:hAnsi="Times New Roman"/>
                <w:sz w:val="24"/>
                <w:szCs w:val="24"/>
              </w:rPr>
              <w:t xml:space="preserve"> LAA izteiktajiem komentāriem un priekšlikumiem:</w:t>
            </w:r>
          </w:p>
          <w:p w14:paraId="779D3B5E" w14:textId="76B73B05" w:rsidR="008243E6" w:rsidRPr="00F95322" w:rsidRDefault="00110810">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 xml:space="preserve">1) </w:t>
            </w:r>
            <w:r w:rsidR="001F755C">
              <w:rPr>
                <w:rFonts w:ascii="Times New Roman" w:hAnsi="Times New Roman"/>
                <w:sz w:val="24"/>
                <w:szCs w:val="24"/>
              </w:rPr>
              <w:t>t</w:t>
            </w:r>
            <w:r w:rsidRPr="00F95322">
              <w:rPr>
                <w:rFonts w:ascii="Times New Roman" w:hAnsi="Times New Roman"/>
                <w:sz w:val="24"/>
                <w:szCs w:val="24"/>
              </w:rPr>
              <w:t>ā kā nav iespējams nekavējoties publicēt paziņojumu oficiālajā izdevum</w:t>
            </w:r>
            <w:r w:rsidR="001F755C">
              <w:rPr>
                <w:rFonts w:ascii="Times New Roman" w:hAnsi="Times New Roman"/>
                <w:sz w:val="24"/>
                <w:szCs w:val="24"/>
              </w:rPr>
              <w:t>ā “Latvijas</w:t>
            </w:r>
            <w:r w:rsidRPr="00F95322">
              <w:rPr>
                <w:rFonts w:ascii="Times New Roman" w:hAnsi="Times New Roman"/>
                <w:sz w:val="24"/>
                <w:szCs w:val="24"/>
                <w:rtl/>
              </w:rPr>
              <w:t xml:space="preserve"> </w:t>
            </w:r>
            <w:r w:rsidRPr="00F95322">
              <w:rPr>
                <w:rFonts w:ascii="Times New Roman" w:hAnsi="Times New Roman"/>
                <w:sz w:val="24"/>
                <w:szCs w:val="24"/>
              </w:rPr>
              <w:t xml:space="preserve">Vēstnesis” (tas prasa vismaz vienu dienu) par 90% sasniegšanu, tad paziņojumu savā </w:t>
            </w:r>
            <w:r w:rsidR="001F755C">
              <w:rPr>
                <w:rFonts w:ascii="Times New Roman" w:hAnsi="Times New Roman"/>
                <w:sz w:val="24"/>
                <w:szCs w:val="24"/>
              </w:rPr>
              <w:t>tīmekļvietnē</w:t>
            </w:r>
            <w:r w:rsidR="001F755C" w:rsidRPr="00F95322">
              <w:rPr>
                <w:rFonts w:ascii="Times New Roman" w:hAnsi="Times New Roman"/>
                <w:sz w:val="24"/>
                <w:szCs w:val="24"/>
              </w:rPr>
              <w:t xml:space="preserve"> </w:t>
            </w:r>
            <w:r w:rsidR="00733ECE" w:rsidRPr="00F95322">
              <w:rPr>
                <w:rFonts w:ascii="Times New Roman" w:hAnsi="Times New Roman"/>
                <w:sz w:val="24"/>
                <w:szCs w:val="24"/>
              </w:rPr>
              <w:t>papildu</w:t>
            </w:r>
            <w:r w:rsidR="00733ECE">
              <w:rPr>
                <w:rFonts w:ascii="Times New Roman" w:hAnsi="Times New Roman"/>
                <w:sz w:val="24"/>
                <w:szCs w:val="24"/>
              </w:rPr>
              <w:t>s</w:t>
            </w:r>
            <w:r w:rsidR="00733ECE" w:rsidRPr="00F95322">
              <w:rPr>
                <w:rFonts w:ascii="Times New Roman" w:hAnsi="Times New Roman"/>
                <w:sz w:val="24"/>
                <w:szCs w:val="24"/>
              </w:rPr>
              <w:t xml:space="preserve"> </w:t>
            </w:r>
            <w:r w:rsidRPr="00F95322">
              <w:rPr>
                <w:rFonts w:ascii="Times New Roman" w:hAnsi="Times New Roman"/>
                <w:sz w:val="24"/>
                <w:szCs w:val="24"/>
              </w:rPr>
              <w:t>publicēs Lauku atbalsta dienests. Tād</w:t>
            </w:r>
            <w:r w:rsidR="00733ECE">
              <w:rPr>
                <w:rFonts w:ascii="Times New Roman" w:hAnsi="Times New Roman"/>
                <w:sz w:val="24"/>
                <w:szCs w:val="24"/>
              </w:rPr>
              <w:t>ē</w:t>
            </w:r>
            <w:r w:rsidRPr="00F95322">
              <w:rPr>
                <w:rFonts w:ascii="Times New Roman" w:hAnsi="Times New Roman"/>
                <w:sz w:val="24"/>
                <w:szCs w:val="24"/>
              </w:rPr>
              <w:t>jādi visi lauksaimnieki nekavējoties būs informēti par brīdi, kad pieteiktais publiskais finansējums sasniedzis 90%;</w:t>
            </w:r>
          </w:p>
          <w:p w14:paraId="65FB8952" w14:textId="7D905D81" w:rsidR="008243E6" w:rsidRPr="00F95322" w:rsidRDefault="00110810" w:rsidP="000B04D5">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2) 10.6. apakšpunktā neatbalstām LAA priekšlikumu atlīdzības limitu attiecināt tikai uz 10.1. apakšpunktā minētiem risk</w:t>
            </w:r>
            <w:r w:rsidR="00733ECE">
              <w:rPr>
                <w:rFonts w:ascii="Times New Roman" w:hAnsi="Times New Roman"/>
                <w:sz w:val="24"/>
                <w:szCs w:val="24"/>
              </w:rPr>
              <w:t>a faktoriem</w:t>
            </w:r>
            <w:r w:rsidRPr="00F95322">
              <w:rPr>
                <w:rFonts w:ascii="Times New Roman" w:hAnsi="Times New Roman"/>
                <w:sz w:val="24"/>
                <w:szCs w:val="24"/>
              </w:rPr>
              <w:t>, tāpēc 10.6. apakšpunktā noteikts, ka polisē apdrošināto risk</w:t>
            </w:r>
            <w:r w:rsidR="00733ECE">
              <w:rPr>
                <w:rFonts w:ascii="Times New Roman" w:hAnsi="Times New Roman"/>
                <w:sz w:val="24"/>
                <w:szCs w:val="24"/>
              </w:rPr>
              <w:t>a faktoru</w:t>
            </w:r>
            <w:r w:rsidRPr="00F95322">
              <w:rPr>
                <w:rFonts w:ascii="Times New Roman" w:hAnsi="Times New Roman"/>
                <w:sz w:val="24"/>
                <w:szCs w:val="24"/>
              </w:rPr>
              <w:t xml:space="preserve"> atlīdzības limitu nedrīkst noteikt mazāku </w:t>
            </w:r>
            <w:r w:rsidR="00733ECE">
              <w:rPr>
                <w:rFonts w:ascii="Times New Roman" w:hAnsi="Times New Roman"/>
                <w:sz w:val="24"/>
                <w:szCs w:val="24"/>
              </w:rPr>
              <w:t>par</w:t>
            </w:r>
            <w:r w:rsidRPr="00F95322">
              <w:rPr>
                <w:rFonts w:ascii="Times New Roman" w:hAnsi="Times New Roman"/>
                <w:sz w:val="24"/>
                <w:szCs w:val="24"/>
              </w:rPr>
              <w:t xml:space="preserve"> 200% no apdrošināšanas prēmijas.</w:t>
            </w:r>
            <w:r w:rsidR="00733ECE">
              <w:rPr>
                <w:rFonts w:ascii="Times New Roman" w:hAnsi="Times New Roman"/>
                <w:sz w:val="24"/>
                <w:szCs w:val="24"/>
              </w:rPr>
              <w:t xml:space="preserve"> </w:t>
            </w:r>
            <w:r w:rsidRPr="00F95322">
              <w:rPr>
                <w:rFonts w:ascii="Times New Roman" w:hAnsi="Times New Roman"/>
                <w:sz w:val="24"/>
                <w:szCs w:val="24"/>
              </w:rPr>
              <w:t>10.6. un 10.7. apakšpunkt</w:t>
            </w:r>
            <w:r w:rsidR="00733ECE">
              <w:rPr>
                <w:rFonts w:ascii="Times New Roman" w:hAnsi="Times New Roman"/>
                <w:sz w:val="24"/>
                <w:szCs w:val="24"/>
              </w:rPr>
              <w:t>ā</w:t>
            </w:r>
            <w:r w:rsidRPr="00F95322">
              <w:rPr>
                <w:rFonts w:ascii="Times New Roman" w:hAnsi="Times New Roman"/>
                <w:sz w:val="24"/>
                <w:szCs w:val="24"/>
              </w:rPr>
              <w:t xml:space="preserve"> iekļautie nosacījumu nekād</w:t>
            </w:r>
            <w:r w:rsidR="00781A22">
              <w:rPr>
                <w:rFonts w:ascii="Times New Roman" w:hAnsi="Times New Roman"/>
                <w:sz w:val="24"/>
                <w:szCs w:val="24"/>
              </w:rPr>
              <w:t>i</w:t>
            </w:r>
            <w:r w:rsidRPr="00F95322">
              <w:rPr>
                <w:rFonts w:ascii="Times New Roman" w:hAnsi="Times New Roman"/>
                <w:sz w:val="24"/>
                <w:szCs w:val="24"/>
              </w:rPr>
              <w:t xml:space="preserve"> neierobežo apdrošinātāja iespēju izsniegt atsevišķu polisi </w:t>
            </w:r>
            <w:r w:rsidR="00733ECE">
              <w:rPr>
                <w:rFonts w:ascii="Times New Roman" w:hAnsi="Times New Roman"/>
                <w:sz w:val="24"/>
                <w:szCs w:val="24"/>
              </w:rPr>
              <w:t xml:space="preserve">par </w:t>
            </w:r>
            <w:r w:rsidRPr="00F95322">
              <w:rPr>
                <w:rFonts w:ascii="Times New Roman" w:hAnsi="Times New Roman"/>
                <w:sz w:val="24"/>
                <w:szCs w:val="24"/>
              </w:rPr>
              <w:t>jebk</w:t>
            </w:r>
            <w:r w:rsidR="00733ECE">
              <w:rPr>
                <w:rFonts w:ascii="Times New Roman" w:hAnsi="Times New Roman"/>
                <w:sz w:val="24"/>
                <w:szCs w:val="24"/>
              </w:rPr>
              <w:t>uriem</w:t>
            </w:r>
            <w:r w:rsidRPr="00F95322">
              <w:rPr>
                <w:rFonts w:ascii="Times New Roman" w:hAnsi="Times New Roman"/>
                <w:sz w:val="24"/>
                <w:szCs w:val="24"/>
              </w:rPr>
              <w:t xml:space="preserve"> risk</w:t>
            </w:r>
            <w:r w:rsidR="00733ECE">
              <w:rPr>
                <w:rFonts w:ascii="Times New Roman" w:hAnsi="Times New Roman"/>
                <w:sz w:val="24"/>
                <w:szCs w:val="24"/>
              </w:rPr>
              <w:t>a faktoriem</w:t>
            </w:r>
            <w:r w:rsidRPr="00F95322">
              <w:rPr>
                <w:rFonts w:ascii="Times New Roman" w:hAnsi="Times New Roman"/>
                <w:sz w:val="24"/>
                <w:szCs w:val="24"/>
              </w:rPr>
              <w:t xml:space="preserve"> un </w:t>
            </w:r>
            <w:r w:rsidR="00733ECE">
              <w:rPr>
                <w:rFonts w:ascii="Times New Roman" w:hAnsi="Times New Roman"/>
                <w:sz w:val="24"/>
                <w:szCs w:val="24"/>
              </w:rPr>
              <w:t xml:space="preserve">atkarībā no jebkuriem </w:t>
            </w:r>
            <w:r w:rsidRPr="00F95322">
              <w:rPr>
                <w:rFonts w:ascii="Times New Roman" w:hAnsi="Times New Roman"/>
                <w:sz w:val="24"/>
                <w:szCs w:val="24"/>
              </w:rPr>
              <w:t xml:space="preserve">nosacījumiem, </w:t>
            </w:r>
            <w:r w:rsidR="00733ECE">
              <w:rPr>
                <w:rFonts w:ascii="Times New Roman" w:hAnsi="Times New Roman"/>
                <w:sz w:val="24"/>
                <w:szCs w:val="24"/>
              </w:rPr>
              <w:t xml:space="preserve">kā arī </w:t>
            </w:r>
            <w:r w:rsidRPr="00F95322">
              <w:rPr>
                <w:rFonts w:ascii="Times New Roman" w:hAnsi="Times New Roman"/>
                <w:sz w:val="24"/>
                <w:szCs w:val="24"/>
              </w:rPr>
              <w:t>pašrisk</w:t>
            </w:r>
            <w:r w:rsidR="00733ECE">
              <w:rPr>
                <w:rFonts w:ascii="Times New Roman" w:hAnsi="Times New Roman"/>
                <w:sz w:val="24"/>
                <w:szCs w:val="24"/>
              </w:rPr>
              <w:t>a</w:t>
            </w:r>
            <w:r w:rsidRPr="00F95322">
              <w:rPr>
                <w:rFonts w:ascii="Times New Roman" w:hAnsi="Times New Roman"/>
                <w:sz w:val="24"/>
                <w:szCs w:val="24"/>
              </w:rPr>
              <w:t>, kas nav minēt</w:t>
            </w:r>
            <w:r w:rsidR="00733ECE">
              <w:rPr>
                <w:rFonts w:ascii="Times New Roman" w:hAnsi="Times New Roman"/>
                <w:sz w:val="24"/>
                <w:szCs w:val="24"/>
              </w:rPr>
              <w:t>s</w:t>
            </w:r>
            <w:r w:rsidRPr="00F95322">
              <w:rPr>
                <w:rFonts w:ascii="Times New Roman" w:hAnsi="Times New Roman"/>
                <w:sz w:val="24"/>
                <w:szCs w:val="24"/>
              </w:rPr>
              <w:t xml:space="preserve"> 10.1.</w:t>
            </w:r>
            <w:r w:rsidR="00733ECE">
              <w:rPr>
                <w:rFonts w:ascii="Times New Roman" w:hAnsi="Times New Roman"/>
                <w:sz w:val="24"/>
                <w:szCs w:val="24"/>
              </w:rPr>
              <w:t> </w:t>
            </w:r>
            <w:r w:rsidRPr="00F95322">
              <w:rPr>
                <w:rFonts w:ascii="Times New Roman" w:hAnsi="Times New Roman"/>
                <w:sz w:val="24"/>
                <w:szCs w:val="24"/>
              </w:rPr>
              <w:t>apakšpunktā;</w:t>
            </w:r>
          </w:p>
          <w:p w14:paraId="7DCFF882" w14:textId="1A43C6AF" w:rsidR="008243E6" w:rsidRPr="00F95322" w:rsidRDefault="00110810" w:rsidP="000B04D5">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Attiecībā uz 10.7. apakšpunktu uzskatām, ka pašrisku un līdz ar to atlīdzības izmaksu par jebkuru no polisē apdrošinātiem risk</w:t>
            </w:r>
            <w:r w:rsidR="00781A22">
              <w:rPr>
                <w:rFonts w:ascii="Times New Roman" w:hAnsi="Times New Roman"/>
                <w:sz w:val="24"/>
                <w:szCs w:val="24"/>
              </w:rPr>
              <w:t>a faktoriem</w:t>
            </w:r>
            <w:r w:rsidRPr="00F95322">
              <w:rPr>
                <w:rFonts w:ascii="Times New Roman" w:hAnsi="Times New Roman"/>
                <w:sz w:val="24"/>
                <w:szCs w:val="24"/>
              </w:rPr>
              <w:t xml:space="preserve"> nedrīkst ietekmēt ne vien iepriekš izmaksātās atlīdzības par apdrošinātiem 10.1.</w:t>
            </w:r>
            <w:r w:rsidR="002F0492">
              <w:rPr>
                <w:rFonts w:ascii="Times New Roman" w:hAnsi="Times New Roman"/>
                <w:sz w:val="24"/>
                <w:szCs w:val="24"/>
              </w:rPr>
              <w:t> </w:t>
            </w:r>
            <w:r w:rsidRPr="00F95322">
              <w:rPr>
                <w:rFonts w:ascii="Times New Roman" w:hAnsi="Times New Roman"/>
                <w:sz w:val="24"/>
                <w:szCs w:val="24"/>
              </w:rPr>
              <w:t>apakšpunktā noteiktajiem risk</w:t>
            </w:r>
            <w:r w:rsidR="00781A22">
              <w:rPr>
                <w:rFonts w:ascii="Times New Roman" w:hAnsi="Times New Roman"/>
                <w:sz w:val="24"/>
                <w:szCs w:val="24"/>
              </w:rPr>
              <w:t>a faktoriem</w:t>
            </w:r>
            <w:r w:rsidRPr="00F95322">
              <w:rPr>
                <w:rFonts w:ascii="Times New Roman" w:hAnsi="Times New Roman"/>
                <w:sz w:val="24"/>
                <w:szCs w:val="24"/>
              </w:rPr>
              <w:t xml:space="preserve">, bet arī izmaksātās atlīdzības par jebkuru no polisē </w:t>
            </w:r>
            <w:r w:rsidRPr="00F95322">
              <w:rPr>
                <w:rFonts w:ascii="Times New Roman" w:hAnsi="Times New Roman"/>
                <w:sz w:val="24"/>
                <w:szCs w:val="24"/>
              </w:rPr>
              <w:lastRenderedPageBreak/>
              <w:t>iekļautajiem risk</w:t>
            </w:r>
            <w:r w:rsidR="00781A22">
              <w:rPr>
                <w:rFonts w:ascii="Times New Roman" w:hAnsi="Times New Roman"/>
                <w:sz w:val="24"/>
                <w:szCs w:val="24"/>
              </w:rPr>
              <w:t>a faktoriem</w:t>
            </w:r>
            <w:r w:rsidRPr="00F95322">
              <w:rPr>
                <w:rFonts w:ascii="Times New Roman" w:hAnsi="Times New Roman"/>
                <w:sz w:val="24"/>
                <w:szCs w:val="24"/>
              </w:rPr>
              <w:t xml:space="preserve">. Te jāņem vērā, ka joprojām </w:t>
            </w:r>
            <w:r w:rsidR="00781A22">
              <w:rPr>
                <w:rFonts w:ascii="Times New Roman" w:hAnsi="Times New Roman"/>
                <w:sz w:val="24"/>
                <w:szCs w:val="24"/>
              </w:rPr>
              <w:t xml:space="preserve">ir </w:t>
            </w:r>
            <w:r w:rsidRPr="00F95322">
              <w:rPr>
                <w:rFonts w:ascii="Times New Roman" w:hAnsi="Times New Roman"/>
                <w:sz w:val="24"/>
                <w:szCs w:val="24"/>
              </w:rPr>
              <w:t>atļau</w:t>
            </w:r>
            <w:r w:rsidR="00781A22">
              <w:rPr>
                <w:rFonts w:ascii="Times New Roman" w:hAnsi="Times New Roman"/>
                <w:sz w:val="24"/>
                <w:szCs w:val="24"/>
              </w:rPr>
              <w:t>ts</w:t>
            </w:r>
            <w:r w:rsidRPr="00F95322">
              <w:rPr>
                <w:rFonts w:ascii="Times New Roman" w:hAnsi="Times New Roman"/>
                <w:sz w:val="24"/>
                <w:szCs w:val="24"/>
              </w:rPr>
              <w:t xml:space="preserve"> vienā polisē iekļaut gan attiecināmos risk</w:t>
            </w:r>
            <w:r w:rsidR="00781A22">
              <w:rPr>
                <w:rFonts w:ascii="Times New Roman" w:hAnsi="Times New Roman"/>
                <w:sz w:val="24"/>
                <w:szCs w:val="24"/>
              </w:rPr>
              <w:t>a faktorus</w:t>
            </w:r>
            <w:r w:rsidRPr="00F95322">
              <w:rPr>
                <w:rFonts w:ascii="Times New Roman" w:hAnsi="Times New Roman"/>
                <w:sz w:val="24"/>
                <w:szCs w:val="24"/>
              </w:rPr>
              <w:t xml:space="preserve"> (par kuriem pienākas atbalsts)</w:t>
            </w:r>
            <w:r w:rsidR="002F0492">
              <w:rPr>
                <w:rFonts w:ascii="Times New Roman" w:hAnsi="Times New Roman"/>
                <w:sz w:val="24"/>
                <w:szCs w:val="24"/>
              </w:rPr>
              <w:t>,</w:t>
            </w:r>
            <w:r w:rsidRPr="00F95322">
              <w:rPr>
                <w:rFonts w:ascii="Times New Roman" w:hAnsi="Times New Roman"/>
                <w:sz w:val="24"/>
                <w:szCs w:val="24"/>
              </w:rPr>
              <w:t xml:space="preserve"> gan neattiecināmos </w:t>
            </w:r>
            <w:r w:rsidR="00781A22" w:rsidRPr="00F95322">
              <w:rPr>
                <w:rFonts w:ascii="Times New Roman" w:hAnsi="Times New Roman"/>
                <w:sz w:val="24"/>
                <w:szCs w:val="24"/>
              </w:rPr>
              <w:t>risk</w:t>
            </w:r>
            <w:r w:rsidR="00781A22">
              <w:rPr>
                <w:rFonts w:ascii="Times New Roman" w:hAnsi="Times New Roman"/>
                <w:sz w:val="24"/>
                <w:szCs w:val="24"/>
              </w:rPr>
              <w:t>a faktorus</w:t>
            </w:r>
            <w:r w:rsidRPr="00F95322">
              <w:rPr>
                <w:rFonts w:ascii="Times New Roman" w:hAnsi="Times New Roman"/>
                <w:sz w:val="24"/>
                <w:szCs w:val="24"/>
              </w:rPr>
              <w:t xml:space="preserve"> (par kuriem atbalsts nepienākas) un prēmijas sadalījumu starp attiecināmiem </w:t>
            </w:r>
            <w:r w:rsidR="00781A22" w:rsidRPr="00F95322">
              <w:rPr>
                <w:rFonts w:ascii="Times New Roman" w:hAnsi="Times New Roman"/>
                <w:sz w:val="24"/>
                <w:szCs w:val="24"/>
              </w:rPr>
              <w:t>risk</w:t>
            </w:r>
            <w:r w:rsidR="00781A22">
              <w:rPr>
                <w:rFonts w:ascii="Times New Roman" w:hAnsi="Times New Roman"/>
                <w:sz w:val="24"/>
                <w:szCs w:val="24"/>
              </w:rPr>
              <w:t>a faktoriem</w:t>
            </w:r>
            <w:r w:rsidR="00781A22" w:rsidRPr="00F95322">
              <w:rPr>
                <w:rFonts w:ascii="Times New Roman" w:hAnsi="Times New Roman"/>
                <w:sz w:val="24"/>
                <w:szCs w:val="24"/>
              </w:rPr>
              <w:t xml:space="preserve"> </w:t>
            </w:r>
            <w:r w:rsidRPr="00F95322">
              <w:rPr>
                <w:rFonts w:ascii="Times New Roman" w:hAnsi="Times New Roman"/>
                <w:sz w:val="24"/>
                <w:szCs w:val="24"/>
              </w:rPr>
              <w:t xml:space="preserve">un neattiecināmiem </w:t>
            </w:r>
            <w:r w:rsidR="00781A22" w:rsidRPr="00F95322">
              <w:rPr>
                <w:rFonts w:ascii="Times New Roman" w:hAnsi="Times New Roman"/>
                <w:sz w:val="24"/>
                <w:szCs w:val="24"/>
              </w:rPr>
              <w:t>risk</w:t>
            </w:r>
            <w:r w:rsidR="00781A22">
              <w:rPr>
                <w:rFonts w:ascii="Times New Roman" w:hAnsi="Times New Roman"/>
                <w:sz w:val="24"/>
                <w:szCs w:val="24"/>
              </w:rPr>
              <w:t>a faktor</w:t>
            </w:r>
            <w:r w:rsidRPr="00F95322">
              <w:rPr>
                <w:rFonts w:ascii="Times New Roman" w:hAnsi="Times New Roman"/>
                <w:sz w:val="24"/>
                <w:szCs w:val="24"/>
              </w:rPr>
              <w:t xml:space="preserve">iem nosaka apdrošinātājs. Praksē apdrošinātāji polisēs ar līdzīgiem </w:t>
            </w:r>
            <w:r w:rsidR="00781A22" w:rsidRPr="00F95322">
              <w:rPr>
                <w:rFonts w:ascii="Times New Roman" w:hAnsi="Times New Roman"/>
                <w:sz w:val="24"/>
                <w:szCs w:val="24"/>
              </w:rPr>
              <w:t>risk</w:t>
            </w:r>
            <w:r w:rsidR="00781A22">
              <w:rPr>
                <w:rFonts w:ascii="Times New Roman" w:hAnsi="Times New Roman"/>
                <w:sz w:val="24"/>
                <w:szCs w:val="24"/>
              </w:rPr>
              <w:t>a faktoriem</w:t>
            </w:r>
            <w:r w:rsidRPr="00F95322">
              <w:rPr>
                <w:rFonts w:ascii="Times New Roman" w:hAnsi="Times New Roman"/>
                <w:sz w:val="24"/>
                <w:szCs w:val="24"/>
              </w:rPr>
              <w:t xml:space="preserve"> nosaka ļoti atšķirīgu prēmijas sadalījumu. Šajā gadījumā </w:t>
            </w:r>
            <w:r w:rsidR="00781A22">
              <w:rPr>
                <w:rFonts w:ascii="Times New Roman" w:hAnsi="Times New Roman"/>
                <w:sz w:val="24"/>
                <w:szCs w:val="24"/>
              </w:rPr>
              <w:t>nav iespējams</w:t>
            </w:r>
            <w:r w:rsidR="00781A22" w:rsidRPr="00F95322">
              <w:rPr>
                <w:rFonts w:ascii="Times New Roman" w:hAnsi="Times New Roman"/>
                <w:sz w:val="24"/>
                <w:szCs w:val="24"/>
              </w:rPr>
              <w:t xml:space="preserve"> </w:t>
            </w:r>
            <w:r w:rsidRPr="00F95322">
              <w:rPr>
                <w:rFonts w:ascii="Times New Roman" w:hAnsi="Times New Roman"/>
                <w:sz w:val="24"/>
                <w:szCs w:val="24"/>
              </w:rPr>
              <w:t>nekādā veidā pārliecināties, vai apdrošinātāji rīkojas godprātīgi</w:t>
            </w:r>
            <w:r w:rsidR="00781A22">
              <w:rPr>
                <w:rFonts w:ascii="Times New Roman" w:hAnsi="Times New Roman"/>
                <w:sz w:val="24"/>
                <w:szCs w:val="24"/>
              </w:rPr>
              <w:t>, t.i.,</w:t>
            </w:r>
            <w:r w:rsidRPr="00F95322">
              <w:rPr>
                <w:rFonts w:ascii="Times New Roman" w:hAnsi="Times New Roman"/>
                <w:sz w:val="24"/>
                <w:szCs w:val="24"/>
              </w:rPr>
              <w:t xml:space="preserve"> ka prēmijas attiecināmajiem un neattiecināmajiem </w:t>
            </w:r>
            <w:r w:rsidR="00781A22" w:rsidRPr="00F95322">
              <w:rPr>
                <w:rFonts w:ascii="Times New Roman" w:hAnsi="Times New Roman"/>
                <w:sz w:val="24"/>
                <w:szCs w:val="24"/>
              </w:rPr>
              <w:t>risk</w:t>
            </w:r>
            <w:r w:rsidR="00781A22">
              <w:rPr>
                <w:rFonts w:ascii="Times New Roman" w:hAnsi="Times New Roman"/>
                <w:sz w:val="24"/>
                <w:szCs w:val="24"/>
              </w:rPr>
              <w:t>a faktoriem</w:t>
            </w:r>
            <w:r w:rsidRPr="00F95322">
              <w:rPr>
                <w:rFonts w:ascii="Times New Roman" w:hAnsi="Times New Roman"/>
                <w:sz w:val="24"/>
                <w:szCs w:val="24"/>
              </w:rPr>
              <w:t xml:space="preserve"> ir samērīgas un polisē ieļautie limiti ir atbilstoši prēmijas apmēram, kas polisē noteikts </w:t>
            </w:r>
            <w:r w:rsidR="00781A22">
              <w:rPr>
                <w:rFonts w:ascii="Times New Roman" w:hAnsi="Times New Roman"/>
                <w:sz w:val="24"/>
                <w:szCs w:val="24"/>
              </w:rPr>
              <w:t>konkrētaj</w:t>
            </w:r>
            <w:r w:rsidRPr="00F95322">
              <w:rPr>
                <w:rFonts w:ascii="Times New Roman" w:hAnsi="Times New Roman"/>
                <w:sz w:val="24"/>
                <w:szCs w:val="24"/>
              </w:rPr>
              <w:t>am riska</w:t>
            </w:r>
            <w:r w:rsidR="00781A22">
              <w:rPr>
                <w:rFonts w:ascii="Times New Roman" w:hAnsi="Times New Roman"/>
                <w:sz w:val="24"/>
                <w:szCs w:val="24"/>
              </w:rPr>
              <w:t xml:space="preserve"> faktoram</w:t>
            </w:r>
            <w:r w:rsidRPr="00F95322">
              <w:rPr>
                <w:rFonts w:ascii="Times New Roman" w:hAnsi="Times New Roman"/>
                <w:sz w:val="24"/>
                <w:szCs w:val="24"/>
              </w:rPr>
              <w:t xml:space="preserve">. Tāpēc papildu nosacījumi paredzēti visai apdrošināšanas polisei kopumā. Kā jau minēts, apdrošinātājam ir iespēja izsniegt atsevišķu polisi par </w:t>
            </w:r>
            <w:r w:rsidR="00781A22" w:rsidRPr="00F95322">
              <w:rPr>
                <w:rFonts w:ascii="Times New Roman" w:hAnsi="Times New Roman"/>
                <w:sz w:val="24"/>
                <w:szCs w:val="24"/>
              </w:rPr>
              <w:t>risk</w:t>
            </w:r>
            <w:r w:rsidR="00781A22">
              <w:rPr>
                <w:rFonts w:ascii="Times New Roman" w:hAnsi="Times New Roman"/>
                <w:sz w:val="24"/>
                <w:szCs w:val="24"/>
              </w:rPr>
              <w:t>a faktoriem</w:t>
            </w:r>
            <w:r w:rsidRPr="00F95322">
              <w:rPr>
                <w:rFonts w:ascii="Times New Roman" w:hAnsi="Times New Roman"/>
                <w:sz w:val="24"/>
                <w:szCs w:val="24"/>
              </w:rPr>
              <w:t>, kas nav minēti 10.1.</w:t>
            </w:r>
            <w:r w:rsidR="00781A22">
              <w:rPr>
                <w:rFonts w:ascii="Times New Roman" w:hAnsi="Times New Roman"/>
                <w:sz w:val="24"/>
                <w:szCs w:val="24"/>
              </w:rPr>
              <w:t xml:space="preserve"> </w:t>
            </w:r>
            <w:r w:rsidRPr="00F95322">
              <w:rPr>
                <w:rFonts w:ascii="Times New Roman" w:hAnsi="Times New Roman"/>
                <w:sz w:val="24"/>
                <w:szCs w:val="24"/>
              </w:rPr>
              <w:t xml:space="preserve">apakšpunktā, un tādā gadījumā polise, kurā būs noteikti neattiecināmie </w:t>
            </w:r>
            <w:r w:rsidR="00781A22" w:rsidRPr="00F95322">
              <w:rPr>
                <w:rFonts w:ascii="Times New Roman" w:hAnsi="Times New Roman"/>
                <w:sz w:val="24"/>
                <w:szCs w:val="24"/>
              </w:rPr>
              <w:t>risk</w:t>
            </w:r>
            <w:r w:rsidR="00781A22">
              <w:rPr>
                <w:rFonts w:ascii="Times New Roman" w:hAnsi="Times New Roman"/>
                <w:sz w:val="24"/>
                <w:szCs w:val="24"/>
              </w:rPr>
              <w:t>a faktori</w:t>
            </w:r>
            <w:r w:rsidRPr="00F95322">
              <w:rPr>
                <w:rFonts w:ascii="Times New Roman" w:hAnsi="Times New Roman"/>
                <w:sz w:val="24"/>
                <w:szCs w:val="24"/>
              </w:rPr>
              <w:t>, darbosies autonomi un apdrošinātāja darbība netiks regulēta ar noteikumiem Nr.</w:t>
            </w:r>
            <w:r w:rsidR="00781A22">
              <w:rPr>
                <w:rFonts w:ascii="Times New Roman" w:hAnsi="Times New Roman"/>
                <w:sz w:val="24"/>
                <w:szCs w:val="24"/>
              </w:rPr>
              <w:t xml:space="preserve"> </w:t>
            </w:r>
            <w:r w:rsidRPr="00F95322">
              <w:rPr>
                <w:rFonts w:ascii="Times New Roman" w:hAnsi="Times New Roman"/>
                <w:sz w:val="24"/>
                <w:szCs w:val="24"/>
              </w:rPr>
              <w:t>492;</w:t>
            </w:r>
          </w:p>
          <w:p w14:paraId="2E7D9EBF" w14:textId="77777777" w:rsidR="00781A22" w:rsidRPr="00D31613" w:rsidRDefault="00110810" w:rsidP="000B04D5">
            <w:pPr>
              <w:pStyle w:val="Body"/>
              <w:shd w:val="clear" w:color="auto" w:fill="FFFFFF"/>
              <w:spacing w:after="0" w:line="240" w:lineRule="auto"/>
              <w:jc w:val="both"/>
              <w:rPr>
                <w:rFonts w:ascii="Times New Roman" w:hAnsi="Times New Roman"/>
                <w:sz w:val="24"/>
                <w:szCs w:val="24"/>
              </w:rPr>
            </w:pPr>
            <w:r w:rsidRPr="00F95322">
              <w:rPr>
                <w:rFonts w:ascii="Times New Roman" w:hAnsi="Times New Roman"/>
                <w:sz w:val="24"/>
                <w:szCs w:val="24"/>
              </w:rPr>
              <w:t xml:space="preserve">3) Zemkopības ministrija ir precizējusi noteikumu projektu, norādot, kādā veidā apdrošinātājs sniedz </w:t>
            </w:r>
            <w:r w:rsidRPr="00D31613">
              <w:rPr>
                <w:rFonts w:ascii="Times New Roman" w:hAnsi="Times New Roman"/>
                <w:sz w:val="24"/>
                <w:szCs w:val="24"/>
              </w:rPr>
              <w:t xml:space="preserve">informāciju Lauku atbalsta </w:t>
            </w:r>
            <w:r w:rsidR="00781A22" w:rsidRPr="00D31613">
              <w:rPr>
                <w:rFonts w:ascii="Times New Roman" w:hAnsi="Times New Roman"/>
                <w:sz w:val="24"/>
                <w:szCs w:val="24"/>
              </w:rPr>
              <w:t>dienestam;</w:t>
            </w:r>
          </w:p>
          <w:p w14:paraId="3CE5B979" w14:textId="6904C817" w:rsidR="008243E6" w:rsidRPr="00D31613" w:rsidRDefault="00110810" w:rsidP="000B04D5">
            <w:pPr>
              <w:pStyle w:val="Body"/>
              <w:shd w:val="clear" w:color="auto" w:fill="FFFFFF"/>
              <w:spacing w:after="0" w:line="240" w:lineRule="auto"/>
              <w:jc w:val="both"/>
              <w:rPr>
                <w:rFonts w:ascii="Times New Roman" w:eastAsia="Times New Roman" w:hAnsi="Times New Roman" w:cs="Times New Roman"/>
                <w:sz w:val="24"/>
                <w:szCs w:val="24"/>
              </w:rPr>
            </w:pPr>
            <w:r w:rsidRPr="00D31613">
              <w:rPr>
                <w:rFonts w:ascii="Times New Roman" w:hAnsi="Times New Roman"/>
                <w:sz w:val="24"/>
                <w:szCs w:val="24"/>
              </w:rPr>
              <w:t>4) Zemkopības ministrija precizēj</w:t>
            </w:r>
            <w:r w:rsidR="002F2ABC" w:rsidRPr="00D31613">
              <w:rPr>
                <w:rFonts w:ascii="Times New Roman" w:hAnsi="Times New Roman"/>
                <w:sz w:val="24"/>
                <w:szCs w:val="24"/>
              </w:rPr>
              <w:t>a</w:t>
            </w:r>
            <w:r w:rsidRPr="00D31613">
              <w:rPr>
                <w:rFonts w:ascii="Times New Roman" w:hAnsi="Times New Roman"/>
                <w:sz w:val="24"/>
                <w:szCs w:val="24"/>
              </w:rPr>
              <w:t xml:space="preserve"> noteikumu Nr. 492 3.</w:t>
            </w:r>
            <w:r w:rsidRPr="00D31613">
              <w:rPr>
                <w:rFonts w:ascii="Times New Roman" w:hAnsi="Times New Roman"/>
                <w:sz w:val="24"/>
                <w:szCs w:val="24"/>
                <w:vertAlign w:val="superscript"/>
              </w:rPr>
              <w:t>1</w:t>
            </w:r>
            <w:r w:rsidRPr="00D31613">
              <w:rPr>
                <w:rFonts w:ascii="Times New Roman" w:hAnsi="Times New Roman"/>
                <w:sz w:val="24"/>
                <w:szCs w:val="24"/>
              </w:rPr>
              <w:t xml:space="preserve"> punktu, norādot, ka </w:t>
            </w:r>
            <w:r w:rsidR="00781A22" w:rsidRPr="00D31613">
              <w:rPr>
                <w:rFonts w:ascii="Times New Roman" w:hAnsi="Times New Roman"/>
                <w:sz w:val="24"/>
                <w:szCs w:val="24"/>
              </w:rPr>
              <w:t xml:space="preserve">laikus neiesniegts </w:t>
            </w:r>
            <w:r w:rsidRPr="00D31613">
              <w:rPr>
                <w:rFonts w:ascii="Times New Roman" w:hAnsi="Times New Roman"/>
                <w:sz w:val="24"/>
                <w:szCs w:val="24"/>
              </w:rPr>
              <w:t>skaidrojum</w:t>
            </w:r>
            <w:r w:rsidR="00781A22" w:rsidRPr="00D31613">
              <w:rPr>
                <w:rFonts w:ascii="Times New Roman" w:hAnsi="Times New Roman"/>
                <w:sz w:val="24"/>
                <w:szCs w:val="24"/>
              </w:rPr>
              <w:t>s</w:t>
            </w:r>
            <w:r w:rsidRPr="00D31613">
              <w:rPr>
                <w:rFonts w:ascii="Times New Roman" w:hAnsi="Times New Roman"/>
                <w:sz w:val="24"/>
                <w:szCs w:val="24"/>
              </w:rPr>
              <w:t xml:space="preserve"> var ietekmēt Lauku atbalsta dienesta pieņemto lēmumu</w:t>
            </w:r>
            <w:r w:rsidR="00781A22" w:rsidRPr="00D31613">
              <w:rPr>
                <w:rFonts w:ascii="Times New Roman" w:hAnsi="Times New Roman"/>
                <w:sz w:val="24"/>
                <w:szCs w:val="24"/>
              </w:rPr>
              <w:t>, t</w:t>
            </w:r>
            <w:r w:rsidRPr="00D31613">
              <w:rPr>
                <w:rFonts w:ascii="Times New Roman" w:hAnsi="Times New Roman"/>
                <w:sz w:val="24"/>
                <w:szCs w:val="24"/>
              </w:rPr>
              <w:t xml:space="preserve">omēr nav iespējams </w:t>
            </w:r>
            <w:r w:rsidR="00781A22" w:rsidRPr="00D31613">
              <w:rPr>
                <w:rFonts w:ascii="Times New Roman" w:hAnsi="Times New Roman"/>
                <w:sz w:val="24"/>
                <w:szCs w:val="24"/>
              </w:rPr>
              <w:t xml:space="preserve">noteikt </w:t>
            </w:r>
            <w:r w:rsidRPr="00D31613">
              <w:rPr>
                <w:rFonts w:ascii="Times New Roman" w:hAnsi="Times New Roman"/>
                <w:sz w:val="24"/>
                <w:szCs w:val="24"/>
              </w:rPr>
              <w:t xml:space="preserve">skaidrus kritērijus tam, kurā gadījumā skaidrojums būs apmierinošs, jo </w:t>
            </w:r>
            <w:r w:rsidR="00781A22" w:rsidRPr="00D31613">
              <w:rPr>
                <w:rFonts w:ascii="Times New Roman" w:hAnsi="Times New Roman"/>
                <w:sz w:val="24"/>
                <w:szCs w:val="24"/>
              </w:rPr>
              <w:t xml:space="preserve">situācijas </w:t>
            </w:r>
            <w:r w:rsidRPr="00D31613">
              <w:rPr>
                <w:rFonts w:ascii="Times New Roman" w:hAnsi="Times New Roman"/>
                <w:sz w:val="24"/>
                <w:szCs w:val="24"/>
              </w:rPr>
              <w:t>var būt dažād</w:t>
            </w:r>
            <w:r w:rsidR="00781A22" w:rsidRPr="00D31613">
              <w:rPr>
                <w:rFonts w:ascii="Times New Roman" w:hAnsi="Times New Roman"/>
                <w:sz w:val="24"/>
                <w:szCs w:val="24"/>
              </w:rPr>
              <w:t>as</w:t>
            </w:r>
            <w:r w:rsidRPr="00D31613">
              <w:rPr>
                <w:rFonts w:ascii="Times New Roman" w:hAnsi="Times New Roman"/>
                <w:sz w:val="24"/>
                <w:szCs w:val="24"/>
              </w:rPr>
              <w:t xml:space="preserve"> un t</w:t>
            </w:r>
            <w:r w:rsidR="00781A22" w:rsidRPr="00D31613">
              <w:rPr>
                <w:rFonts w:ascii="Times New Roman" w:hAnsi="Times New Roman"/>
                <w:sz w:val="24"/>
                <w:szCs w:val="24"/>
              </w:rPr>
              <w:t>ās</w:t>
            </w:r>
            <w:r w:rsidRPr="00D31613">
              <w:rPr>
                <w:rFonts w:ascii="Times New Roman" w:hAnsi="Times New Roman"/>
                <w:sz w:val="24"/>
                <w:szCs w:val="24"/>
              </w:rPr>
              <w:t xml:space="preserve"> jā</w:t>
            </w:r>
            <w:r w:rsidR="00781A22" w:rsidRPr="00D31613">
              <w:rPr>
                <w:rFonts w:ascii="Times New Roman" w:hAnsi="Times New Roman"/>
                <w:sz w:val="24"/>
                <w:szCs w:val="24"/>
              </w:rPr>
              <w:t xml:space="preserve">izvērtē </w:t>
            </w:r>
            <w:r w:rsidRPr="00D31613">
              <w:rPr>
                <w:rFonts w:ascii="Times New Roman" w:hAnsi="Times New Roman"/>
                <w:sz w:val="24"/>
                <w:szCs w:val="24"/>
              </w:rPr>
              <w:t>individuāli</w:t>
            </w:r>
            <w:r w:rsidR="002F2ABC" w:rsidRPr="00D31613">
              <w:rPr>
                <w:rFonts w:ascii="Times New Roman" w:hAnsi="Times New Roman"/>
                <w:sz w:val="24"/>
                <w:szCs w:val="24"/>
              </w:rPr>
              <w:t>. Noteikumu projekta saskaņošanas procesā ar Tieslietu ministriju Zemkopības ministrija vēlreiz precizēja 3.</w:t>
            </w:r>
            <w:r w:rsidR="002F2ABC" w:rsidRPr="00D31613">
              <w:rPr>
                <w:rFonts w:ascii="Times New Roman" w:hAnsi="Times New Roman"/>
                <w:sz w:val="24"/>
                <w:szCs w:val="24"/>
                <w:vertAlign w:val="superscript"/>
              </w:rPr>
              <w:t>1</w:t>
            </w:r>
            <w:r w:rsidR="002F2ABC" w:rsidRPr="00D31613">
              <w:rPr>
                <w:rFonts w:ascii="Times New Roman" w:hAnsi="Times New Roman"/>
                <w:sz w:val="24"/>
                <w:szCs w:val="24"/>
              </w:rPr>
              <w:t> punktu, nosakot, ka Lauku atbalsta dienests lēmumu pieņem Administratīvā procesa likumā noteiktajā kārtībā.</w:t>
            </w:r>
            <w:r w:rsidRPr="00D31613">
              <w:rPr>
                <w:rFonts w:ascii="Times New Roman" w:hAnsi="Times New Roman"/>
                <w:sz w:val="24"/>
                <w:szCs w:val="24"/>
              </w:rPr>
              <w:t>;</w:t>
            </w:r>
          </w:p>
          <w:p w14:paraId="54092F26" w14:textId="77777777" w:rsidR="008243E6" w:rsidRPr="00781A22" w:rsidRDefault="00110810" w:rsidP="000B04D5">
            <w:pPr>
              <w:pStyle w:val="Body"/>
              <w:shd w:val="clear" w:color="auto" w:fill="FFFFFF"/>
              <w:spacing w:after="0" w:line="240" w:lineRule="auto"/>
              <w:jc w:val="both"/>
              <w:rPr>
                <w:rFonts w:ascii="Times New Roman" w:eastAsia="Times New Roman" w:hAnsi="Times New Roman" w:cs="Times New Roman"/>
                <w:sz w:val="24"/>
                <w:szCs w:val="24"/>
              </w:rPr>
            </w:pPr>
            <w:r w:rsidRPr="00D31613">
              <w:rPr>
                <w:rFonts w:ascii="Times New Roman" w:hAnsi="Times New Roman"/>
                <w:sz w:val="24"/>
                <w:szCs w:val="24"/>
              </w:rPr>
              <w:t xml:space="preserve">5) Zemkopības ministrija ir precizējusi noteikumu </w:t>
            </w:r>
            <w:r w:rsidRPr="00D31613">
              <w:rPr>
                <w:rFonts w:ascii="Times New Roman" w:hAnsi="Times New Roman" w:cs="Times New Roman"/>
                <w:sz w:val="24"/>
                <w:szCs w:val="24"/>
              </w:rPr>
              <w:t>projektu, aizstājot noslēguma jautājumos vārdus</w:t>
            </w:r>
            <w:r w:rsidRPr="00006DD1">
              <w:rPr>
                <w:rFonts w:ascii="Times New Roman" w:hAnsi="Times New Roman" w:cs="Times New Roman"/>
                <w:sz w:val="24"/>
                <w:szCs w:val="24"/>
              </w:rPr>
              <w:t xml:space="preserve"> </w:t>
            </w:r>
            <w:r w:rsidRPr="00006DD1">
              <w:rPr>
                <w:rFonts w:ascii="Times New Roman" w:hAnsi="Times New Roman" w:cs="Times New Roman"/>
                <w:sz w:val="24"/>
                <w:szCs w:val="24"/>
                <w:rtl/>
              </w:rPr>
              <w:t>“</w:t>
            </w:r>
            <w:r w:rsidRPr="00006DD1">
              <w:rPr>
                <w:rFonts w:ascii="Times New Roman" w:hAnsi="Times New Roman" w:cs="Times New Roman"/>
                <w:sz w:val="24"/>
                <w:szCs w:val="24"/>
              </w:rPr>
              <w:t xml:space="preserve">polises iegādes datums” ar vārdiem </w:t>
            </w:r>
            <w:r w:rsidRPr="00006DD1">
              <w:rPr>
                <w:rFonts w:ascii="Times New Roman" w:hAnsi="Times New Roman" w:cs="Times New Roman"/>
                <w:sz w:val="24"/>
                <w:szCs w:val="24"/>
                <w:rtl/>
              </w:rPr>
              <w:t>“</w:t>
            </w:r>
            <w:r w:rsidRPr="00006DD1">
              <w:rPr>
                <w:rFonts w:ascii="Times New Roman" w:hAnsi="Times New Roman" w:cs="Times New Roman"/>
                <w:sz w:val="24"/>
                <w:szCs w:val="24"/>
              </w:rPr>
              <w:t>apdrošināšanas līguma noslēgšanas datums”;</w:t>
            </w:r>
          </w:p>
          <w:p w14:paraId="7F62969F" w14:textId="77777777" w:rsidR="008243E6" w:rsidRPr="00F95322" w:rsidRDefault="00110810" w:rsidP="000B04D5">
            <w:pPr>
              <w:pStyle w:val="Body"/>
              <w:shd w:val="clear" w:color="auto" w:fill="FFFFFF"/>
              <w:spacing w:after="0" w:line="240" w:lineRule="auto"/>
              <w:jc w:val="both"/>
              <w:rPr>
                <w:rFonts w:ascii="Times New Roman" w:eastAsia="Times New Roman" w:hAnsi="Times New Roman" w:cs="Times New Roman"/>
                <w:sz w:val="24"/>
                <w:szCs w:val="24"/>
              </w:rPr>
            </w:pPr>
            <w:r w:rsidRPr="00F95322">
              <w:rPr>
                <w:rFonts w:ascii="Times New Roman" w:hAnsi="Times New Roman"/>
                <w:sz w:val="24"/>
                <w:szCs w:val="24"/>
              </w:rPr>
              <w:t>6) Zemkopības ministrija ir papildinājusi noteikumu projektu ar 12.</w:t>
            </w:r>
            <w:r w:rsidRPr="00F95322">
              <w:rPr>
                <w:rFonts w:ascii="Times New Roman" w:hAnsi="Times New Roman"/>
                <w:sz w:val="24"/>
                <w:szCs w:val="24"/>
                <w:vertAlign w:val="superscript"/>
              </w:rPr>
              <w:t>1</w:t>
            </w:r>
            <w:r w:rsidRPr="00F95322">
              <w:rPr>
                <w:rFonts w:ascii="Times New Roman" w:hAnsi="Times New Roman"/>
                <w:sz w:val="24"/>
                <w:szCs w:val="24"/>
              </w:rPr>
              <w:t xml:space="preserve"> punktu. </w:t>
            </w:r>
          </w:p>
          <w:p w14:paraId="04395F75" w14:textId="3529E1CB" w:rsidR="008243E6" w:rsidRPr="00F95322" w:rsidRDefault="00110810" w:rsidP="000B04D5">
            <w:pPr>
              <w:pStyle w:val="Body"/>
              <w:shd w:val="clear" w:color="auto" w:fill="FFFFFF"/>
              <w:spacing w:after="0" w:line="240" w:lineRule="auto"/>
              <w:jc w:val="both"/>
            </w:pPr>
            <w:r w:rsidRPr="00F95322">
              <w:rPr>
                <w:rFonts w:ascii="Times New Roman" w:hAnsi="Times New Roman"/>
                <w:sz w:val="24"/>
                <w:szCs w:val="24"/>
              </w:rPr>
              <w:t xml:space="preserve">Zemkopības ministrija ir nosūtījusi LAA un </w:t>
            </w:r>
            <w:r w:rsidR="00781A22">
              <w:rPr>
                <w:rFonts w:ascii="Times New Roman" w:hAnsi="Times New Roman"/>
                <w:sz w:val="24"/>
                <w:szCs w:val="24"/>
              </w:rPr>
              <w:t>“</w:t>
            </w:r>
            <w:r w:rsidRPr="00F95322">
              <w:rPr>
                <w:rFonts w:ascii="Times New Roman" w:hAnsi="Times New Roman"/>
                <w:sz w:val="24"/>
                <w:szCs w:val="24"/>
              </w:rPr>
              <w:t>Latraps</w:t>
            </w:r>
            <w:r w:rsidR="00781A22">
              <w:rPr>
                <w:rFonts w:ascii="Times New Roman" w:hAnsi="Times New Roman"/>
                <w:sz w:val="24"/>
                <w:szCs w:val="24"/>
              </w:rPr>
              <w:t>”</w:t>
            </w:r>
            <w:r w:rsidRPr="00F95322">
              <w:rPr>
                <w:rFonts w:ascii="Times New Roman" w:hAnsi="Times New Roman"/>
                <w:sz w:val="24"/>
                <w:szCs w:val="24"/>
              </w:rPr>
              <w:t xml:space="preserve"> atbildes uz visiem komentāriem, priekšlikumiem un jautājumiem, kā arī iekļāvusi anotācijā papildu skaidrojumu.</w:t>
            </w:r>
            <w:r w:rsidR="006812EB">
              <w:rPr>
                <w:rFonts w:ascii="Times New Roman" w:hAnsi="Times New Roman"/>
                <w:sz w:val="24"/>
                <w:szCs w:val="24"/>
              </w:rPr>
              <w:t xml:space="preserve"> Iebildumi par precizēto noteikumu projektu nav saņemti.</w:t>
            </w:r>
          </w:p>
        </w:tc>
      </w:tr>
      <w:tr w:rsidR="008243E6" w:rsidRPr="00F95322" w14:paraId="3A0AFD13" w14:textId="77777777" w:rsidTr="00321528">
        <w:trPr>
          <w:trHeight w:val="305"/>
        </w:trPr>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2796FE" w14:textId="77777777" w:rsidR="008243E6" w:rsidRPr="00F95322" w:rsidRDefault="00110810">
            <w:pPr>
              <w:pStyle w:val="Body"/>
              <w:spacing w:after="0" w:line="240" w:lineRule="auto"/>
            </w:pPr>
            <w:r w:rsidRPr="00F95322">
              <w:rPr>
                <w:rFonts w:ascii="Times New Roman" w:hAnsi="Times New Roman"/>
                <w:sz w:val="24"/>
                <w:szCs w:val="24"/>
              </w:rPr>
              <w:lastRenderedPageBreak/>
              <w:t>4.</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D89BD1" w14:textId="77777777" w:rsidR="008243E6" w:rsidRPr="00F95322" w:rsidRDefault="00110810">
            <w:pPr>
              <w:pStyle w:val="Body"/>
              <w:spacing w:after="0" w:line="240" w:lineRule="auto"/>
            </w:pPr>
            <w:r w:rsidRPr="00F95322">
              <w:rPr>
                <w:rFonts w:ascii="Times New Roman" w:hAnsi="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DE590C" w14:textId="77777777" w:rsidR="008243E6" w:rsidRPr="00F95322" w:rsidRDefault="00110810">
            <w:pPr>
              <w:pStyle w:val="Body"/>
              <w:spacing w:after="0" w:line="240" w:lineRule="auto"/>
            </w:pPr>
            <w:r w:rsidRPr="00F95322">
              <w:rPr>
                <w:rFonts w:ascii="Times New Roman" w:hAnsi="Times New Roman"/>
                <w:sz w:val="24"/>
                <w:szCs w:val="24"/>
              </w:rPr>
              <w:t>Nav.</w:t>
            </w:r>
          </w:p>
        </w:tc>
      </w:tr>
    </w:tbl>
    <w:p w14:paraId="32D5C62F" w14:textId="7A4C530F" w:rsidR="008243E6" w:rsidRPr="00F95322" w:rsidRDefault="008243E6">
      <w:pPr>
        <w:pStyle w:val="Body"/>
        <w:spacing w:after="0" w:line="240" w:lineRule="auto"/>
        <w:rPr>
          <w:rFonts w:ascii="Times New Roman" w:eastAsia="Times New Roman" w:hAnsi="Times New Roman" w:cs="Times New Roman"/>
          <w:sz w:val="24"/>
          <w:szCs w:val="24"/>
        </w:rPr>
      </w:pPr>
    </w:p>
    <w:tbl>
      <w:tblPr>
        <w:tblW w:w="90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81"/>
        <w:gridCol w:w="3068"/>
        <w:gridCol w:w="5406"/>
      </w:tblGrid>
      <w:tr w:rsidR="008243E6" w:rsidRPr="00A86D4B" w14:paraId="5BF1F08F" w14:textId="77777777">
        <w:trPr>
          <w:trHeight w:val="305"/>
        </w:trPr>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0D0AA" w14:textId="77777777" w:rsidR="008243E6" w:rsidRPr="00F95322" w:rsidRDefault="00110810">
            <w:pPr>
              <w:pStyle w:val="Body"/>
              <w:spacing w:after="0" w:line="240" w:lineRule="auto"/>
            </w:pPr>
            <w:r w:rsidRPr="00F95322">
              <w:rPr>
                <w:rFonts w:ascii="Times New Roman" w:hAnsi="Times New Roman"/>
                <w:b/>
                <w:bCs/>
                <w:sz w:val="24"/>
                <w:szCs w:val="24"/>
              </w:rPr>
              <w:t>VII. Tiesību akta projekta izpildes nodrošināšana un tās ietekme uz institūcijām</w:t>
            </w:r>
          </w:p>
        </w:tc>
      </w:tr>
      <w:tr w:rsidR="008243E6" w:rsidRPr="00F95322" w14:paraId="15B8F843" w14:textId="77777777" w:rsidTr="00AA7A53">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A67FE1" w14:textId="77777777" w:rsidR="008243E6" w:rsidRPr="00F95322" w:rsidRDefault="00110810">
            <w:pPr>
              <w:pStyle w:val="Body"/>
              <w:spacing w:after="0" w:line="240" w:lineRule="auto"/>
            </w:pPr>
            <w:r w:rsidRPr="00F95322">
              <w:rPr>
                <w:rFonts w:ascii="Times New Roman" w:hAnsi="Times New Roman"/>
                <w:sz w:val="24"/>
                <w:szCs w:val="24"/>
              </w:rPr>
              <w:lastRenderedPageBreak/>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84C416" w14:textId="77777777" w:rsidR="008243E6" w:rsidRPr="00F95322" w:rsidRDefault="00110810">
            <w:pPr>
              <w:pStyle w:val="Body"/>
              <w:spacing w:after="0" w:line="240" w:lineRule="auto"/>
            </w:pPr>
            <w:r w:rsidRPr="00F95322">
              <w:rPr>
                <w:rFonts w:ascii="Times New Roman" w:hAnsi="Times New Roman"/>
                <w:sz w:val="24"/>
                <w:szCs w:val="24"/>
              </w:rPr>
              <w:t>Projekta izpildē iesaistītās institūcijas</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6368D2" w14:textId="77777777" w:rsidR="008243E6" w:rsidRPr="00F95322" w:rsidRDefault="00110810">
            <w:pPr>
              <w:pStyle w:val="Body"/>
              <w:spacing w:after="0" w:line="240" w:lineRule="auto"/>
            </w:pPr>
            <w:r w:rsidRPr="00F95322">
              <w:rPr>
                <w:rFonts w:ascii="Times New Roman" w:hAnsi="Times New Roman"/>
                <w:sz w:val="24"/>
                <w:szCs w:val="24"/>
              </w:rPr>
              <w:t>Zemkopības ministrija un Lauku atbalsta dienests</w:t>
            </w:r>
          </w:p>
        </w:tc>
      </w:tr>
      <w:tr w:rsidR="008243E6" w:rsidRPr="00F95322" w14:paraId="0E9C87CD" w14:textId="77777777" w:rsidTr="00AA7A53">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18F01D" w14:textId="77777777" w:rsidR="008243E6" w:rsidRPr="00F95322" w:rsidRDefault="00110810">
            <w:pPr>
              <w:pStyle w:val="Body"/>
              <w:spacing w:after="0" w:line="240" w:lineRule="auto"/>
            </w:pPr>
            <w:r w:rsidRPr="00F95322">
              <w:rPr>
                <w:rFonts w:ascii="Times New Roman" w:hAnsi="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C07733" w14:textId="77777777" w:rsidR="008243E6" w:rsidRPr="00F95322" w:rsidRDefault="00110810">
            <w:pPr>
              <w:pStyle w:val="Body"/>
              <w:spacing w:after="0" w:line="240" w:lineRule="auto"/>
            </w:pPr>
            <w:r w:rsidRPr="00F95322">
              <w:rPr>
                <w:rFonts w:ascii="Times New Roman" w:hAnsi="Times New Roman"/>
                <w:sz w:val="24"/>
                <w:szCs w:val="24"/>
              </w:rPr>
              <w:t>Projekta izpildes ietekme uz pārvaldes funkcijām un institucionālo struktūru.</w:t>
            </w:r>
            <w:r w:rsidRPr="00F95322">
              <w:rPr>
                <w:rFonts w:ascii="Times New Roman" w:eastAsia="Times New Roman" w:hAnsi="Times New Roman" w:cs="Times New Roman"/>
                <w:sz w:val="24"/>
                <w:szCs w:val="24"/>
              </w:rPr>
              <w:br/>
            </w:r>
            <w:r w:rsidRPr="00F95322">
              <w:rPr>
                <w:rFonts w:ascii="Times New Roman" w:hAnsi="Times New Roman"/>
                <w:sz w:val="24"/>
                <w:szCs w:val="24"/>
              </w:rPr>
              <w:t>Jaunu institūciju izveide, esošu institūciju likvidācija vai reorganizācija, to ietekme uz institūcijas cilvēkresursiem</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A9EAAC" w14:textId="77777777" w:rsidR="008243E6" w:rsidRPr="00F95322" w:rsidRDefault="00110810">
            <w:pPr>
              <w:pStyle w:val="Body"/>
              <w:spacing w:after="0" w:line="240" w:lineRule="auto"/>
            </w:pPr>
            <w:r w:rsidRPr="00F95322">
              <w:rPr>
                <w:rFonts w:ascii="Times New Roman" w:hAnsi="Times New Roman"/>
                <w:sz w:val="24"/>
                <w:szCs w:val="24"/>
              </w:rPr>
              <w:t>Noteikumu projekts neietekmē pārvaldes funkcijas un uzdevumus, ne arī institucionālo struktūru.</w:t>
            </w:r>
          </w:p>
        </w:tc>
      </w:tr>
      <w:tr w:rsidR="008243E6" w:rsidRPr="00F95322" w14:paraId="24FA68D6" w14:textId="77777777">
        <w:trPr>
          <w:trHeight w:val="305"/>
        </w:trPr>
        <w:tc>
          <w:tcPr>
            <w:tcW w:w="5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12899C" w14:textId="77777777" w:rsidR="008243E6" w:rsidRPr="00F95322" w:rsidRDefault="00110810">
            <w:pPr>
              <w:pStyle w:val="Body"/>
              <w:spacing w:after="0" w:line="240" w:lineRule="auto"/>
            </w:pPr>
            <w:r w:rsidRPr="00F95322">
              <w:rPr>
                <w:rFonts w:ascii="Times New Roman" w:hAnsi="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35D9C0" w14:textId="77777777" w:rsidR="008243E6" w:rsidRPr="00F95322" w:rsidRDefault="00110810">
            <w:pPr>
              <w:pStyle w:val="Body"/>
              <w:spacing w:after="0" w:line="240" w:lineRule="auto"/>
            </w:pPr>
            <w:r w:rsidRPr="00F95322">
              <w:rPr>
                <w:rFonts w:ascii="Times New Roman" w:hAnsi="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EF5772" w14:textId="77777777" w:rsidR="008243E6" w:rsidRPr="00F95322" w:rsidRDefault="00110810">
            <w:pPr>
              <w:pStyle w:val="Body"/>
              <w:spacing w:after="0" w:line="240" w:lineRule="auto"/>
            </w:pPr>
            <w:r w:rsidRPr="00F95322">
              <w:rPr>
                <w:rFonts w:ascii="Times New Roman" w:hAnsi="Times New Roman"/>
                <w:sz w:val="24"/>
                <w:szCs w:val="24"/>
              </w:rPr>
              <w:t>Nav.</w:t>
            </w:r>
          </w:p>
        </w:tc>
      </w:tr>
    </w:tbl>
    <w:p w14:paraId="3594AAF7" w14:textId="77777777" w:rsidR="008243E6" w:rsidRPr="00F95322" w:rsidRDefault="008243E6">
      <w:pPr>
        <w:pStyle w:val="Body"/>
        <w:widowControl w:val="0"/>
        <w:spacing w:after="0" w:line="240" w:lineRule="auto"/>
        <w:rPr>
          <w:rFonts w:ascii="Times New Roman" w:eastAsia="Times New Roman" w:hAnsi="Times New Roman" w:cs="Times New Roman"/>
          <w:sz w:val="24"/>
          <w:szCs w:val="24"/>
        </w:rPr>
      </w:pPr>
    </w:p>
    <w:p w14:paraId="236F9BAD" w14:textId="3657C11B" w:rsidR="008243E6" w:rsidRDefault="008243E6">
      <w:pPr>
        <w:pStyle w:val="Body"/>
        <w:spacing w:after="0" w:line="240" w:lineRule="auto"/>
        <w:rPr>
          <w:rFonts w:ascii="Times New Roman" w:eastAsia="Times New Roman" w:hAnsi="Times New Roman" w:cs="Times New Roman"/>
          <w:sz w:val="24"/>
          <w:szCs w:val="24"/>
        </w:rPr>
      </w:pPr>
    </w:p>
    <w:p w14:paraId="5F980917" w14:textId="41C445A7" w:rsidR="00F86B5F" w:rsidRDefault="00F86B5F">
      <w:pPr>
        <w:pStyle w:val="Body"/>
        <w:spacing w:after="0" w:line="240" w:lineRule="auto"/>
        <w:rPr>
          <w:rFonts w:ascii="Times New Roman" w:eastAsia="Times New Roman" w:hAnsi="Times New Roman" w:cs="Times New Roman"/>
          <w:sz w:val="24"/>
          <w:szCs w:val="24"/>
        </w:rPr>
      </w:pPr>
    </w:p>
    <w:p w14:paraId="21B0E686" w14:textId="77777777" w:rsidR="00A86D4B" w:rsidRPr="00F95322" w:rsidRDefault="00A86D4B">
      <w:pPr>
        <w:pStyle w:val="Body"/>
        <w:spacing w:after="0" w:line="240" w:lineRule="auto"/>
        <w:rPr>
          <w:rFonts w:ascii="Times New Roman" w:eastAsia="Times New Roman" w:hAnsi="Times New Roman" w:cs="Times New Roman"/>
          <w:sz w:val="24"/>
          <w:szCs w:val="24"/>
        </w:rPr>
      </w:pPr>
    </w:p>
    <w:p w14:paraId="0BB3FC70" w14:textId="77777777" w:rsidR="008243E6" w:rsidRDefault="00110810">
      <w:pPr>
        <w:pStyle w:val="Body"/>
        <w:tabs>
          <w:tab w:val="left" w:pos="6237"/>
        </w:tabs>
        <w:spacing w:after="0" w:line="240" w:lineRule="auto"/>
        <w:ind w:firstLine="720"/>
        <w:rPr>
          <w:rFonts w:ascii="Times New Roman" w:hAnsi="Times New Roman"/>
          <w:sz w:val="28"/>
          <w:szCs w:val="28"/>
        </w:rPr>
      </w:pPr>
      <w:r w:rsidRPr="00F95322">
        <w:rPr>
          <w:rFonts w:ascii="Times New Roman" w:hAnsi="Times New Roman"/>
          <w:sz w:val="28"/>
          <w:szCs w:val="28"/>
        </w:rPr>
        <w:t>Zemkopības ministrs</w:t>
      </w:r>
      <w:r w:rsidRPr="00F95322">
        <w:rPr>
          <w:rFonts w:ascii="Times New Roman" w:hAnsi="Times New Roman"/>
          <w:sz w:val="28"/>
          <w:szCs w:val="28"/>
        </w:rPr>
        <w:tab/>
      </w:r>
      <w:r w:rsidRPr="00F95322">
        <w:rPr>
          <w:rFonts w:ascii="Times New Roman" w:hAnsi="Times New Roman"/>
          <w:sz w:val="28"/>
          <w:szCs w:val="28"/>
        </w:rPr>
        <w:tab/>
      </w:r>
      <w:r w:rsidRPr="00F95322">
        <w:rPr>
          <w:rFonts w:ascii="Times New Roman" w:hAnsi="Times New Roman"/>
          <w:sz w:val="28"/>
          <w:szCs w:val="28"/>
        </w:rPr>
        <w:tab/>
        <w:t>K. Gerhards</w:t>
      </w:r>
    </w:p>
    <w:p w14:paraId="12E81E32" w14:textId="77777777" w:rsidR="00781A22" w:rsidRDefault="00781A22">
      <w:pPr>
        <w:pStyle w:val="Body"/>
        <w:tabs>
          <w:tab w:val="left" w:pos="6237"/>
        </w:tabs>
        <w:spacing w:after="0" w:line="240" w:lineRule="auto"/>
        <w:ind w:firstLine="720"/>
        <w:rPr>
          <w:rFonts w:ascii="Times New Roman" w:hAnsi="Times New Roman"/>
          <w:sz w:val="28"/>
          <w:szCs w:val="28"/>
        </w:rPr>
      </w:pPr>
    </w:p>
    <w:p w14:paraId="6DDB1EE8" w14:textId="495FE6A7" w:rsidR="00781A22" w:rsidRDefault="00781A22">
      <w:pPr>
        <w:pStyle w:val="Body"/>
        <w:tabs>
          <w:tab w:val="left" w:pos="6237"/>
        </w:tabs>
        <w:spacing w:after="0" w:line="240" w:lineRule="auto"/>
        <w:ind w:firstLine="720"/>
        <w:rPr>
          <w:rFonts w:ascii="Times New Roman" w:eastAsia="Times New Roman" w:hAnsi="Times New Roman" w:cs="Times New Roman"/>
          <w:sz w:val="28"/>
          <w:szCs w:val="28"/>
        </w:rPr>
      </w:pPr>
    </w:p>
    <w:p w14:paraId="7F207300" w14:textId="1AE8BB24" w:rsidR="00F86B5F" w:rsidRDefault="00F86B5F">
      <w:pPr>
        <w:pStyle w:val="Body"/>
        <w:tabs>
          <w:tab w:val="left" w:pos="6237"/>
        </w:tabs>
        <w:spacing w:after="0" w:line="240" w:lineRule="auto"/>
        <w:ind w:firstLine="720"/>
        <w:rPr>
          <w:rFonts w:ascii="Times New Roman" w:eastAsia="Times New Roman" w:hAnsi="Times New Roman" w:cs="Times New Roman"/>
          <w:sz w:val="28"/>
          <w:szCs w:val="28"/>
        </w:rPr>
      </w:pPr>
    </w:p>
    <w:p w14:paraId="6D601C88" w14:textId="1B33800D" w:rsidR="00F86B5F" w:rsidRDefault="00F86B5F">
      <w:pPr>
        <w:pStyle w:val="Body"/>
        <w:tabs>
          <w:tab w:val="left" w:pos="6237"/>
        </w:tabs>
        <w:spacing w:after="0" w:line="240" w:lineRule="auto"/>
        <w:ind w:firstLine="720"/>
        <w:rPr>
          <w:rFonts w:ascii="Times New Roman" w:eastAsia="Times New Roman" w:hAnsi="Times New Roman" w:cs="Times New Roman"/>
          <w:sz w:val="28"/>
          <w:szCs w:val="28"/>
        </w:rPr>
      </w:pPr>
    </w:p>
    <w:p w14:paraId="21C422E7" w14:textId="7C7BC9E3" w:rsidR="00F86B5F" w:rsidRDefault="00F86B5F">
      <w:pPr>
        <w:pStyle w:val="Body"/>
        <w:tabs>
          <w:tab w:val="left" w:pos="6237"/>
        </w:tabs>
        <w:spacing w:after="0" w:line="240" w:lineRule="auto"/>
        <w:ind w:firstLine="720"/>
        <w:rPr>
          <w:rFonts w:ascii="Times New Roman" w:eastAsia="Times New Roman" w:hAnsi="Times New Roman" w:cs="Times New Roman"/>
          <w:sz w:val="28"/>
          <w:szCs w:val="28"/>
        </w:rPr>
      </w:pPr>
    </w:p>
    <w:p w14:paraId="33FCFEBB" w14:textId="5C186375" w:rsidR="00F86B5F" w:rsidRDefault="00F86B5F">
      <w:pPr>
        <w:pStyle w:val="Body"/>
        <w:tabs>
          <w:tab w:val="left" w:pos="6237"/>
        </w:tabs>
        <w:spacing w:after="0" w:line="240" w:lineRule="auto"/>
        <w:ind w:firstLine="720"/>
        <w:rPr>
          <w:rFonts w:ascii="Times New Roman" w:eastAsia="Times New Roman" w:hAnsi="Times New Roman" w:cs="Times New Roman"/>
          <w:sz w:val="28"/>
          <w:szCs w:val="28"/>
        </w:rPr>
      </w:pPr>
    </w:p>
    <w:p w14:paraId="2EAC701F" w14:textId="28562F54"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0D6269BC" w14:textId="137EF7F7"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08FB67B8" w14:textId="2FC6BF08"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769B70CB" w14:textId="44430240"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59BA174F" w14:textId="531D052B"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1B5C29CD" w14:textId="39BC5585"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0929A410" w14:textId="1D87BE00"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7B90C4B6" w14:textId="7BD77B97"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14AD4B44" w14:textId="572D2979"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7A9CE284" w14:textId="6FAAE0CE"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097F2C9C" w14:textId="6EDF1431"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7F168C7D" w14:textId="77777777" w:rsidR="006B7614" w:rsidRDefault="006B7614">
      <w:pPr>
        <w:pStyle w:val="Body"/>
        <w:tabs>
          <w:tab w:val="left" w:pos="6237"/>
        </w:tabs>
        <w:spacing w:after="0" w:line="240" w:lineRule="auto"/>
        <w:ind w:firstLine="720"/>
        <w:rPr>
          <w:rFonts w:ascii="Times New Roman" w:eastAsia="Times New Roman" w:hAnsi="Times New Roman" w:cs="Times New Roman"/>
          <w:sz w:val="28"/>
          <w:szCs w:val="28"/>
        </w:rPr>
      </w:pPr>
    </w:p>
    <w:p w14:paraId="2113DEF9" w14:textId="125DB03B" w:rsidR="00F86B5F" w:rsidRDefault="00F86B5F">
      <w:pPr>
        <w:pStyle w:val="Body"/>
        <w:tabs>
          <w:tab w:val="left" w:pos="6237"/>
        </w:tabs>
        <w:spacing w:after="0" w:line="240" w:lineRule="auto"/>
        <w:ind w:firstLine="720"/>
        <w:rPr>
          <w:rFonts w:ascii="Times New Roman" w:eastAsia="Times New Roman" w:hAnsi="Times New Roman" w:cs="Times New Roman"/>
          <w:sz w:val="28"/>
          <w:szCs w:val="28"/>
        </w:rPr>
      </w:pPr>
    </w:p>
    <w:p w14:paraId="2F3E7CA2" w14:textId="0B402B58" w:rsidR="00F86B5F" w:rsidRDefault="00F86B5F">
      <w:pPr>
        <w:pStyle w:val="Body"/>
        <w:tabs>
          <w:tab w:val="left" w:pos="6237"/>
        </w:tabs>
        <w:spacing w:after="0" w:line="240" w:lineRule="auto"/>
        <w:ind w:firstLine="720"/>
        <w:rPr>
          <w:rFonts w:ascii="Times New Roman" w:eastAsia="Times New Roman" w:hAnsi="Times New Roman" w:cs="Times New Roman"/>
          <w:sz w:val="28"/>
          <w:szCs w:val="28"/>
        </w:rPr>
      </w:pPr>
    </w:p>
    <w:p w14:paraId="37CB964D" w14:textId="1851DED1" w:rsidR="00F86B5F" w:rsidRDefault="00F86B5F">
      <w:pPr>
        <w:pStyle w:val="Body"/>
        <w:tabs>
          <w:tab w:val="left" w:pos="6237"/>
        </w:tabs>
        <w:spacing w:after="0" w:line="240" w:lineRule="auto"/>
        <w:ind w:firstLine="720"/>
        <w:rPr>
          <w:rFonts w:ascii="Times New Roman" w:eastAsia="Times New Roman" w:hAnsi="Times New Roman" w:cs="Times New Roman"/>
          <w:sz w:val="28"/>
          <w:szCs w:val="28"/>
        </w:rPr>
      </w:pPr>
    </w:p>
    <w:p w14:paraId="7E644E4E" w14:textId="691D0F61" w:rsidR="00F86B5F" w:rsidRDefault="00F86B5F" w:rsidP="00A86D4B">
      <w:pPr>
        <w:pStyle w:val="Body"/>
        <w:tabs>
          <w:tab w:val="left" w:pos="6237"/>
        </w:tabs>
        <w:spacing w:after="0" w:line="240" w:lineRule="auto"/>
        <w:rPr>
          <w:rFonts w:ascii="Times New Roman" w:eastAsia="Times New Roman" w:hAnsi="Times New Roman" w:cs="Times New Roman"/>
          <w:sz w:val="28"/>
          <w:szCs w:val="28"/>
        </w:rPr>
      </w:pPr>
    </w:p>
    <w:p w14:paraId="1AE3DE9F" w14:textId="32E04032" w:rsidR="00F86B5F" w:rsidRDefault="00F86B5F">
      <w:pPr>
        <w:pStyle w:val="Body"/>
        <w:tabs>
          <w:tab w:val="left" w:pos="6237"/>
        </w:tabs>
        <w:spacing w:after="0" w:line="240" w:lineRule="auto"/>
        <w:ind w:firstLine="720"/>
        <w:rPr>
          <w:rFonts w:ascii="Times New Roman" w:eastAsia="Times New Roman" w:hAnsi="Times New Roman" w:cs="Times New Roman"/>
          <w:sz w:val="28"/>
          <w:szCs w:val="28"/>
        </w:rPr>
      </w:pPr>
    </w:p>
    <w:p w14:paraId="600B8E1C" w14:textId="77777777" w:rsidR="00F86B5F" w:rsidRPr="00F95322" w:rsidRDefault="00F86B5F">
      <w:pPr>
        <w:pStyle w:val="Body"/>
        <w:tabs>
          <w:tab w:val="left" w:pos="6237"/>
        </w:tabs>
        <w:spacing w:after="0" w:line="240" w:lineRule="auto"/>
        <w:ind w:firstLine="720"/>
        <w:rPr>
          <w:rFonts w:ascii="Times New Roman" w:eastAsia="Times New Roman" w:hAnsi="Times New Roman" w:cs="Times New Roman"/>
          <w:sz w:val="28"/>
          <w:szCs w:val="28"/>
        </w:rPr>
      </w:pPr>
    </w:p>
    <w:p w14:paraId="0A3D93B5" w14:textId="77777777" w:rsidR="008243E6" w:rsidRPr="00F95322" w:rsidRDefault="00110810">
      <w:pPr>
        <w:pStyle w:val="Body"/>
        <w:tabs>
          <w:tab w:val="left" w:pos="6237"/>
        </w:tabs>
        <w:spacing w:after="0" w:line="240" w:lineRule="auto"/>
        <w:rPr>
          <w:rFonts w:ascii="Times New Roman" w:eastAsia="Times New Roman" w:hAnsi="Times New Roman" w:cs="Times New Roman"/>
          <w:sz w:val="24"/>
          <w:szCs w:val="24"/>
        </w:rPr>
      </w:pPr>
      <w:r w:rsidRPr="00F95322">
        <w:rPr>
          <w:rFonts w:ascii="Times New Roman" w:hAnsi="Times New Roman"/>
          <w:sz w:val="24"/>
          <w:szCs w:val="24"/>
        </w:rPr>
        <w:t>Ozoliņa 67027301</w:t>
      </w:r>
    </w:p>
    <w:p w14:paraId="7758501B" w14:textId="77777777" w:rsidR="008243E6" w:rsidRPr="00F95322" w:rsidRDefault="00110810">
      <w:pPr>
        <w:pStyle w:val="Body"/>
        <w:tabs>
          <w:tab w:val="left" w:pos="6237"/>
        </w:tabs>
        <w:spacing w:after="0" w:line="240" w:lineRule="auto"/>
      </w:pPr>
      <w:r w:rsidRPr="00F95322">
        <w:rPr>
          <w:rFonts w:ascii="Times New Roman" w:hAnsi="Times New Roman"/>
          <w:sz w:val="24"/>
          <w:szCs w:val="24"/>
        </w:rPr>
        <w:t>Ligija.Ozolina@zm.gov.lv</w:t>
      </w:r>
    </w:p>
    <w:sectPr w:rsidR="008243E6" w:rsidRPr="00F95322" w:rsidSect="00E94E28">
      <w:headerReference w:type="default" r:id="rId7"/>
      <w:footerReference w:type="default" r:id="rId8"/>
      <w:footerReference w:type="first" r:id="rId9"/>
      <w:pgSz w:w="11900" w:h="16840"/>
      <w:pgMar w:top="1418" w:right="112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D991D" w14:textId="77777777" w:rsidR="00065202" w:rsidRDefault="00065202">
      <w:r>
        <w:separator/>
      </w:r>
    </w:p>
  </w:endnote>
  <w:endnote w:type="continuationSeparator" w:id="0">
    <w:p w14:paraId="1C355F5D" w14:textId="77777777" w:rsidR="00065202" w:rsidRDefault="0006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Helvetica Neue">
    <w:altName w:val="Sylfaen"/>
    <w:charset w:val="00"/>
    <w:family w:val="roman"/>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3C55" w14:textId="0C62B4F1" w:rsidR="008243E6" w:rsidRPr="00A86D4B" w:rsidRDefault="00A86D4B" w:rsidP="00A86D4B">
    <w:pPr>
      <w:pStyle w:val="Footer"/>
    </w:pPr>
    <w:r w:rsidRPr="00A86D4B">
      <w:rPr>
        <w:rFonts w:ascii="Times New Roman" w:hAnsi="Times New Roman"/>
        <w:sz w:val="20"/>
        <w:szCs w:val="20"/>
      </w:rPr>
      <w:t>ZManot_180621_apdrosin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DD1F" w14:textId="6BDA9399" w:rsidR="008243E6" w:rsidRPr="00A86D4B" w:rsidRDefault="00A86D4B" w:rsidP="00A86D4B">
    <w:pPr>
      <w:pStyle w:val="Footer"/>
    </w:pPr>
    <w:r w:rsidRPr="00A86D4B">
      <w:rPr>
        <w:rFonts w:ascii="Times New Roman" w:hAnsi="Times New Roman"/>
        <w:sz w:val="20"/>
        <w:szCs w:val="20"/>
      </w:rPr>
      <w:t>ZManot_180621_apdrosin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E31D" w14:textId="77777777" w:rsidR="00065202" w:rsidRDefault="00065202">
      <w:r>
        <w:separator/>
      </w:r>
    </w:p>
  </w:footnote>
  <w:footnote w:type="continuationSeparator" w:id="0">
    <w:p w14:paraId="0A9DBBCE" w14:textId="77777777" w:rsidR="00065202" w:rsidRDefault="0006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8E9D" w14:textId="77777777" w:rsidR="008243E6" w:rsidRDefault="00110810">
    <w:pPr>
      <w:pStyle w:val="Header"/>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2F0492">
      <w:rPr>
        <w:rFonts w:ascii="Times New Roman" w:hAnsi="Times New Roman"/>
        <w:noProof/>
        <w:sz w:val="24"/>
        <w:szCs w:val="24"/>
      </w:rPr>
      <w:t>10</w:t>
    </w:r>
    <w:r>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E6"/>
    <w:rsid w:val="00006DD1"/>
    <w:rsid w:val="00065202"/>
    <w:rsid w:val="000B04D5"/>
    <w:rsid w:val="000D0295"/>
    <w:rsid w:val="00110810"/>
    <w:rsid w:val="0017493A"/>
    <w:rsid w:val="001F1A6F"/>
    <w:rsid w:val="001F755C"/>
    <w:rsid w:val="00277D87"/>
    <w:rsid w:val="002C44A6"/>
    <w:rsid w:val="002F0492"/>
    <w:rsid w:val="002F2ABC"/>
    <w:rsid w:val="00301201"/>
    <w:rsid w:val="00321528"/>
    <w:rsid w:val="003C2710"/>
    <w:rsid w:val="0040338B"/>
    <w:rsid w:val="00452A38"/>
    <w:rsid w:val="0047302A"/>
    <w:rsid w:val="0063172F"/>
    <w:rsid w:val="00673A1A"/>
    <w:rsid w:val="00673BFD"/>
    <w:rsid w:val="006812EB"/>
    <w:rsid w:val="006940A9"/>
    <w:rsid w:val="006B7614"/>
    <w:rsid w:val="006F29D5"/>
    <w:rsid w:val="007159D7"/>
    <w:rsid w:val="00733ECE"/>
    <w:rsid w:val="00781A22"/>
    <w:rsid w:val="007B4047"/>
    <w:rsid w:val="007B4654"/>
    <w:rsid w:val="008243E6"/>
    <w:rsid w:val="00845392"/>
    <w:rsid w:val="00850FB7"/>
    <w:rsid w:val="008861D4"/>
    <w:rsid w:val="00894615"/>
    <w:rsid w:val="0093390E"/>
    <w:rsid w:val="009E5906"/>
    <w:rsid w:val="00A86D4B"/>
    <w:rsid w:val="00A86FF1"/>
    <w:rsid w:val="00AA7A53"/>
    <w:rsid w:val="00AB2864"/>
    <w:rsid w:val="00B064F3"/>
    <w:rsid w:val="00C76388"/>
    <w:rsid w:val="00CA1730"/>
    <w:rsid w:val="00CA4874"/>
    <w:rsid w:val="00CF6B04"/>
    <w:rsid w:val="00D31613"/>
    <w:rsid w:val="00D455E5"/>
    <w:rsid w:val="00E12AC3"/>
    <w:rsid w:val="00E94E28"/>
    <w:rsid w:val="00EF6B40"/>
    <w:rsid w:val="00F007F2"/>
    <w:rsid w:val="00F16943"/>
    <w:rsid w:val="00F86B5F"/>
    <w:rsid w:val="00F953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57BD"/>
  <w15:docId w15:val="{9D085F9B-F5F5-4D99-99BF-5FB6567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hAnsi="Calibri" w:cs="Arial Unicode MS"/>
      <w:color w:val="000000"/>
      <w:sz w:val="22"/>
      <w:szCs w:val="22"/>
      <w:u w:color="000000"/>
    </w:rPr>
  </w:style>
  <w:style w:type="paragraph" w:styleId="Footer">
    <w:name w:val="footer"/>
    <w:pPr>
      <w:tabs>
        <w:tab w:val="center" w:pos="4153"/>
        <w:tab w:val="right" w:pos="830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06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D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42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DD8A8-E60D-477C-8B28-6347747B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14068</Words>
  <Characters>8020</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Grozījumi Ministru kabineta 2015.gada 25.augusta noteikumos Nr.492 "Noteikumi par valsts un Eiropas Savienības atbalsta piešķiršanu ražas, dzīvnieku un augu apdrošināšanai 2014.-2020.gada plānošanas periodā""</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25.augusta noteikumos Nr.492 "Noteikumi par valsts un Eiropas Savienības atbalsta piešķiršanu ražas, dzīvnieku un augu apdrošināšanai 2014.-2020.gada plānošanas periodā""</dc:title>
  <dc:subject>Anotācija</dc:subject>
  <dc:creator>Ligija Ozoliņa</dc:creator>
  <dc:description>Ozoliņa 67027301 Ligija.Ozolina@zm.gov.lv</dc:description>
  <cp:lastModifiedBy>Ligija Ozoliņa</cp:lastModifiedBy>
  <cp:revision>5</cp:revision>
  <dcterms:created xsi:type="dcterms:W3CDTF">2021-06-18T10:16:00Z</dcterms:created>
  <dcterms:modified xsi:type="dcterms:W3CDTF">2021-06-18T10:57:00Z</dcterms:modified>
</cp:coreProperties>
</file>