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164D" w14:textId="77777777" w:rsidR="00464D3E" w:rsidRPr="00B75F00" w:rsidRDefault="00464D3E" w:rsidP="00464D3E">
      <w:pPr>
        <w:shd w:val="clear" w:color="auto" w:fill="FFFFFF"/>
        <w:jc w:val="center"/>
        <w:rPr>
          <w:b/>
        </w:rPr>
      </w:pPr>
      <w:r w:rsidRPr="00B75F00">
        <w:rPr>
          <w:b/>
        </w:rPr>
        <w:t>Ministru kabineta noteikumu projekta</w:t>
      </w:r>
    </w:p>
    <w:p w14:paraId="15E15B12" w14:textId="385F96EE" w:rsidR="00464D3E" w:rsidRPr="00127AD4" w:rsidRDefault="00464D3E" w:rsidP="00464D3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lv-LV"/>
        </w:rPr>
      </w:pPr>
      <w:r w:rsidRPr="00127AD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“</w:t>
      </w:r>
      <w:r w:rsidR="006C04E2">
        <w:rPr>
          <w:bCs w:val="0"/>
          <w:sz w:val="24"/>
          <w:szCs w:val="24"/>
          <w:lang w:val="lv-LV" w:eastAsia="lv-LV"/>
        </w:rPr>
        <w:t>Grozījums</w:t>
      </w:r>
      <w:r w:rsidRPr="00464D3E">
        <w:rPr>
          <w:bCs w:val="0"/>
          <w:sz w:val="24"/>
          <w:szCs w:val="24"/>
          <w:lang w:val="lv-LV" w:eastAsia="lv-LV"/>
        </w:rPr>
        <w:t xml:space="preserve"> Ministru kabineta 2003. gada 29.aprīļa noteikumos Nr.236 </w:t>
      </w:r>
      <w:r>
        <w:rPr>
          <w:bCs w:val="0"/>
          <w:sz w:val="24"/>
          <w:szCs w:val="24"/>
          <w:lang w:val="lv-LV" w:eastAsia="lv-LV"/>
        </w:rPr>
        <w:t>“</w:t>
      </w:r>
      <w:hyperlink r:id="rId7" w:history="1">
        <w:r w:rsidRPr="001953AB">
          <w:rPr>
            <w:rStyle w:val="Hyperlink"/>
            <w:bCs w:val="0"/>
            <w:sz w:val="24"/>
            <w:szCs w:val="24"/>
            <w:lang w:val="lv-LV" w:eastAsia="lv-LV"/>
          </w:rPr>
          <w:t>Aizsardzības ministrijas nolikums</w:t>
        </w:r>
      </w:hyperlink>
      <w:r>
        <w:rPr>
          <w:bCs w:val="0"/>
          <w:sz w:val="24"/>
          <w:szCs w:val="24"/>
          <w:lang w:val="lv-LV" w:eastAsia="lv-LV"/>
        </w:rPr>
        <w:t xml:space="preserve">”” </w:t>
      </w:r>
      <w:r w:rsidRPr="00127AD4">
        <w:rPr>
          <w:sz w:val="24"/>
          <w:szCs w:val="24"/>
          <w:lang w:val="lv-LV"/>
        </w:rPr>
        <w:t>sākotnējās ietekmes novērtējuma ziņojums (anotācija)</w:t>
      </w:r>
    </w:p>
    <w:p w14:paraId="016F85E1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4"/>
        <w:gridCol w:w="5699"/>
      </w:tblGrid>
      <w:tr w:rsidR="00464D3E" w:rsidRPr="001B28D4" w14:paraId="0D9A726B" w14:textId="77777777" w:rsidTr="00A97338">
        <w:trPr>
          <w:cantSplit/>
        </w:trPr>
        <w:tc>
          <w:tcPr>
            <w:tcW w:w="8963" w:type="dxa"/>
            <w:gridSpan w:val="2"/>
            <w:shd w:val="clear" w:color="auto" w:fill="FFFFFF"/>
            <w:vAlign w:val="center"/>
            <w:hideMark/>
          </w:tcPr>
          <w:p w14:paraId="2E6FAF07" w14:textId="77777777" w:rsidR="00464D3E" w:rsidRPr="001B28D4" w:rsidRDefault="00464D3E" w:rsidP="00A97338">
            <w:pPr>
              <w:jc w:val="center"/>
              <w:rPr>
                <w:b/>
                <w:iCs/>
                <w:lang w:eastAsia="en-US"/>
              </w:rPr>
            </w:pPr>
            <w:r w:rsidRPr="001B28D4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464D3E" w:rsidRPr="001B28D4" w14:paraId="594B85E9" w14:textId="77777777" w:rsidTr="00A97338">
        <w:trPr>
          <w:cantSplit/>
        </w:trPr>
        <w:tc>
          <w:tcPr>
            <w:tcW w:w="3264" w:type="dxa"/>
            <w:shd w:val="clear" w:color="auto" w:fill="FFFFFF"/>
            <w:hideMark/>
          </w:tcPr>
          <w:p w14:paraId="79242DCD" w14:textId="77777777" w:rsidR="00464D3E" w:rsidRPr="001B28D4" w:rsidRDefault="00464D3E" w:rsidP="00A97338">
            <w:pPr>
              <w:rPr>
                <w:iCs/>
                <w:lang w:eastAsia="en-US"/>
              </w:rPr>
            </w:pPr>
            <w:r w:rsidRPr="001B28D4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699" w:type="dxa"/>
            <w:shd w:val="clear" w:color="auto" w:fill="FFFFFF"/>
            <w:hideMark/>
          </w:tcPr>
          <w:p w14:paraId="7BFDF922" w14:textId="6D394254" w:rsidR="00464D3E" w:rsidRPr="001B28D4" w:rsidRDefault="00B3150A" w:rsidP="00A97338">
            <w:pPr>
              <w:jc w:val="both"/>
              <w:rPr>
                <w:i/>
                <w:iCs/>
                <w:lang w:eastAsia="en-US"/>
              </w:rPr>
            </w:pPr>
            <w:r w:rsidRPr="00E84535">
              <w:t>Saskaņā ar Ministru kabineta 2009. gada 15. decembra instrukcijas Nr. 19 "Tiesību akta projekta sākotnējās ietekmes izvērtēšanas kārtība" 5.</w:t>
            </w:r>
            <w:r w:rsidRPr="00E84535">
              <w:rPr>
                <w:vertAlign w:val="superscript"/>
              </w:rPr>
              <w:t>1</w:t>
            </w:r>
            <w:r w:rsidRPr="00E84535">
              <w:t> punktu kopsavilkums nav aizpildāms.</w:t>
            </w:r>
          </w:p>
        </w:tc>
      </w:tr>
    </w:tbl>
    <w:p w14:paraId="415D1F86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0D266496" w14:textId="77777777" w:rsidTr="00A97338">
        <w:tc>
          <w:tcPr>
            <w:tcW w:w="5000" w:type="pct"/>
            <w:gridSpan w:val="3"/>
            <w:vAlign w:val="center"/>
            <w:hideMark/>
          </w:tcPr>
          <w:p w14:paraId="2C8F3664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I. Tiesību akta projekta izstrādes nepieciešamība</w:t>
            </w:r>
          </w:p>
        </w:tc>
      </w:tr>
      <w:tr w:rsidR="00464D3E" w:rsidRPr="001B28D4" w14:paraId="15A7760E" w14:textId="77777777" w:rsidTr="00A97338">
        <w:tc>
          <w:tcPr>
            <w:tcW w:w="311" w:type="pct"/>
            <w:hideMark/>
          </w:tcPr>
          <w:p w14:paraId="14ED8232" w14:textId="77777777" w:rsidR="00464D3E" w:rsidRPr="001B28D4" w:rsidRDefault="00464D3E" w:rsidP="00A97338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76A87860" w14:textId="77777777" w:rsidR="00464D3E" w:rsidRPr="001B28D4" w:rsidRDefault="00464D3E" w:rsidP="00A97338">
            <w:r w:rsidRPr="001B28D4">
              <w:t>Pamatojums</w:t>
            </w:r>
          </w:p>
        </w:tc>
        <w:tc>
          <w:tcPr>
            <w:tcW w:w="3210" w:type="pct"/>
            <w:hideMark/>
          </w:tcPr>
          <w:p w14:paraId="4EDC4A4A" w14:textId="77777777" w:rsidR="00BB701F" w:rsidRDefault="00464D3E" w:rsidP="009B4CFB">
            <w:pPr>
              <w:pStyle w:val="liknoteik"/>
              <w:jc w:val="both"/>
            </w:pPr>
            <w:r w:rsidRPr="001B28D4">
              <w:rPr>
                <w:lang w:val="la-Latn"/>
              </w:rPr>
              <w:t xml:space="preserve">Ministru kabineta noteikumu projekts </w:t>
            </w:r>
            <w:r w:rsidRPr="00464D3E">
              <w:t>“Grozījum</w:t>
            </w:r>
            <w:r w:rsidR="00B3150A">
              <w:t>s</w:t>
            </w:r>
            <w:r w:rsidRPr="00464D3E">
              <w:t xml:space="preserve"> Ministru kabineta 2003. gada 29.aprīļa noteikumos Nr.236 "Aizsardzības ministrijas</w:t>
            </w:r>
            <w:r>
              <w:t xml:space="preserve"> nolikums</w:t>
            </w:r>
            <w:r w:rsidRPr="00464D3E">
              <w:rPr>
                <w:lang w:val="la-Latn"/>
              </w:rPr>
              <w:t>”</w:t>
            </w:r>
            <w:r w:rsidRPr="00D33D5A">
              <w:rPr>
                <w:lang w:val="la-Latn"/>
              </w:rPr>
              <w:t xml:space="preserve"> </w:t>
            </w:r>
            <w:r w:rsidRPr="00D33D5A">
              <w:t>(turpmāk –</w:t>
            </w:r>
            <w:r w:rsidRPr="001B28D4">
              <w:t xml:space="preserve"> projekts) ir izstrādāts pēc Aizsardzības ministrijas iniciatīvas</w:t>
            </w:r>
            <w:r w:rsidR="00A24F69">
              <w:t xml:space="preserve"> un</w:t>
            </w:r>
            <w:r w:rsidR="00BB701F">
              <w:t xml:space="preserve"> ņemot vērā:</w:t>
            </w:r>
          </w:p>
          <w:p w14:paraId="01F78214" w14:textId="64D36AB0" w:rsidR="00BB701F" w:rsidRPr="00BB701F" w:rsidRDefault="00BB701F" w:rsidP="00BB701F">
            <w:pPr>
              <w:pStyle w:val="liknoteik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Valsts pārvaldes iekārtas likuma 16.panta pirmo daļu, kas noteic, ka tiešās pārvaldes iestādes darbību reglamentē Ministru kabineta apstiprināts nolikums,</w:t>
            </w:r>
          </w:p>
          <w:p w14:paraId="5EA59266" w14:textId="3E7A6BE0" w:rsidR="00464D3E" w:rsidRPr="00BB701F" w:rsidRDefault="00464D3E" w:rsidP="00BB701F">
            <w:pPr>
              <w:pStyle w:val="liknoteik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 </w:t>
            </w:r>
            <w:r w:rsidR="00BC12C0">
              <w:t>Ministru kabineta 2021. gada 19. maija rīkojumu Nr. 339 “</w:t>
            </w:r>
            <w:hyperlink r:id="rId8" w:history="1">
              <w:r w:rsidR="00BC12C0" w:rsidRPr="001953AB">
                <w:rPr>
                  <w:rStyle w:val="Hyperlink"/>
                </w:rPr>
                <w:t>Par Pulkveža Oskara Kalpaka profesionālās vidusskolas dibināšanu</w:t>
              </w:r>
            </w:hyperlink>
            <w:r w:rsidR="00BC12C0">
              <w:t xml:space="preserve">”, </w:t>
            </w:r>
          </w:p>
          <w:p w14:paraId="381EEE44" w14:textId="279878AA" w:rsidR="00BB701F" w:rsidRPr="00D33D5A" w:rsidRDefault="0033353A" w:rsidP="00BB701F">
            <w:pPr>
              <w:pStyle w:val="liknoteik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Ministru kabineta 2021.gada 18 maija noteikumus Nr.312 </w:t>
            </w:r>
            <w:hyperlink r:id="rId9" w:history="1">
              <w:r w:rsidRPr="001953AB">
                <w:rPr>
                  <w:rStyle w:val="Hyperlink"/>
                </w:rPr>
                <w:t>“Pulkveža Oskara Kalpaka profesionālās vidusskolas nolikums”.</w:t>
              </w:r>
            </w:hyperlink>
          </w:p>
        </w:tc>
      </w:tr>
      <w:tr w:rsidR="00464D3E" w:rsidRPr="001B28D4" w14:paraId="69683DDB" w14:textId="77777777" w:rsidTr="00A97338">
        <w:tc>
          <w:tcPr>
            <w:tcW w:w="311" w:type="pct"/>
            <w:hideMark/>
          </w:tcPr>
          <w:p w14:paraId="5468B846" w14:textId="77777777" w:rsidR="00464D3E" w:rsidRPr="001B28D4" w:rsidRDefault="00464D3E" w:rsidP="00A97338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50723051" w14:textId="77777777" w:rsidR="00464D3E" w:rsidRPr="001B28D4" w:rsidRDefault="00464D3E" w:rsidP="00A97338">
            <w:r w:rsidRPr="001B28D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51FEC6A7" w14:textId="3B0DF4E3" w:rsidR="00BB701F" w:rsidRPr="0033353A" w:rsidRDefault="00464D3E" w:rsidP="00527BC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Ministru kabineta 20</w:t>
            </w:r>
            <w:r>
              <w:rPr>
                <w:sz w:val="24"/>
                <w:szCs w:val="24"/>
              </w:rPr>
              <w:t>03</w:t>
            </w:r>
            <w:r w:rsidRPr="00C61DB8">
              <w:rPr>
                <w:sz w:val="24"/>
                <w:szCs w:val="24"/>
              </w:rPr>
              <w:t xml:space="preserve">.gada </w:t>
            </w:r>
            <w:r w:rsidR="00844B0C" w:rsidRPr="00C61DB8">
              <w:rPr>
                <w:sz w:val="24"/>
                <w:szCs w:val="24"/>
              </w:rPr>
              <w:t>29.aprīļa noteikumu</w:t>
            </w:r>
            <w:r w:rsidRPr="00C61DB8">
              <w:rPr>
                <w:sz w:val="24"/>
                <w:szCs w:val="24"/>
              </w:rPr>
              <w:t xml:space="preserve"> Nr.236  “</w:t>
            </w:r>
            <w:r w:rsidR="00844B0C" w:rsidRPr="00C61DB8">
              <w:rPr>
                <w:sz w:val="24"/>
                <w:szCs w:val="24"/>
              </w:rPr>
              <w:t>Aizsardzības ministrijas nolikums”</w:t>
            </w:r>
            <w:r w:rsidRPr="00C61DB8">
              <w:rPr>
                <w:sz w:val="24"/>
                <w:szCs w:val="24"/>
              </w:rPr>
              <w:t xml:space="preserve"> </w:t>
            </w:r>
            <w:r w:rsidR="001676C3" w:rsidRPr="00C61DB8">
              <w:rPr>
                <w:sz w:val="24"/>
                <w:szCs w:val="24"/>
              </w:rPr>
              <w:t xml:space="preserve">(turpmāk – noteikumi) </w:t>
            </w:r>
            <w:r w:rsidR="00537C1A">
              <w:rPr>
                <w:sz w:val="24"/>
                <w:szCs w:val="24"/>
              </w:rPr>
              <w:t>25.</w:t>
            </w:r>
            <w:r w:rsidR="001B1B2F" w:rsidRPr="00C61DB8">
              <w:rPr>
                <w:sz w:val="24"/>
                <w:szCs w:val="24"/>
              </w:rPr>
              <w:t xml:space="preserve">punktā </w:t>
            </w:r>
            <w:r w:rsidR="00844B0C" w:rsidRPr="00C61DB8">
              <w:rPr>
                <w:sz w:val="24"/>
                <w:szCs w:val="24"/>
              </w:rPr>
              <w:t xml:space="preserve"> </w:t>
            </w:r>
            <w:r w:rsidR="00537C1A">
              <w:rPr>
                <w:sz w:val="24"/>
                <w:szCs w:val="24"/>
              </w:rPr>
              <w:t>uzskaitītas</w:t>
            </w:r>
            <w:r w:rsidR="00696A45">
              <w:rPr>
                <w:sz w:val="24"/>
                <w:szCs w:val="24"/>
              </w:rPr>
              <w:t xml:space="preserve"> Aizsardzības </w:t>
            </w:r>
            <w:r w:rsidR="00844B0C" w:rsidRPr="00C61DB8">
              <w:rPr>
                <w:sz w:val="24"/>
                <w:szCs w:val="24"/>
              </w:rPr>
              <w:t xml:space="preserve"> ministrijas padotībā </w:t>
            </w:r>
            <w:r w:rsidR="00537C1A">
              <w:rPr>
                <w:sz w:val="24"/>
                <w:szCs w:val="24"/>
              </w:rPr>
              <w:t xml:space="preserve">esošās institūcijas, bet tajā nav iekļauta izveidotā </w:t>
            </w:r>
            <w:r w:rsidR="00537C1A" w:rsidRPr="00537C1A">
              <w:rPr>
                <w:sz w:val="24"/>
                <w:szCs w:val="24"/>
              </w:rPr>
              <w:t>Pulkveža Oskara Kalpaka profesionālā vidusskola</w:t>
            </w:r>
            <w:r w:rsidR="00537C1A">
              <w:rPr>
                <w:sz w:val="24"/>
                <w:szCs w:val="24"/>
              </w:rPr>
              <w:t xml:space="preserve">, </w:t>
            </w:r>
            <w:r w:rsidR="0033353A" w:rsidRPr="0033353A">
              <w:rPr>
                <w:sz w:val="24"/>
                <w:szCs w:val="24"/>
              </w:rPr>
              <w:t>kas uz Ministru kabineta</w:t>
            </w:r>
            <w:r w:rsidR="00BB701F" w:rsidRPr="0033353A">
              <w:rPr>
                <w:sz w:val="24"/>
                <w:szCs w:val="24"/>
              </w:rPr>
              <w:t xml:space="preserve"> rīkojuma</w:t>
            </w:r>
            <w:r w:rsidR="0033353A" w:rsidRPr="0033353A">
              <w:rPr>
                <w:sz w:val="24"/>
                <w:szCs w:val="24"/>
              </w:rPr>
              <w:t xml:space="preserve"> Nr. 339 “Par Pulkveža Oskara Kalpaka profesionālās vidusskolas dibināšanu”</w:t>
            </w:r>
            <w:r w:rsidR="00BB701F" w:rsidRPr="0033353A">
              <w:rPr>
                <w:sz w:val="24"/>
                <w:szCs w:val="24"/>
              </w:rPr>
              <w:t xml:space="preserve"> pamata ar 2021. gada 1. jūliju nodibināta </w:t>
            </w:r>
            <w:r w:rsidR="0033353A" w:rsidRPr="0033353A">
              <w:rPr>
                <w:sz w:val="24"/>
                <w:szCs w:val="24"/>
              </w:rPr>
              <w:t xml:space="preserve">kā </w:t>
            </w:r>
            <w:r w:rsidR="00BB701F" w:rsidRPr="0033353A">
              <w:rPr>
                <w:sz w:val="24"/>
                <w:szCs w:val="24"/>
              </w:rPr>
              <w:t>Aizsardzības ministrijas pakļautībā esoša profesionālās vidējās izglītības iestāde</w:t>
            </w:r>
            <w:r w:rsidR="0033353A" w:rsidRPr="0033353A">
              <w:rPr>
                <w:sz w:val="24"/>
                <w:szCs w:val="24"/>
              </w:rPr>
              <w:t xml:space="preserve">. </w:t>
            </w:r>
            <w:r w:rsidR="00BB701F" w:rsidRPr="0033353A">
              <w:rPr>
                <w:sz w:val="24"/>
                <w:szCs w:val="24"/>
              </w:rPr>
              <w:t>Pulkveža Oskara Kalpa</w:t>
            </w:r>
            <w:r w:rsidR="0033353A" w:rsidRPr="0033353A">
              <w:rPr>
                <w:sz w:val="24"/>
                <w:szCs w:val="24"/>
              </w:rPr>
              <w:t>ka profesionālā vidusskola</w:t>
            </w:r>
            <w:r w:rsidR="00BB701F" w:rsidRPr="0033353A">
              <w:rPr>
                <w:sz w:val="24"/>
                <w:szCs w:val="24"/>
              </w:rPr>
              <w:t>s izveide un uzturēšana</w:t>
            </w:r>
            <w:r w:rsidR="00527BC8">
              <w:rPr>
                <w:sz w:val="24"/>
                <w:szCs w:val="24"/>
              </w:rPr>
              <w:t xml:space="preserve"> saskaņā ar </w:t>
            </w:r>
            <w:r w:rsidR="00BB701F" w:rsidRPr="0033353A">
              <w:rPr>
                <w:sz w:val="24"/>
                <w:szCs w:val="24"/>
              </w:rPr>
              <w:t xml:space="preserve"> </w:t>
            </w:r>
            <w:r w:rsidR="00527BC8" w:rsidRPr="00527BC8">
              <w:rPr>
                <w:sz w:val="24"/>
                <w:szCs w:val="24"/>
              </w:rPr>
              <w:t>Ministru kabine</w:t>
            </w:r>
            <w:r w:rsidR="00527BC8">
              <w:rPr>
                <w:sz w:val="24"/>
                <w:szCs w:val="24"/>
              </w:rPr>
              <w:t>ta 2021. gada 19. maija rīkojuma</w:t>
            </w:r>
            <w:r w:rsidR="00527BC8" w:rsidRPr="00527BC8">
              <w:rPr>
                <w:sz w:val="24"/>
                <w:szCs w:val="24"/>
              </w:rPr>
              <w:t xml:space="preserve"> Nr. 339 “</w:t>
            </w:r>
            <w:hyperlink r:id="rId10" w:history="1">
              <w:r w:rsidR="00527BC8" w:rsidRPr="00527BC8">
                <w:rPr>
                  <w:sz w:val="24"/>
                  <w:szCs w:val="24"/>
                </w:rPr>
                <w:t>Par Pulkveža Oskara Kalpaka profesionālās vidusskolas dibināšanu</w:t>
              </w:r>
            </w:hyperlink>
            <w:r w:rsidR="00527BC8" w:rsidRPr="00527BC8">
              <w:rPr>
                <w:sz w:val="24"/>
                <w:szCs w:val="24"/>
              </w:rPr>
              <w:t>”</w:t>
            </w:r>
            <w:r w:rsidR="00527BC8">
              <w:rPr>
                <w:sz w:val="24"/>
                <w:szCs w:val="24"/>
              </w:rPr>
              <w:t xml:space="preserve"> 2.punktu</w:t>
            </w:r>
            <w:r w:rsidR="00527BC8" w:rsidRPr="00527BC8">
              <w:rPr>
                <w:sz w:val="24"/>
                <w:szCs w:val="24"/>
              </w:rPr>
              <w:t xml:space="preserve"> </w:t>
            </w:r>
            <w:r w:rsidR="00BB701F" w:rsidRPr="0033353A">
              <w:rPr>
                <w:sz w:val="24"/>
                <w:szCs w:val="24"/>
              </w:rPr>
              <w:t>tiek nodrošināta no Aizsardzības ministrijai piešķirtajiem valsts budžeta līdzekļiem.</w:t>
            </w:r>
          </w:p>
          <w:p w14:paraId="4D4BCC64" w14:textId="63D36C36" w:rsidR="00961D59" w:rsidRPr="00C61DB8" w:rsidRDefault="0033353A" w:rsidP="00A9733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Ņemot vērā iepriekš minēto </w:t>
            </w:r>
            <w:r w:rsidR="00565F41">
              <w:rPr>
                <w:sz w:val="24"/>
                <w:szCs w:val="24"/>
              </w:rPr>
              <w:t xml:space="preserve">Aizsardzības </w:t>
            </w:r>
            <w:r w:rsidR="00565F41" w:rsidRPr="00C61DB8">
              <w:rPr>
                <w:sz w:val="24"/>
                <w:szCs w:val="24"/>
              </w:rPr>
              <w:t xml:space="preserve">ministrijas </w:t>
            </w:r>
            <w:r w:rsidR="00565F41">
              <w:rPr>
                <w:sz w:val="24"/>
                <w:szCs w:val="24"/>
              </w:rPr>
              <w:t>nolikumu</w:t>
            </w:r>
            <w:r>
              <w:rPr>
                <w:sz w:val="24"/>
                <w:szCs w:val="24"/>
              </w:rPr>
              <w:t xml:space="preserve"> </w:t>
            </w:r>
            <w:r w:rsidR="001676C3" w:rsidRPr="00C61DB8">
              <w:rPr>
                <w:sz w:val="24"/>
                <w:szCs w:val="24"/>
              </w:rPr>
              <w:t xml:space="preserve"> nepiecieša</w:t>
            </w:r>
            <w:r w:rsidR="00542C30">
              <w:rPr>
                <w:sz w:val="24"/>
                <w:szCs w:val="24"/>
              </w:rPr>
              <w:t>ms papildināt ar 25.7</w:t>
            </w:r>
            <w:r w:rsidR="001676C3" w:rsidRPr="00C61DB8">
              <w:rPr>
                <w:sz w:val="24"/>
                <w:szCs w:val="24"/>
              </w:rPr>
              <w:t>. apakšpunktu:</w:t>
            </w:r>
          </w:p>
          <w:p w14:paraId="73F71832" w14:textId="0C1A1956" w:rsidR="00464D3E" w:rsidRPr="00370099" w:rsidRDefault="00A24F69" w:rsidP="00542C30">
            <w:pPr>
              <w:pStyle w:val="ListParagraph"/>
              <w:ind w:left="0" w:firstLine="425"/>
              <w:jc w:val="both"/>
            </w:pPr>
            <w:r>
              <w:rPr>
                <w:sz w:val="24"/>
                <w:szCs w:val="24"/>
              </w:rPr>
              <w:t>“</w:t>
            </w:r>
            <w:r w:rsidR="001676C3" w:rsidRPr="00C61DB8">
              <w:rPr>
                <w:sz w:val="24"/>
                <w:szCs w:val="24"/>
              </w:rPr>
              <w:t>25.</w:t>
            </w:r>
            <w:r w:rsidR="00542C30">
              <w:rPr>
                <w:sz w:val="24"/>
                <w:szCs w:val="24"/>
              </w:rPr>
              <w:t>7</w:t>
            </w:r>
            <w:r w:rsidR="001676C3" w:rsidRPr="00C61DB8">
              <w:rPr>
                <w:sz w:val="24"/>
                <w:szCs w:val="24"/>
              </w:rPr>
              <w:t xml:space="preserve">. </w:t>
            </w:r>
            <w:r w:rsidR="00542C30" w:rsidRPr="00537C1A">
              <w:rPr>
                <w:sz w:val="24"/>
                <w:szCs w:val="24"/>
              </w:rPr>
              <w:t>Pulkveža Oskara Kalpaka profesionālā vidusskola</w:t>
            </w:r>
            <w:r w:rsidR="00167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</w:tc>
      </w:tr>
      <w:tr w:rsidR="00464D3E" w:rsidRPr="001B28D4" w14:paraId="0128F48D" w14:textId="77777777" w:rsidTr="00A97338">
        <w:tc>
          <w:tcPr>
            <w:tcW w:w="311" w:type="pct"/>
            <w:hideMark/>
          </w:tcPr>
          <w:p w14:paraId="5F19F8F6" w14:textId="77777777" w:rsidR="00464D3E" w:rsidRPr="001B28D4" w:rsidRDefault="00464D3E" w:rsidP="00A97338">
            <w:pPr>
              <w:jc w:val="center"/>
            </w:pPr>
            <w:r w:rsidRPr="001B28D4">
              <w:lastRenderedPageBreak/>
              <w:t>3.</w:t>
            </w:r>
          </w:p>
        </w:tc>
        <w:tc>
          <w:tcPr>
            <w:tcW w:w="1479" w:type="pct"/>
            <w:hideMark/>
          </w:tcPr>
          <w:p w14:paraId="0270DF9F" w14:textId="77777777" w:rsidR="00464D3E" w:rsidRPr="001B28D4" w:rsidRDefault="00464D3E" w:rsidP="00A97338">
            <w:r w:rsidRPr="001B28D4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3F3F799B" w14:textId="0665054F" w:rsidR="00464D3E" w:rsidRPr="001B28D4" w:rsidRDefault="00464D3E" w:rsidP="00542C30">
            <w:pPr>
              <w:shd w:val="clear" w:color="auto" w:fill="FFFFFF" w:themeFill="background1"/>
              <w:spacing w:line="276" w:lineRule="auto"/>
              <w:ind w:left="-31"/>
              <w:contextualSpacing/>
            </w:pPr>
            <w:r>
              <w:t>Aizsardzības ministrija</w:t>
            </w:r>
            <w:r w:rsidR="005D5906">
              <w:t>.</w:t>
            </w:r>
          </w:p>
        </w:tc>
      </w:tr>
      <w:tr w:rsidR="00464D3E" w:rsidRPr="001B28D4" w14:paraId="3D263A86" w14:textId="77777777" w:rsidTr="00A97338">
        <w:tc>
          <w:tcPr>
            <w:tcW w:w="311" w:type="pct"/>
            <w:hideMark/>
          </w:tcPr>
          <w:p w14:paraId="1B3A630C" w14:textId="77777777" w:rsidR="00464D3E" w:rsidRPr="001B28D4" w:rsidRDefault="00464D3E" w:rsidP="00A97338">
            <w:pPr>
              <w:jc w:val="center"/>
            </w:pPr>
            <w:r w:rsidRPr="001B28D4">
              <w:t>4.</w:t>
            </w:r>
          </w:p>
        </w:tc>
        <w:tc>
          <w:tcPr>
            <w:tcW w:w="1479" w:type="pct"/>
            <w:hideMark/>
          </w:tcPr>
          <w:p w14:paraId="29F68214" w14:textId="77777777" w:rsidR="00464D3E" w:rsidRPr="001B28D4" w:rsidRDefault="00464D3E" w:rsidP="00A97338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34B920A5" w14:textId="76216E02" w:rsidR="00464D3E" w:rsidRPr="001B28D4" w:rsidRDefault="003A6628" w:rsidP="00C61DB8">
            <w:pPr>
              <w:jc w:val="both"/>
            </w:pPr>
            <w:r>
              <w:t>Nav</w:t>
            </w:r>
          </w:p>
        </w:tc>
      </w:tr>
    </w:tbl>
    <w:p w14:paraId="7EA005AF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170CB0D5" w14:textId="77777777" w:rsidTr="00A97338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C071710" w14:textId="77777777" w:rsidR="00464D3E" w:rsidRPr="00C61DB8" w:rsidRDefault="00464D3E" w:rsidP="00684203">
            <w:pPr>
              <w:jc w:val="center"/>
            </w:pPr>
            <w:r w:rsidRPr="001B28D4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464D3E" w:rsidRPr="001B28D4" w14:paraId="7E30C742" w14:textId="77777777" w:rsidTr="00A97338">
        <w:trPr>
          <w:cantSplit/>
        </w:trPr>
        <w:tc>
          <w:tcPr>
            <w:tcW w:w="311" w:type="pct"/>
            <w:hideMark/>
          </w:tcPr>
          <w:p w14:paraId="5CE8A40F" w14:textId="77777777" w:rsidR="00464D3E" w:rsidRPr="001B28D4" w:rsidRDefault="00464D3E" w:rsidP="00A97338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63EAB4A1" w14:textId="77777777" w:rsidR="00464D3E" w:rsidRPr="00C61DB8" w:rsidRDefault="00464D3E" w:rsidP="00684203">
            <w:r w:rsidRPr="001B28D4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3E2074E2" w14:textId="3F12ED8F" w:rsidR="00464D3E" w:rsidRPr="001B28D4" w:rsidRDefault="00005CF2" w:rsidP="00005CF2">
            <w:pPr>
              <w:jc w:val="both"/>
            </w:pPr>
            <w:r>
              <w:t>Sabiedrības mērķgrupas, kuru tiesiskais regulējums varētu tikt ietekmēts, izanalizēts, izdodot Ministru kabineta 2021.gada</w:t>
            </w:r>
            <w:r w:rsidR="00527BC8">
              <w:t xml:space="preserve"> </w:t>
            </w:r>
            <w:r>
              <w:t>18 maija noteikumus Nr.312 “</w:t>
            </w:r>
            <w:r w:rsidRPr="00537C1A">
              <w:t>Pulkveža Oskara Kalpaka profesionālās vidusskolas nolikums”</w:t>
            </w:r>
            <w:r w:rsidR="00241E25">
              <w:t>.</w:t>
            </w:r>
            <w:r>
              <w:t xml:space="preserve"> </w:t>
            </w:r>
          </w:p>
        </w:tc>
      </w:tr>
      <w:tr w:rsidR="00464D3E" w:rsidRPr="001B28D4" w14:paraId="147A7765" w14:textId="77777777" w:rsidTr="00A97338">
        <w:trPr>
          <w:cantSplit/>
        </w:trPr>
        <w:tc>
          <w:tcPr>
            <w:tcW w:w="311" w:type="pct"/>
            <w:hideMark/>
          </w:tcPr>
          <w:p w14:paraId="305921EB" w14:textId="77777777" w:rsidR="00464D3E" w:rsidRPr="001B28D4" w:rsidRDefault="00464D3E" w:rsidP="00A97338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6677006C" w14:textId="77777777" w:rsidR="00464D3E" w:rsidRPr="00C61DB8" w:rsidRDefault="00464D3E" w:rsidP="00684203">
            <w:r w:rsidRPr="001B28D4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7E581715" w14:textId="02978CEA" w:rsidR="00464D3E" w:rsidRPr="001B28D4" w:rsidRDefault="00533FA6" w:rsidP="00A97338">
            <w:pPr>
              <w:jc w:val="both"/>
            </w:pPr>
            <w:r>
              <w:t>S</w:t>
            </w:r>
            <w:r w:rsidR="00A84828" w:rsidRPr="00533FA6">
              <w:t>abiedrības grupām un institūcijām projekta tiesiskais regulējums nemaina tiesības un pienākumus, kā arī veicamās darbības</w:t>
            </w:r>
          </w:p>
        </w:tc>
      </w:tr>
      <w:tr w:rsidR="00464D3E" w:rsidRPr="001B28D4" w14:paraId="5F6F7F4D" w14:textId="77777777" w:rsidTr="00A97338">
        <w:trPr>
          <w:cantSplit/>
        </w:trPr>
        <w:tc>
          <w:tcPr>
            <w:tcW w:w="311" w:type="pct"/>
            <w:hideMark/>
          </w:tcPr>
          <w:p w14:paraId="39430D6C" w14:textId="77777777" w:rsidR="00464D3E" w:rsidRPr="001B28D4" w:rsidRDefault="00464D3E" w:rsidP="00A97338">
            <w:pPr>
              <w:jc w:val="center"/>
            </w:pPr>
            <w:r w:rsidRPr="001B28D4">
              <w:t>3.</w:t>
            </w:r>
          </w:p>
        </w:tc>
        <w:tc>
          <w:tcPr>
            <w:tcW w:w="1479" w:type="pct"/>
            <w:hideMark/>
          </w:tcPr>
          <w:p w14:paraId="5C66B6C2" w14:textId="77777777" w:rsidR="00464D3E" w:rsidRPr="00C61DB8" w:rsidRDefault="00464D3E" w:rsidP="00C61DB8">
            <w:r w:rsidRPr="001B28D4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6B7E181A" w14:textId="757C787E" w:rsidR="00464D3E" w:rsidRPr="001B28D4" w:rsidRDefault="00533FA6" w:rsidP="00533FA6">
            <w:r w:rsidRPr="001B28D4">
              <w:t>Projekts šo jomu neskar.</w:t>
            </w:r>
            <w:r w:rsidR="00241E25">
              <w:t xml:space="preserve"> </w:t>
            </w:r>
          </w:p>
        </w:tc>
      </w:tr>
      <w:tr w:rsidR="00464D3E" w:rsidRPr="001B28D4" w14:paraId="14C5B530" w14:textId="77777777" w:rsidTr="00A97338">
        <w:trPr>
          <w:cantSplit/>
        </w:trPr>
        <w:tc>
          <w:tcPr>
            <w:tcW w:w="311" w:type="pct"/>
            <w:hideMark/>
          </w:tcPr>
          <w:p w14:paraId="53738F81" w14:textId="77777777" w:rsidR="00464D3E" w:rsidRPr="001B28D4" w:rsidRDefault="00464D3E" w:rsidP="00A97338">
            <w:pPr>
              <w:jc w:val="center"/>
            </w:pPr>
            <w:r w:rsidRPr="001B28D4">
              <w:t>4.</w:t>
            </w:r>
          </w:p>
        </w:tc>
        <w:tc>
          <w:tcPr>
            <w:tcW w:w="1479" w:type="pct"/>
            <w:hideMark/>
          </w:tcPr>
          <w:p w14:paraId="13551C3C" w14:textId="77777777" w:rsidR="00464D3E" w:rsidRPr="001B28D4" w:rsidRDefault="00464D3E" w:rsidP="00A97338">
            <w:r w:rsidRPr="001B28D4">
              <w:t>Atbilstības izmaksu monetārs novērtējums</w:t>
            </w:r>
          </w:p>
        </w:tc>
        <w:tc>
          <w:tcPr>
            <w:tcW w:w="3210" w:type="pct"/>
            <w:hideMark/>
          </w:tcPr>
          <w:p w14:paraId="4328F181" w14:textId="77777777" w:rsidR="00464D3E" w:rsidRPr="001B28D4" w:rsidRDefault="00464D3E" w:rsidP="00A97338">
            <w:r w:rsidRPr="001B28D4">
              <w:t>Projekts šo jomu neskar.</w:t>
            </w:r>
          </w:p>
        </w:tc>
      </w:tr>
      <w:tr w:rsidR="00464D3E" w:rsidRPr="001B28D4" w14:paraId="1424874B" w14:textId="77777777" w:rsidTr="00A97338">
        <w:trPr>
          <w:cantSplit/>
        </w:trPr>
        <w:tc>
          <w:tcPr>
            <w:tcW w:w="311" w:type="pct"/>
            <w:hideMark/>
          </w:tcPr>
          <w:p w14:paraId="7FC4A54F" w14:textId="77777777" w:rsidR="00464D3E" w:rsidRPr="001B28D4" w:rsidRDefault="00464D3E" w:rsidP="00A97338">
            <w:pPr>
              <w:jc w:val="center"/>
            </w:pPr>
            <w:r w:rsidRPr="001B28D4">
              <w:t>5.</w:t>
            </w:r>
          </w:p>
        </w:tc>
        <w:tc>
          <w:tcPr>
            <w:tcW w:w="1479" w:type="pct"/>
            <w:hideMark/>
          </w:tcPr>
          <w:p w14:paraId="3606D4B7" w14:textId="77777777" w:rsidR="00464D3E" w:rsidRPr="001B28D4" w:rsidRDefault="00464D3E" w:rsidP="00A97338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3F1B44A0" w14:textId="77777777" w:rsidR="00464D3E" w:rsidRPr="001B28D4" w:rsidRDefault="00464D3E" w:rsidP="00A97338">
            <w:r w:rsidRPr="001B28D4">
              <w:t>Nav</w:t>
            </w:r>
          </w:p>
        </w:tc>
      </w:tr>
    </w:tbl>
    <w:p w14:paraId="58670191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4C030999" w14:textId="77777777" w:rsidTr="00A97338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02B3EFCC" w14:textId="77777777" w:rsidR="00464D3E" w:rsidRPr="001B28D4" w:rsidRDefault="00464D3E" w:rsidP="00A97338">
            <w:pPr>
              <w:jc w:val="center"/>
              <w:rPr>
                <w:b/>
                <w:bCs/>
                <w:lang w:eastAsia="en-US"/>
              </w:rPr>
            </w:pPr>
            <w:r w:rsidRPr="001B28D4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464D3E" w:rsidRPr="001B28D4" w14:paraId="6C50F584" w14:textId="77777777" w:rsidTr="00A97338">
        <w:trPr>
          <w:cantSplit/>
        </w:trPr>
        <w:tc>
          <w:tcPr>
            <w:tcW w:w="8299" w:type="dxa"/>
            <w:shd w:val="clear" w:color="auto" w:fill="FFFFFF"/>
            <w:vAlign w:val="center"/>
          </w:tcPr>
          <w:p w14:paraId="2B941E08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78E7B645" w14:textId="77777777" w:rsidR="00464D3E" w:rsidRPr="001B28D4" w:rsidRDefault="00464D3E" w:rsidP="00464D3E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32DEA8C8" w14:textId="77777777" w:rsidTr="00A97338">
        <w:trPr>
          <w:cantSplit/>
        </w:trPr>
        <w:tc>
          <w:tcPr>
            <w:tcW w:w="8299" w:type="dxa"/>
            <w:vAlign w:val="center"/>
            <w:hideMark/>
          </w:tcPr>
          <w:p w14:paraId="6C4875DE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64D3E" w:rsidRPr="001B28D4" w14:paraId="7BC03954" w14:textId="77777777" w:rsidTr="00A9733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8299" w:type="dxa"/>
            <w:shd w:val="clear" w:color="auto" w:fill="FFFFFF"/>
            <w:vAlign w:val="center"/>
          </w:tcPr>
          <w:p w14:paraId="22FDC01F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18644414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2EB7875E" w14:textId="77777777" w:rsidTr="00A97338">
        <w:trPr>
          <w:cantSplit/>
        </w:trPr>
        <w:tc>
          <w:tcPr>
            <w:tcW w:w="5000" w:type="pct"/>
            <w:vAlign w:val="center"/>
            <w:hideMark/>
          </w:tcPr>
          <w:p w14:paraId="599470C8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64D3E" w:rsidRPr="001B28D4" w14:paraId="56E3A87B" w14:textId="77777777" w:rsidTr="00A9733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shd w:val="clear" w:color="auto" w:fill="FFFFFF"/>
            <w:vAlign w:val="center"/>
          </w:tcPr>
          <w:p w14:paraId="51D0EB67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76C35D42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345E0580" w14:textId="77777777" w:rsidTr="00A97338">
        <w:trPr>
          <w:cantSplit/>
        </w:trPr>
        <w:tc>
          <w:tcPr>
            <w:tcW w:w="5000" w:type="pct"/>
            <w:vAlign w:val="center"/>
            <w:hideMark/>
          </w:tcPr>
          <w:p w14:paraId="3FDDA05E" w14:textId="77777777" w:rsidR="00464D3E" w:rsidRPr="001B28D4" w:rsidRDefault="00464D3E" w:rsidP="00A97338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VI. Sabiedrības līdzdalība un komunikācijas aktivitātes</w:t>
            </w:r>
          </w:p>
        </w:tc>
      </w:tr>
      <w:tr w:rsidR="00464D3E" w:rsidRPr="001B28D4" w14:paraId="75BDFAD3" w14:textId="77777777" w:rsidTr="00A97338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shd w:val="clear" w:color="auto" w:fill="FFFFFF"/>
            <w:vAlign w:val="center"/>
          </w:tcPr>
          <w:p w14:paraId="1605C0B1" w14:textId="77777777" w:rsidR="00464D3E" w:rsidRPr="001B28D4" w:rsidRDefault="00464D3E" w:rsidP="00A97338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144C5728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6F37F753" w14:textId="77777777" w:rsidTr="00A97338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FB85F97" w14:textId="77777777" w:rsidR="00464D3E" w:rsidRPr="001B28D4" w:rsidRDefault="00464D3E" w:rsidP="00A97338">
            <w:pPr>
              <w:jc w:val="center"/>
            </w:pPr>
            <w:r w:rsidRPr="001B28D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464D3E" w:rsidRPr="001B28D4" w14:paraId="6E3BF28B" w14:textId="77777777" w:rsidTr="00A97338">
        <w:trPr>
          <w:cantSplit/>
        </w:trPr>
        <w:tc>
          <w:tcPr>
            <w:tcW w:w="311" w:type="pct"/>
            <w:hideMark/>
          </w:tcPr>
          <w:p w14:paraId="51181254" w14:textId="77777777" w:rsidR="00464D3E" w:rsidRPr="001B28D4" w:rsidRDefault="00464D3E" w:rsidP="00A97338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2383FF01" w14:textId="77777777" w:rsidR="00464D3E" w:rsidRPr="001B28D4" w:rsidRDefault="00464D3E" w:rsidP="00A97338">
            <w:r w:rsidRPr="001B28D4">
              <w:t>Projekta izpildē iesaistītās institūcijas</w:t>
            </w:r>
          </w:p>
        </w:tc>
        <w:tc>
          <w:tcPr>
            <w:tcW w:w="3210" w:type="pct"/>
            <w:hideMark/>
          </w:tcPr>
          <w:p w14:paraId="19DA7EB7" w14:textId="40484637" w:rsidR="00464D3E" w:rsidRPr="001B28D4" w:rsidRDefault="00B62CAC" w:rsidP="00A97338">
            <w:pPr>
              <w:shd w:val="clear" w:color="auto" w:fill="FFFFFF" w:themeFill="background1"/>
              <w:spacing w:line="276" w:lineRule="auto"/>
              <w:ind w:left="-31"/>
              <w:contextualSpacing/>
            </w:pPr>
            <w:r w:rsidRPr="00537C1A">
              <w:t>Pulkv</w:t>
            </w:r>
            <w:r w:rsidR="00015A15">
              <w:t>eža Oskara Kalpaka profesionālā</w:t>
            </w:r>
            <w:r w:rsidRPr="00537C1A">
              <w:t xml:space="preserve"> vidusskola</w:t>
            </w:r>
          </w:p>
        </w:tc>
      </w:tr>
      <w:tr w:rsidR="00464D3E" w:rsidRPr="001B28D4" w14:paraId="1FFAC87E" w14:textId="77777777" w:rsidTr="00A97338">
        <w:trPr>
          <w:cantSplit/>
        </w:trPr>
        <w:tc>
          <w:tcPr>
            <w:tcW w:w="311" w:type="pct"/>
            <w:hideMark/>
          </w:tcPr>
          <w:p w14:paraId="0CD4A3F4" w14:textId="77777777" w:rsidR="00464D3E" w:rsidRPr="001B28D4" w:rsidRDefault="00464D3E" w:rsidP="00A97338">
            <w:pPr>
              <w:jc w:val="center"/>
            </w:pPr>
            <w:r w:rsidRPr="001B28D4">
              <w:lastRenderedPageBreak/>
              <w:t>2.</w:t>
            </w:r>
          </w:p>
        </w:tc>
        <w:tc>
          <w:tcPr>
            <w:tcW w:w="1479" w:type="pct"/>
            <w:hideMark/>
          </w:tcPr>
          <w:p w14:paraId="54A27904" w14:textId="77777777" w:rsidR="00464D3E" w:rsidRPr="001B28D4" w:rsidRDefault="00464D3E" w:rsidP="00A97338">
            <w:r w:rsidRPr="001B28D4">
              <w:t>Projekta izpildes ietekme uz pārvaldes funkcijām un institucionālo struktūru.</w:t>
            </w:r>
            <w:r w:rsidRPr="001B28D4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78098330" w14:textId="72523BEE" w:rsidR="00464D3E" w:rsidRPr="001B28D4" w:rsidRDefault="004F00AF" w:rsidP="004F00AF">
            <w:pPr>
              <w:shd w:val="clear" w:color="auto" w:fill="FFFFFF" w:themeFill="background1"/>
              <w:spacing w:line="276" w:lineRule="auto"/>
              <w:ind w:left="-31"/>
              <w:contextualSpacing/>
              <w:jc w:val="both"/>
            </w:pPr>
            <w:r>
              <w:t xml:space="preserve">Dibināta </w:t>
            </w:r>
            <w:r w:rsidRPr="00537C1A">
              <w:t>Pulkv</w:t>
            </w:r>
            <w:r>
              <w:t>eža Oskara Kalpaka profesionālā</w:t>
            </w:r>
            <w:r w:rsidRPr="00537C1A">
              <w:t xml:space="preserve"> vidusskola</w:t>
            </w:r>
            <w:r>
              <w:t>, bet Aizsardzības ministrijas cilvēkresursi saistībā ar to netiek mainīti.</w:t>
            </w:r>
          </w:p>
        </w:tc>
      </w:tr>
      <w:tr w:rsidR="00464D3E" w:rsidRPr="001B28D4" w14:paraId="5F56BA0D" w14:textId="77777777" w:rsidTr="00A97338">
        <w:trPr>
          <w:cantSplit/>
        </w:trPr>
        <w:tc>
          <w:tcPr>
            <w:tcW w:w="311" w:type="pct"/>
            <w:hideMark/>
          </w:tcPr>
          <w:p w14:paraId="72EA4D95" w14:textId="77777777" w:rsidR="00464D3E" w:rsidRPr="001B28D4" w:rsidRDefault="00464D3E" w:rsidP="00A97338">
            <w:pPr>
              <w:jc w:val="center"/>
            </w:pPr>
            <w:r w:rsidRPr="001B28D4">
              <w:t>3.</w:t>
            </w:r>
          </w:p>
        </w:tc>
        <w:tc>
          <w:tcPr>
            <w:tcW w:w="1479" w:type="pct"/>
            <w:hideMark/>
          </w:tcPr>
          <w:p w14:paraId="21AF35BB" w14:textId="77777777" w:rsidR="00464D3E" w:rsidRPr="001B28D4" w:rsidRDefault="00464D3E" w:rsidP="00A97338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59AD104A" w14:textId="77777777" w:rsidR="00464D3E" w:rsidRPr="001B28D4" w:rsidRDefault="00464D3E" w:rsidP="00A97338">
            <w:r w:rsidRPr="001B28D4">
              <w:t>Nav</w:t>
            </w:r>
          </w:p>
        </w:tc>
      </w:tr>
    </w:tbl>
    <w:p w14:paraId="1D2C7664" w14:textId="77777777" w:rsidR="00464D3E" w:rsidRPr="001B28D4" w:rsidRDefault="00464D3E" w:rsidP="00464D3E"/>
    <w:p w14:paraId="4DC6A2DC" w14:textId="77777777" w:rsidR="00464D3E" w:rsidRPr="001B28D4" w:rsidRDefault="00464D3E" w:rsidP="00464D3E">
      <w:pPr>
        <w:jc w:val="both"/>
        <w:rPr>
          <w:bCs/>
        </w:rPr>
      </w:pPr>
    </w:p>
    <w:p w14:paraId="5862A52B" w14:textId="77777777" w:rsidR="00464D3E" w:rsidRPr="001B28D4" w:rsidRDefault="00464D3E" w:rsidP="00464D3E">
      <w:pPr>
        <w:jc w:val="both"/>
        <w:rPr>
          <w:bCs/>
        </w:rPr>
      </w:pPr>
    </w:p>
    <w:p w14:paraId="52ED628B" w14:textId="13B75581" w:rsidR="00D63AB0" w:rsidRPr="001B28D4" w:rsidRDefault="00D63AB0" w:rsidP="00D63AB0">
      <w:pPr>
        <w:jc w:val="both"/>
        <w:rPr>
          <w:bCs/>
        </w:rPr>
      </w:pPr>
      <w:r>
        <w:rPr>
          <w:bCs/>
        </w:rPr>
        <w:t>Iesniedzējs:</w:t>
      </w:r>
      <w:bookmarkStart w:id="0" w:name="_GoBack"/>
      <w:bookmarkEnd w:id="0"/>
    </w:p>
    <w:p w14:paraId="77EA415D" w14:textId="77777777" w:rsidR="00D63AB0" w:rsidRPr="004016A5" w:rsidRDefault="00D63AB0" w:rsidP="00D63AB0">
      <w:pPr>
        <w:jc w:val="both"/>
        <w:rPr>
          <w:lang w:eastAsia="zh-TW"/>
        </w:rPr>
      </w:pPr>
      <w:r w:rsidRPr="004016A5">
        <w:rPr>
          <w:lang w:eastAsia="zh-TW"/>
        </w:rPr>
        <w:t xml:space="preserve">Ministru prezidenta biedrs, </w:t>
      </w:r>
    </w:p>
    <w:p w14:paraId="70DA88F0" w14:textId="77777777" w:rsidR="00D63AB0" w:rsidRPr="004016A5" w:rsidRDefault="00D63AB0" w:rsidP="00D63AB0">
      <w:pPr>
        <w:jc w:val="both"/>
        <w:rPr>
          <w:lang w:eastAsia="zh-TW"/>
        </w:rPr>
      </w:pPr>
      <w:r>
        <w:rPr>
          <w:lang w:eastAsia="zh-TW"/>
        </w:rPr>
        <w:t>a</w:t>
      </w:r>
      <w:r w:rsidRPr="004016A5">
        <w:rPr>
          <w:lang w:eastAsia="zh-TW"/>
        </w:rPr>
        <w:t>izsardzības ministrs </w:t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r>
        <w:rPr>
          <w:lang w:eastAsia="zh-TW"/>
        </w:rPr>
        <w:tab/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r w:rsidRPr="004016A5">
        <w:rPr>
          <w:lang w:eastAsia="zh-TW"/>
        </w:rPr>
        <w:tab/>
        <w:t>A.Pabriks</w:t>
      </w:r>
    </w:p>
    <w:p w14:paraId="0AC45EA5" w14:textId="77777777" w:rsidR="00D63AB0" w:rsidRDefault="00D63AB0" w:rsidP="00D63AB0"/>
    <w:p w14:paraId="2A6F925F" w14:textId="2A535563" w:rsidR="00D63AB0" w:rsidRPr="004016A5" w:rsidRDefault="00565F41" w:rsidP="00D63AB0">
      <w:r>
        <w:t>Vīza: Valsts sekretār</w:t>
      </w:r>
      <w:r w:rsidR="00D63AB0">
        <w:t xml:space="preserve">s: </w:t>
      </w:r>
      <w:r w:rsidR="00D63AB0">
        <w:tab/>
      </w:r>
      <w:r>
        <w:t xml:space="preserve">   </w:t>
      </w:r>
      <w:r>
        <w:tab/>
      </w:r>
      <w:r w:rsidR="00D63AB0">
        <w:tab/>
      </w:r>
      <w:r w:rsidR="00D63AB0">
        <w:tab/>
      </w:r>
      <w:r w:rsidR="00D63AB0">
        <w:tab/>
      </w:r>
      <w:r w:rsidR="00D63AB0">
        <w:tab/>
      </w:r>
      <w:r>
        <w:t>J.Garisons</w:t>
      </w:r>
    </w:p>
    <w:p w14:paraId="5C26002B" w14:textId="77777777" w:rsidR="00464D3E" w:rsidRDefault="00464D3E" w:rsidP="00464D3E">
      <w:pPr>
        <w:rPr>
          <w:sz w:val="20"/>
          <w:szCs w:val="20"/>
        </w:rPr>
      </w:pPr>
    </w:p>
    <w:p w14:paraId="38E153DA" w14:textId="77777777" w:rsidR="00464D3E" w:rsidRDefault="00464D3E" w:rsidP="00464D3E">
      <w:pPr>
        <w:rPr>
          <w:sz w:val="20"/>
          <w:szCs w:val="20"/>
        </w:rPr>
      </w:pPr>
    </w:p>
    <w:p w14:paraId="375AB10E" w14:textId="77777777" w:rsidR="00464D3E" w:rsidRDefault="00464D3E" w:rsidP="00464D3E">
      <w:pPr>
        <w:rPr>
          <w:sz w:val="20"/>
          <w:szCs w:val="20"/>
        </w:rPr>
      </w:pPr>
    </w:p>
    <w:p w14:paraId="2D473E47" w14:textId="77777777" w:rsidR="00464D3E" w:rsidRDefault="00464D3E" w:rsidP="00464D3E">
      <w:pPr>
        <w:rPr>
          <w:sz w:val="20"/>
          <w:szCs w:val="20"/>
        </w:rPr>
      </w:pPr>
    </w:p>
    <w:p w14:paraId="212CFB9E" w14:textId="77777777" w:rsidR="00464D3E" w:rsidRPr="00565F41" w:rsidRDefault="00464D3E" w:rsidP="00464D3E">
      <w:pPr>
        <w:rPr>
          <w:sz w:val="16"/>
          <w:szCs w:val="16"/>
        </w:rPr>
      </w:pPr>
      <w:r w:rsidRPr="00565F41">
        <w:rPr>
          <w:sz w:val="16"/>
          <w:szCs w:val="16"/>
        </w:rPr>
        <w:t>Daiga Ceiziņa,67335244</w:t>
      </w:r>
    </w:p>
    <w:p w14:paraId="55BD9D5C" w14:textId="77777777" w:rsidR="00464D3E" w:rsidRPr="00CA7B83" w:rsidRDefault="003C7BC9" w:rsidP="00464D3E">
      <w:pPr>
        <w:rPr>
          <w:sz w:val="20"/>
          <w:szCs w:val="20"/>
        </w:rPr>
      </w:pPr>
      <w:hyperlink r:id="rId11" w:history="1">
        <w:r w:rsidR="00464D3E" w:rsidRPr="00565F41">
          <w:rPr>
            <w:rStyle w:val="Hyperlink"/>
            <w:sz w:val="16"/>
            <w:szCs w:val="16"/>
          </w:rPr>
          <w:t>Daiga.Ceiziņa@mod.gov.lv</w:t>
        </w:r>
      </w:hyperlink>
    </w:p>
    <w:p w14:paraId="664ABEC4" w14:textId="77777777" w:rsidR="008A75BB" w:rsidRDefault="008A75BB"/>
    <w:sectPr w:rsidR="008A75BB" w:rsidSect="006A37E3">
      <w:headerReference w:type="default" r:id="rId12"/>
      <w:footerReference w:type="default" r:id="rId13"/>
      <w:footerReference w:type="first" r:id="rId14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8057" w14:textId="77777777" w:rsidR="001E61F2" w:rsidRDefault="003D3C9C">
      <w:r>
        <w:separator/>
      </w:r>
    </w:p>
  </w:endnote>
  <w:endnote w:type="continuationSeparator" w:id="0">
    <w:p w14:paraId="52EB372D" w14:textId="77777777" w:rsidR="001E61F2" w:rsidRDefault="003D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55F3" w14:textId="029B97DF" w:rsidR="001953AB" w:rsidRPr="001953AB" w:rsidRDefault="001953AB" w:rsidP="001953AB">
    <w:pPr>
      <w:pStyle w:val="Footer"/>
    </w:pPr>
    <w:r>
      <w:t>AiManot_100821_Not236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3A37" w14:textId="77777777" w:rsidR="00D64F0D" w:rsidRDefault="003C7BC9" w:rsidP="00D64F0D">
    <w:pPr>
      <w:pStyle w:val="Header"/>
    </w:pPr>
  </w:p>
  <w:p w14:paraId="42BB0900" w14:textId="77777777" w:rsidR="00D64F0D" w:rsidRDefault="003C7BC9" w:rsidP="00D64F0D"/>
  <w:p w14:paraId="1C55279C" w14:textId="77777777" w:rsidR="00D64F0D" w:rsidRDefault="003C7BC9" w:rsidP="00D64F0D">
    <w:pPr>
      <w:pStyle w:val="Footer"/>
    </w:pPr>
  </w:p>
  <w:p w14:paraId="09DD40A6" w14:textId="77777777" w:rsidR="00D64F0D" w:rsidRDefault="003C7BC9" w:rsidP="00D64F0D"/>
  <w:p w14:paraId="01B487EE" w14:textId="45921D29" w:rsidR="001953AB" w:rsidRDefault="005D5906" w:rsidP="005423A8">
    <w:pPr>
      <w:pStyle w:val="Footer"/>
    </w:pPr>
    <w:r>
      <w:t>AiManot</w:t>
    </w:r>
    <w:r w:rsidR="00C61DB8">
      <w:t>_</w:t>
    </w:r>
    <w:r w:rsidR="001953AB">
      <w:t>100821</w:t>
    </w:r>
    <w:r w:rsidR="0073770B">
      <w:t>_N</w:t>
    </w:r>
    <w:r w:rsidR="005423A8">
      <w:t>ot236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4800" w14:textId="77777777" w:rsidR="001E61F2" w:rsidRDefault="003D3C9C">
      <w:r>
        <w:separator/>
      </w:r>
    </w:p>
  </w:footnote>
  <w:footnote w:type="continuationSeparator" w:id="0">
    <w:p w14:paraId="3E903A3C" w14:textId="77777777" w:rsidR="001E61F2" w:rsidRDefault="003D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9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E757E" w14:textId="104430FB" w:rsidR="006A37E3" w:rsidRDefault="005D59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BE272F" w14:textId="77777777" w:rsidR="006A37E3" w:rsidRDefault="003C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C60"/>
    <w:multiLevelType w:val="hybridMultilevel"/>
    <w:tmpl w:val="89027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F"/>
    <w:rsid w:val="00005CF2"/>
    <w:rsid w:val="00015A15"/>
    <w:rsid w:val="001542AA"/>
    <w:rsid w:val="001676C3"/>
    <w:rsid w:val="001953AB"/>
    <w:rsid w:val="001B1B2F"/>
    <w:rsid w:val="001E61F2"/>
    <w:rsid w:val="00223C1C"/>
    <w:rsid w:val="00241E25"/>
    <w:rsid w:val="002A70BF"/>
    <w:rsid w:val="0033353A"/>
    <w:rsid w:val="00370099"/>
    <w:rsid w:val="003A6628"/>
    <w:rsid w:val="003A6FF9"/>
    <w:rsid w:val="003C7BC9"/>
    <w:rsid w:val="003D3C9C"/>
    <w:rsid w:val="00464D3E"/>
    <w:rsid w:val="004F00AF"/>
    <w:rsid w:val="00527BC8"/>
    <w:rsid w:val="00533FA6"/>
    <w:rsid w:val="00537C1A"/>
    <w:rsid w:val="005423A8"/>
    <w:rsid w:val="00542C30"/>
    <w:rsid w:val="0056352C"/>
    <w:rsid w:val="00565F41"/>
    <w:rsid w:val="005D497E"/>
    <w:rsid w:val="005D5906"/>
    <w:rsid w:val="00684203"/>
    <w:rsid w:val="00696A45"/>
    <w:rsid w:val="006C04E2"/>
    <w:rsid w:val="0073770B"/>
    <w:rsid w:val="007944BF"/>
    <w:rsid w:val="00835847"/>
    <w:rsid w:val="00844B0C"/>
    <w:rsid w:val="008A75BB"/>
    <w:rsid w:val="008C3DC4"/>
    <w:rsid w:val="00900594"/>
    <w:rsid w:val="00953C24"/>
    <w:rsid w:val="00961D59"/>
    <w:rsid w:val="009B4CFB"/>
    <w:rsid w:val="009F6D0F"/>
    <w:rsid w:val="00A24F69"/>
    <w:rsid w:val="00A84828"/>
    <w:rsid w:val="00B236D0"/>
    <w:rsid w:val="00B3150A"/>
    <w:rsid w:val="00B62CAC"/>
    <w:rsid w:val="00BB701F"/>
    <w:rsid w:val="00BC12C0"/>
    <w:rsid w:val="00C61DB8"/>
    <w:rsid w:val="00D237D7"/>
    <w:rsid w:val="00D63AB0"/>
    <w:rsid w:val="00DF3C7F"/>
    <w:rsid w:val="00F02D39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8D64"/>
  <w15:chartTrackingRefBased/>
  <w15:docId w15:val="{897DD4DC-71AD-4CCE-AEB3-D7FF00A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64D3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4D3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itle">
    <w:name w:val="Title"/>
    <w:basedOn w:val="Normal"/>
    <w:link w:val="TitleChar"/>
    <w:qFormat/>
    <w:rsid w:val="00464D3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4D3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64D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4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  <w:rPr>
      <w:rFonts w:cs="Arial Unicode MS"/>
      <w:sz w:val="20"/>
      <w:szCs w:val="20"/>
      <w:lang w:eastAsia="en-US"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464D3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61DB8"/>
  </w:style>
  <w:style w:type="character" w:styleId="CommentReference">
    <w:name w:val="annotation reference"/>
    <w:basedOn w:val="DefaultParagraphFont"/>
    <w:uiPriority w:val="99"/>
    <w:semiHidden/>
    <w:unhideWhenUsed/>
    <w:rsid w:val="001B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2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liknoteik">
    <w:name w:val="lik_noteik"/>
    <w:basedOn w:val="Normal"/>
    <w:rsid w:val="00BC12C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BC12C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C1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3334-par-pulkveza-oskara-kalpaka-profesionalas-vidusskolas-dibinasan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74716-aizsardzibas-ministrijas-no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ga.Ceizi&#326;a@mo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23334-par-pulkveza-oskara-kalpaka-profesionalas-vidusskolas-dibinasa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23333-pulkveza-oskara-kalpaka-profesionalas-vidusskolas-no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Irina Zeigliša</cp:lastModifiedBy>
  <cp:revision>15</cp:revision>
  <cp:lastPrinted>2020-11-10T14:28:00Z</cp:lastPrinted>
  <dcterms:created xsi:type="dcterms:W3CDTF">2021-07-27T10:03:00Z</dcterms:created>
  <dcterms:modified xsi:type="dcterms:W3CDTF">2021-08-31T14:24:00Z</dcterms:modified>
</cp:coreProperties>
</file>