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3ADE8" w14:textId="77777777" w:rsidR="007116C7" w:rsidRPr="00DB1CE6" w:rsidRDefault="007116C7" w:rsidP="00DB7395">
      <w:pPr>
        <w:pStyle w:val="naisnod"/>
        <w:spacing w:before="0" w:after="0"/>
        <w:ind w:firstLine="720"/>
        <w:rPr>
          <w:sz w:val="26"/>
          <w:szCs w:val="26"/>
        </w:rPr>
      </w:pPr>
      <w:bookmarkStart w:id="0" w:name="_GoBack"/>
      <w:bookmarkEnd w:id="0"/>
      <w:r w:rsidRPr="00DB1CE6">
        <w:rPr>
          <w:sz w:val="26"/>
          <w:szCs w:val="26"/>
        </w:rPr>
        <w:t>Izziņa par atzinumos sniegtajiem iebildumiem</w:t>
      </w:r>
      <w:r w:rsidR="004F5E72" w:rsidRPr="00DB1CE6">
        <w:rPr>
          <w:sz w:val="26"/>
          <w:szCs w:val="26"/>
        </w:rPr>
        <w:t xml:space="preserve"> par Ministru kabineta noteikumu projektu </w:t>
      </w:r>
      <w:r w:rsidR="000F0F0F">
        <w:rPr>
          <w:sz w:val="26"/>
          <w:szCs w:val="26"/>
        </w:rPr>
        <w:t>“</w:t>
      </w:r>
      <w:r w:rsidR="000F0F0F" w:rsidRPr="0057507C">
        <w:rPr>
          <w:sz w:val="26"/>
          <w:szCs w:val="26"/>
        </w:rPr>
        <w:t>Noteikumi par paziņojumā par fiziskajai personai izmaksātajām summām iekļaujamo informāciju</w:t>
      </w:r>
      <w:r w:rsidR="000F0F0F">
        <w:rPr>
          <w:sz w:val="26"/>
          <w:szCs w:val="26"/>
        </w:rPr>
        <w:t>”</w:t>
      </w:r>
    </w:p>
    <w:p w14:paraId="3763A248" w14:textId="77777777" w:rsidR="007B4C0F" w:rsidRPr="00DB1CE6" w:rsidRDefault="007B4C0F" w:rsidP="00DB7395">
      <w:pPr>
        <w:pStyle w:val="naisf"/>
        <w:spacing w:before="0" w:after="0"/>
        <w:ind w:firstLine="720"/>
      </w:pPr>
    </w:p>
    <w:p w14:paraId="04556785" w14:textId="77777777" w:rsidR="007B4C0F" w:rsidRPr="00DB1CE6" w:rsidRDefault="007B4C0F" w:rsidP="00184479">
      <w:pPr>
        <w:pStyle w:val="naisf"/>
        <w:spacing w:before="0" w:after="0"/>
        <w:ind w:firstLine="0"/>
        <w:jc w:val="center"/>
        <w:rPr>
          <w:b/>
        </w:rPr>
      </w:pPr>
      <w:r w:rsidRPr="00DB1CE6">
        <w:rPr>
          <w:b/>
        </w:rPr>
        <w:t xml:space="preserve">I. Jautājumi, par kuriem saskaņošanā </w:t>
      </w:r>
      <w:r w:rsidR="00134188" w:rsidRPr="00DB1CE6">
        <w:rPr>
          <w:b/>
        </w:rPr>
        <w:t xml:space="preserve">vienošanās </w:t>
      </w:r>
      <w:r w:rsidRPr="00DB1CE6">
        <w:rPr>
          <w:b/>
        </w:rPr>
        <w:t>nav panākta</w:t>
      </w:r>
    </w:p>
    <w:p w14:paraId="5B71181B" w14:textId="77777777" w:rsidR="007B4C0F" w:rsidRPr="00DB1CE6" w:rsidRDefault="007B4C0F" w:rsidP="00DB7395">
      <w:pPr>
        <w:pStyle w:val="naisf"/>
        <w:spacing w:before="0" w:after="0"/>
        <w:ind w:firstLine="720"/>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3118"/>
        <w:gridCol w:w="2977"/>
        <w:gridCol w:w="1985"/>
        <w:gridCol w:w="2835"/>
      </w:tblGrid>
      <w:tr w:rsidR="005F4BFD" w:rsidRPr="00DB1CE6" w14:paraId="4874B261" w14:textId="77777777" w:rsidTr="00B13A83">
        <w:tc>
          <w:tcPr>
            <w:tcW w:w="675" w:type="dxa"/>
            <w:tcBorders>
              <w:top w:val="single" w:sz="6" w:space="0" w:color="000000"/>
              <w:left w:val="single" w:sz="6" w:space="0" w:color="000000"/>
              <w:bottom w:val="single" w:sz="6" w:space="0" w:color="000000"/>
              <w:right w:val="single" w:sz="6" w:space="0" w:color="000000"/>
            </w:tcBorders>
            <w:vAlign w:val="center"/>
          </w:tcPr>
          <w:p w14:paraId="1CB6A5E4" w14:textId="77777777" w:rsidR="005F4BFD" w:rsidRPr="00DB1CE6" w:rsidRDefault="005F4BFD" w:rsidP="0036160E">
            <w:pPr>
              <w:pStyle w:val="naisc"/>
              <w:spacing w:before="0" w:after="0"/>
            </w:pPr>
            <w:r w:rsidRPr="00DB1CE6">
              <w:t>Nr. p.</w:t>
            </w:r>
            <w:r w:rsidR="00D64FB0" w:rsidRPr="00DB1CE6">
              <w:t> </w:t>
            </w:r>
            <w:r w:rsidRPr="00DB1CE6">
              <w:t>k.</w:t>
            </w:r>
          </w:p>
        </w:tc>
        <w:tc>
          <w:tcPr>
            <w:tcW w:w="3119" w:type="dxa"/>
            <w:tcBorders>
              <w:top w:val="single" w:sz="6" w:space="0" w:color="000000"/>
              <w:left w:val="single" w:sz="6" w:space="0" w:color="000000"/>
              <w:bottom w:val="single" w:sz="6" w:space="0" w:color="000000"/>
              <w:right w:val="single" w:sz="6" w:space="0" w:color="000000"/>
            </w:tcBorders>
            <w:vAlign w:val="center"/>
          </w:tcPr>
          <w:p w14:paraId="2606ECC1" w14:textId="77777777" w:rsidR="005F4BFD" w:rsidRPr="00DB1CE6" w:rsidRDefault="005F4BFD" w:rsidP="00364BB6">
            <w:pPr>
              <w:pStyle w:val="naisc"/>
              <w:spacing w:before="0" w:after="0"/>
              <w:ind w:firstLine="12"/>
            </w:pPr>
            <w:r w:rsidRPr="00DB1CE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2B5622E" w14:textId="77777777" w:rsidR="005F4BFD" w:rsidRPr="00DB1CE6" w:rsidRDefault="005F4BFD" w:rsidP="00364BB6">
            <w:pPr>
              <w:pStyle w:val="naisc"/>
              <w:spacing w:before="0" w:after="0"/>
              <w:ind w:right="3"/>
            </w:pPr>
            <w:r w:rsidRPr="00DB1CE6">
              <w:t>Atzinumā norādītais ministrijas (citas institūcijas) iebildums</w:t>
            </w:r>
            <w:r w:rsidR="00184479" w:rsidRPr="00DB1CE6">
              <w:t>,</w:t>
            </w:r>
            <w:r w:rsidR="000E5509" w:rsidRPr="00DB1CE6">
              <w:t xml:space="preserve"> kā arī saskaņošanā papildus izteiktais iebildums</w:t>
            </w:r>
            <w:r w:rsidRPr="00DB1CE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3847626" w14:textId="77777777" w:rsidR="005F4BFD" w:rsidRPr="00DB1CE6" w:rsidRDefault="005F4BFD" w:rsidP="00364BB6">
            <w:pPr>
              <w:pStyle w:val="naisc"/>
              <w:spacing w:before="0" w:after="0"/>
              <w:ind w:firstLine="21"/>
            </w:pPr>
            <w:r w:rsidRPr="00DB1CE6">
              <w:t>Atbildīgās ministrijas pamatojums</w:t>
            </w:r>
            <w:r w:rsidR="009307F2" w:rsidRPr="00DB1CE6">
              <w:t xml:space="preserve">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7BB557F5" w14:textId="77777777" w:rsidR="005F4BFD" w:rsidRPr="00DB1CE6" w:rsidRDefault="005F4BFD" w:rsidP="00364BB6">
            <w:pPr>
              <w:jc w:val="center"/>
            </w:pPr>
            <w:r w:rsidRPr="00DB1CE6">
              <w:t>Atzinuma sniedzēja uzturētais iebildums, ja tas atšķiras no atzinumā norādītā iebilduma pamatojuma</w:t>
            </w:r>
          </w:p>
        </w:tc>
        <w:tc>
          <w:tcPr>
            <w:tcW w:w="2835" w:type="dxa"/>
            <w:tcBorders>
              <w:top w:val="single" w:sz="4" w:space="0" w:color="auto"/>
              <w:left w:val="single" w:sz="4" w:space="0" w:color="auto"/>
              <w:bottom w:val="single" w:sz="4" w:space="0" w:color="auto"/>
            </w:tcBorders>
            <w:vAlign w:val="center"/>
          </w:tcPr>
          <w:p w14:paraId="76FC4F22" w14:textId="77777777" w:rsidR="005F4BFD" w:rsidRPr="00DB1CE6" w:rsidRDefault="005F4BFD" w:rsidP="00364BB6">
            <w:pPr>
              <w:jc w:val="center"/>
            </w:pPr>
            <w:r w:rsidRPr="00DB1CE6">
              <w:t>Projekta attiecīgā punkta (panta) galīgā redakcija</w:t>
            </w:r>
          </w:p>
        </w:tc>
      </w:tr>
      <w:tr w:rsidR="005F4BFD" w:rsidRPr="00DB1CE6" w14:paraId="51D77C0C" w14:textId="77777777" w:rsidTr="00B13A83">
        <w:tc>
          <w:tcPr>
            <w:tcW w:w="675" w:type="dxa"/>
            <w:tcBorders>
              <w:top w:val="single" w:sz="6" w:space="0" w:color="000000"/>
              <w:left w:val="single" w:sz="6" w:space="0" w:color="000000"/>
              <w:bottom w:val="single" w:sz="6" w:space="0" w:color="000000"/>
              <w:right w:val="single" w:sz="6" w:space="0" w:color="000000"/>
            </w:tcBorders>
          </w:tcPr>
          <w:p w14:paraId="3FEC03C9" w14:textId="77777777" w:rsidR="0020620F" w:rsidRPr="00DB1CE6" w:rsidRDefault="008A36C9" w:rsidP="0020620F">
            <w:pPr>
              <w:pStyle w:val="naisc"/>
              <w:spacing w:before="0" w:after="0"/>
              <w:rPr>
                <w:sz w:val="20"/>
                <w:szCs w:val="20"/>
              </w:rPr>
            </w:pPr>
            <w:r w:rsidRPr="00DB1CE6">
              <w:rPr>
                <w:sz w:val="20"/>
                <w:szCs w:val="20"/>
              </w:rPr>
              <w:t>1</w:t>
            </w:r>
          </w:p>
        </w:tc>
        <w:tc>
          <w:tcPr>
            <w:tcW w:w="3119" w:type="dxa"/>
            <w:tcBorders>
              <w:top w:val="single" w:sz="6" w:space="0" w:color="000000"/>
              <w:left w:val="single" w:sz="6" w:space="0" w:color="000000"/>
              <w:bottom w:val="single" w:sz="6" w:space="0" w:color="000000"/>
              <w:right w:val="single" w:sz="6" w:space="0" w:color="000000"/>
            </w:tcBorders>
          </w:tcPr>
          <w:p w14:paraId="5C5A19F9" w14:textId="77777777" w:rsidR="005F4BFD" w:rsidRPr="00DB1CE6" w:rsidRDefault="008A36C9" w:rsidP="008A36C9">
            <w:pPr>
              <w:pStyle w:val="naisc"/>
              <w:spacing w:before="0" w:after="0"/>
              <w:ind w:firstLine="720"/>
              <w:rPr>
                <w:sz w:val="20"/>
                <w:szCs w:val="20"/>
              </w:rPr>
            </w:pPr>
            <w:r w:rsidRPr="00DB1CE6">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7A34B23" w14:textId="77777777" w:rsidR="005F4BFD" w:rsidRPr="00DB1CE6" w:rsidRDefault="008A36C9" w:rsidP="008A36C9">
            <w:pPr>
              <w:pStyle w:val="naisc"/>
              <w:spacing w:before="0" w:after="0"/>
              <w:ind w:firstLine="720"/>
              <w:rPr>
                <w:sz w:val="20"/>
                <w:szCs w:val="20"/>
              </w:rPr>
            </w:pPr>
            <w:r w:rsidRPr="00DB1CE6">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E8643DA" w14:textId="77777777" w:rsidR="005F4BFD" w:rsidRPr="00DB1CE6" w:rsidRDefault="008A36C9" w:rsidP="008A36C9">
            <w:pPr>
              <w:pStyle w:val="naisc"/>
              <w:spacing w:before="0" w:after="0"/>
              <w:ind w:firstLine="720"/>
              <w:rPr>
                <w:sz w:val="20"/>
                <w:szCs w:val="20"/>
              </w:rPr>
            </w:pPr>
            <w:r w:rsidRPr="00DB1CE6">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14:paraId="1FE5B646" w14:textId="77777777" w:rsidR="005F4BFD" w:rsidRPr="00DB1CE6" w:rsidRDefault="008A36C9" w:rsidP="008A36C9">
            <w:pPr>
              <w:jc w:val="center"/>
              <w:rPr>
                <w:sz w:val="20"/>
                <w:szCs w:val="20"/>
              </w:rPr>
            </w:pPr>
            <w:r w:rsidRPr="00DB1CE6">
              <w:rPr>
                <w:sz w:val="20"/>
                <w:szCs w:val="20"/>
              </w:rPr>
              <w:t>5</w:t>
            </w:r>
          </w:p>
        </w:tc>
        <w:tc>
          <w:tcPr>
            <w:tcW w:w="2835" w:type="dxa"/>
            <w:tcBorders>
              <w:top w:val="single" w:sz="4" w:space="0" w:color="auto"/>
              <w:left w:val="single" w:sz="4" w:space="0" w:color="auto"/>
              <w:bottom w:val="single" w:sz="4" w:space="0" w:color="auto"/>
            </w:tcBorders>
          </w:tcPr>
          <w:p w14:paraId="4A8E581F" w14:textId="77777777" w:rsidR="005F4BFD" w:rsidRPr="00DB1CE6" w:rsidRDefault="008A36C9" w:rsidP="008A36C9">
            <w:pPr>
              <w:jc w:val="center"/>
              <w:rPr>
                <w:sz w:val="20"/>
                <w:szCs w:val="20"/>
              </w:rPr>
            </w:pPr>
            <w:r w:rsidRPr="00DB1CE6">
              <w:rPr>
                <w:sz w:val="20"/>
                <w:szCs w:val="20"/>
              </w:rPr>
              <w:t>6</w:t>
            </w:r>
          </w:p>
        </w:tc>
      </w:tr>
      <w:tr w:rsidR="003E051B" w:rsidRPr="00DB1CE6" w14:paraId="27B8FA15" w14:textId="77777777" w:rsidTr="003E051B">
        <w:tc>
          <w:tcPr>
            <w:tcW w:w="675" w:type="dxa"/>
            <w:tcBorders>
              <w:left w:val="single" w:sz="6" w:space="0" w:color="000000"/>
              <w:bottom w:val="single" w:sz="4" w:space="0" w:color="auto"/>
              <w:right w:val="single" w:sz="6" w:space="0" w:color="000000"/>
            </w:tcBorders>
          </w:tcPr>
          <w:p w14:paraId="52BEA995" w14:textId="77777777" w:rsidR="003E051B" w:rsidRPr="00DB1CE6" w:rsidRDefault="003E051B" w:rsidP="003E051B">
            <w:pPr>
              <w:pStyle w:val="naisc"/>
              <w:spacing w:before="0" w:after="0"/>
              <w:rPr>
                <w:sz w:val="20"/>
                <w:szCs w:val="20"/>
              </w:rPr>
            </w:pPr>
          </w:p>
        </w:tc>
        <w:tc>
          <w:tcPr>
            <w:tcW w:w="3119" w:type="dxa"/>
            <w:tcBorders>
              <w:left w:val="single" w:sz="6" w:space="0" w:color="000000"/>
              <w:bottom w:val="single" w:sz="4" w:space="0" w:color="auto"/>
              <w:right w:val="single" w:sz="6" w:space="0" w:color="000000"/>
            </w:tcBorders>
          </w:tcPr>
          <w:p w14:paraId="777C8F12" w14:textId="77777777" w:rsidR="003E051B" w:rsidRPr="00DB1CE6" w:rsidRDefault="003E051B" w:rsidP="001307E2">
            <w:pPr>
              <w:rPr>
                <w:szCs w:val="28"/>
              </w:rPr>
            </w:pPr>
          </w:p>
        </w:tc>
        <w:tc>
          <w:tcPr>
            <w:tcW w:w="3118" w:type="dxa"/>
            <w:tcBorders>
              <w:left w:val="single" w:sz="6" w:space="0" w:color="000000"/>
              <w:bottom w:val="single" w:sz="4" w:space="0" w:color="auto"/>
              <w:right w:val="single" w:sz="6" w:space="0" w:color="000000"/>
            </w:tcBorders>
          </w:tcPr>
          <w:p w14:paraId="00898C7F" w14:textId="77777777" w:rsidR="003E051B" w:rsidRPr="00DB1CE6" w:rsidRDefault="003E051B" w:rsidP="003E051B">
            <w:pPr>
              <w:tabs>
                <w:tab w:val="left" w:pos="459"/>
              </w:tabs>
              <w:ind w:left="175"/>
              <w:contextualSpacing/>
              <w:jc w:val="both"/>
              <w:rPr>
                <w:rFonts w:eastAsia="Calibri"/>
                <w:lang w:eastAsia="en-US"/>
              </w:rPr>
            </w:pPr>
          </w:p>
        </w:tc>
        <w:tc>
          <w:tcPr>
            <w:tcW w:w="2977" w:type="dxa"/>
            <w:tcBorders>
              <w:left w:val="single" w:sz="6" w:space="0" w:color="000000"/>
              <w:bottom w:val="single" w:sz="4" w:space="0" w:color="auto"/>
              <w:right w:val="single" w:sz="6" w:space="0" w:color="000000"/>
            </w:tcBorders>
          </w:tcPr>
          <w:p w14:paraId="37DF876E" w14:textId="77777777" w:rsidR="003E051B" w:rsidRPr="00DB1CE6" w:rsidRDefault="003E051B" w:rsidP="003E051B">
            <w:pPr>
              <w:pStyle w:val="naisc"/>
              <w:spacing w:before="0" w:after="0"/>
              <w:ind w:firstLine="32"/>
              <w:jc w:val="left"/>
            </w:pPr>
          </w:p>
        </w:tc>
        <w:tc>
          <w:tcPr>
            <w:tcW w:w="1985" w:type="dxa"/>
            <w:tcBorders>
              <w:top w:val="single" w:sz="4" w:space="0" w:color="auto"/>
              <w:left w:val="single" w:sz="4" w:space="0" w:color="auto"/>
              <w:bottom w:val="single" w:sz="4" w:space="0" w:color="auto"/>
              <w:right w:val="single" w:sz="4" w:space="0" w:color="auto"/>
            </w:tcBorders>
          </w:tcPr>
          <w:p w14:paraId="155B4FA5" w14:textId="77777777" w:rsidR="003E051B" w:rsidRPr="00DB1CE6" w:rsidRDefault="003E051B" w:rsidP="003E051B">
            <w:pPr>
              <w:jc w:val="center"/>
            </w:pPr>
          </w:p>
        </w:tc>
        <w:tc>
          <w:tcPr>
            <w:tcW w:w="2835" w:type="dxa"/>
            <w:tcBorders>
              <w:top w:val="single" w:sz="4" w:space="0" w:color="auto"/>
              <w:left w:val="single" w:sz="4" w:space="0" w:color="auto"/>
              <w:bottom w:val="single" w:sz="4" w:space="0" w:color="auto"/>
            </w:tcBorders>
          </w:tcPr>
          <w:p w14:paraId="6B0B3339" w14:textId="77777777" w:rsidR="003E051B" w:rsidRPr="00DB1CE6" w:rsidRDefault="003E051B" w:rsidP="003E051B">
            <w:pPr>
              <w:jc w:val="both"/>
            </w:pPr>
          </w:p>
        </w:tc>
      </w:tr>
    </w:tbl>
    <w:p w14:paraId="7E5ED283" w14:textId="77777777" w:rsidR="00C85ED4" w:rsidRPr="00DB1CE6" w:rsidRDefault="00C85ED4" w:rsidP="005D67F7">
      <w:pPr>
        <w:pStyle w:val="naisf"/>
        <w:spacing w:before="0" w:after="0"/>
        <w:ind w:firstLine="0"/>
        <w:rPr>
          <w:b/>
        </w:rPr>
      </w:pPr>
    </w:p>
    <w:p w14:paraId="16BEF875" w14:textId="77777777" w:rsidR="005D67F7" w:rsidRPr="00DB1CE6" w:rsidRDefault="005D67F7" w:rsidP="005D67F7">
      <w:pPr>
        <w:pStyle w:val="naisf"/>
        <w:spacing w:before="0" w:after="0"/>
        <w:ind w:firstLine="0"/>
        <w:rPr>
          <w:b/>
        </w:rPr>
      </w:pPr>
      <w:r w:rsidRPr="00DB1CE6">
        <w:rPr>
          <w:b/>
        </w:rPr>
        <w:t>Informācija par starpministriju (starpinstitūciju) sanāksmi vai elektronisko saskaņošanu</w:t>
      </w:r>
    </w:p>
    <w:p w14:paraId="374E6690" w14:textId="77777777" w:rsidR="005D67F7" w:rsidRPr="00DB1CE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210"/>
        <w:gridCol w:w="993"/>
        <w:gridCol w:w="5034"/>
      </w:tblGrid>
      <w:tr w:rsidR="007B4C0F" w:rsidRPr="00DB1CE6" w14:paraId="4A1FA9CA" w14:textId="77777777">
        <w:tc>
          <w:tcPr>
            <w:tcW w:w="6345" w:type="dxa"/>
          </w:tcPr>
          <w:p w14:paraId="55C175C8" w14:textId="77777777" w:rsidR="007B4C0F" w:rsidRPr="00DB1CE6" w:rsidRDefault="005D67F7" w:rsidP="005D67F7">
            <w:pPr>
              <w:pStyle w:val="naisf"/>
              <w:spacing w:before="0" w:after="0"/>
              <w:ind w:firstLine="0"/>
            </w:pPr>
            <w:r w:rsidRPr="00DB1CE6">
              <w:t>D</w:t>
            </w:r>
            <w:r w:rsidR="007B4C0F" w:rsidRPr="00DB1CE6">
              <w:t>atums</w:t>
            </w:r>
          </w:p>
        </w:tc>
        <w:tc>
          <w:tcPr>
            <w:tcW w:w="6237" w:type="dxa"/>
            <w:gridSpan w:val="3"/>
            <w:tcBorders>
              <w:bottom w:val="single" w:sz="4" w:space="0" w:color="auto"/>
            </w:tcBorders>
          </w:tcPr>
          <w:p w14:paraId="79D060D4" w14:textId="77777777" w:rsidR="007B4C0F" w:rsidRPr="00DB1CE6" w:rsidRDefault="007B4C0F" w:rsidP="00F22205">
            <w:pPr>
              <w:pStyle w:val="NormalWeb"/>
              <w:spacing w:before="0" w:beforeAutospacing="0" w:after="0" w:afterAutospacing="0"/>
              <w:jc w:val="both"/>
            </w:pPr>
          </w:p>
        </w:tc>
      </w:tr>
      <w:tr w:rsidR="003C27A2" w:rsidRPr="00DB1CE6" w14:paraId="18365211" w14:textId="77777777">
        <w:tc>
          <w:tcPr>
            <w:tcW w:w="6345" w:type="dxa"/>
          </w:tcPr>
          <w:p w14:paraId="3BC17F21" w14:textId="77777777" w:rsidR="003C27A2" w:rsidRPr="00DB1CE6" w:rsidRDefault="003C27A2" w:rsidP="007B4C0F">
            <w:pPr>
              <w:pStyle w:val="naisf"/>
              <w:spacing w:before="0" w:after="0"/>
              <w:ind w:firstLine="0"/>
            </w:pPr>
          </w:p>
        </w:tc>
        <w:tc>
          <w:tcPr>
            <w:tcW w:w="6237" w:type="dxa"/>
            <w:gridSpan w:val="3"/>
            <w:tcBorders>
              <w:top w:val="single" w:sz="4" w:space="0" w:color="auto"/>
            </w:tcBorders>
          </w:tcPr>
          <w:p w14:paraId="0936D92D" w14:textId="77777777" w:rsidR="003C27A2" w:rsidRPr="00DB1CE6" w:rsidRDefault="003C27A2" w:rsidP="007B41B4">
            <w:pPr>
              <w:pStyle w:val="NormalWeb"/>
              <w:spacing w:before="0" w:beforeAutospacing="0" w:after="0" w:afterAutospacing="0"/>
              <w:ind w:firstLine="720"/>
              <w:jc w:val="both"/>
            </w:pPr>
          </w:p>
        </w:tc>
      </w:tr>
      <w:tr w:rsidR="007B4C0F" w:rsidRPr="00DB1CE6" w14:paraId="69317435" w14:textId="77777777">
        <w:tc>
          <w:tcPr>
            <w:tcW w:w="6345" w:type="dxa"/>
          </w:tcPr>
          <w:p w14:paraId="76F70AEC" w14:textId="77777777" w:rsidR="007B4C0F" w:rsidRPr="00DB1CE6" w:rsidRDefault="00365CC0" w:rsidP="003C27A2">
            <w:pPr>
              <w:pStyle w:val="naiskr"/>
              <w:spacing w:before="0" w:after="0"/>
            </w:pPr>
            <w:r w:rsidRPr="00DB1CE6">
              <w:t>Saskaņošanas dalībnieki</w:t>
            </w:r>
          </w:p>
        </w:tc>
        <w:tc>
          <w:tcPr>
            <w:tcW w:w="6237" w:type="dxa"/>
            <w:gridSpan w:val="3"/>
          </w:tcPr>
          <w:p w14:paraId="7E6AFB23" w14:textId="77777777" w:rsidR="007B4C0F" w:rsidRPr="00DB1CE6" w:rsidRDefault="0027353B" w:rsidP="0027353B">
            <w:pPr>
              <w:pStyle w:val="NormalWeb"/>
              <w:spacing w:before="0" w:beforeAutospacing="0" w:after="0" w:afterAutospacing="0"/>
              <w:jc w:val="both"/>
            </w:pPr>
            <w:r w:rsidRPr="00DB1CE6">
              <w:t>Tieslietu ministrija</w:t>
            </w:r>
            <w:r w:rsidR="007B41B4" w:rsidRPr="00DB1CE6">
              <w:t xml:space="preserve"> </w:t>
            </w:r>
          </w:p>
        </w:tc>
      </w:tr>
      <w:tr w:rsidR="00D70310" w:rsidRPr="00DB1CE6" w14:paraId="2205B41D" w14:textId="77777777">
        <w:tc>
          <w:tcPr>
            <w:tcW w:w="6345" w:type="dxa"/>
          </w:tcPr>
          <w:p w14:paraId="29441742" w14:textId="77777777" w:rsidR="00D70310" w:rsidRPr="00DB1CE6" w:rsidRDefault="00D70310" w:rsidP="0036160E">
            <w:pPr>
              <w:pStyle w:val="naiskr"/>
              <w:spacing w:before="0" w:after="0"/>
              <w:ind w:firstLine="720"/>
            </w:pPr>
          </w:p>
        </w:tc>
        <w:tc>
          <w:tcPr>
            <w:tcW w:w="6237" w:type="dxa"/>
            <w:gridSpan w:val="3"/>
            <w:tcBorders>
              <w:top w:val="single" w:sz="6" w:space="0" w:color="000000"/>
              <w:bottom w:val="single" w:sz="6" w:space="0" w:color="000000"/>
            </w:tcBorders>
          </w:tcPr>
          <w:p w14:paraId="343CF813" w14:textId="5453BF9A" w:rsidR="00D70310" w:rsidRPr="00DB1CE6" w:rsidRDefault="00744266" w:rsidP="0027353B">
            <w:pPr>
              <w:pStyle w:val="naiskr"/>
              <w:spacing w:before="0" w:after="0"/>
            </w:pPr>
            <w:r>
              <w:t>Latvijas Darba devēju konfederācija</w:t>
            </w:r>
          </w:p>
        </w:tc>
      </w:tr>
      <w:tr w:rsidR="000D0AED" w:rsidRPr="00DB1CE6" w14:paraId="70A33460" w14:textId="77777777">
        <w:trPr>
          <w:trHeight w:val="285"/>
        </w:trPr>
        <w:tc>
          <w:tcPr>
            <w:tcW w:w="6345" w:type="dxa"/>
          </w:tcPr>
          <w:p w14:paraId="4FDB93C0" w14:textId="77777777" w:rsidR="000D0AED" w:rsidRPr="00DB1CE6" w:rsidRDefault="000D0AED" w:rsidP="000D0AED">
            <w:pPr>
              <w:pStyle w:val="naiskr"/>
              <w:spacing w:before="0" w:after="0"/>
            </w:pPr>
          </w:p>
        </w:tc>
        <w:tc>
          <w:tcPr>
            <w:tcW w:w="1203" w:type="dxa"/>
            <w:gridSpan w:val="2"/>
          </w:tcPr>
          <w:p w14:paraId="35C01713" w14:textId="77777777" w:rsidR="000D0AED" w:rsidRPr="00DB1CE6" w:rsidRDefault="000D0AED" w:rsidP="0036160E">
            <w:pPr>
              <w:pStyle w:val="naiskr"/>
              <w:spacing w:before="0" w:after="0"/>
              <w:ind w:firstLine="720"/>
            </w:pPr>
          </w:p>
        </w:tc>
        <w:tc>
          <w:tcPr>
            <w:tcW w:w="5034" w:type="dxa"/>
          </w:tcPr>
          <w:p w14:paraId="25420414" w14:textId="77777777" w:rsidR="000D0AED" w:rsidRPr="00DB1CE6" w:rsidRDefault="000D0AED" w:rsidP="0036160E">
            <w:pPr>
              <w:pStyle w:val="naiskr"/>
              <w:spacing w:before="0" w:after="0"/>
              <w:ind w:firstLine="12"/>
            </w:pPr>
          </w:p>
        </w:tc>
      </w:tr>
      <w:tr w:rsidR="004A5A1F" w:rsidRPr="00DB1CE6" w14:paraId="2E7C7237" w14:textId="77777777" w:rsidTr="0027353B">
        <w:trPr>
          <w:trHeight w:val="320"/>
        </w:trPr>
        <w:tc>
          <w:tcPr>
            <w:tcW w:w="6555" w:type="dxa"/>
            <w:gridSpan w:val="2"/>
          </w:tcPr>
          <w:p w14:paraId="401D4129" w14:textId="77777777" w:rsidR="004A5A1F" w:rsidRPr="00DB1CE6" w:rsidRDefault="004A5A1F" w:rsidP="000D0AED">
            <w:pPr>
              <w:pStyle w:val="naiskr"/>
              <w:spacing w:before="0" w:after="0"/>
            </w:pPr>
            <w:r w:rsidRPr="00DB1CE6">
              <w:t>Saskaņošanas dalībnieki izskatīja šādu ministriju (citu institūciju) iebildumus</w:t>
            </w:r>
          </w:p>
        </w:tc>
        <w:tc>
          <w:tcPr>
            <w:tcW w:w="6027" w:type="dxa"/>
            <w:gridSpan w:val="2"/>
            <w:tcBorders>
              <w:bottom w:val="single" w:sz="4" w:space="0" w:color="auto"/>
            </w:tcBorders>
          </w:tcPr>
          <w:p w14:paraId="3D598628" w14:textId="77777777" w:rsidR="004A5A1F" w:rsidRPr="00DB1CE6" w:rsidRDefault="004A5A1F" w:rsidP="008A5C3A">
            <w:pPr>
              <w:pStyle w:val="naiskr"/>
              <w:spacing w:before="0" w:after="0"/>
              <w:ind w:firstLine="12"/>
            </w:pPr>
            <w:r w:rsidRPr="00DB1CE6">
              <w:t>Tieslietu ministrijas</w:t>
            </w:r>
            <w:r w:rsidR="00FC006E" w:rsidRPr="00DB1CE6">
              <w:t xml:space="preserve"> </w:t>
            </w:r>
          </w:p>
        </w:tc>
      </w:tr>
      <w:tr w:rsidR="007B4C0F" w:rsidRPr="00DB1CE6" w14:paraId="44B2CCE9" w14:textId="77777777" w:rsidTr="0027353B">
        <w:trPr>
          <w:trHeight w:val="357"/>
        </w:trPr>
        <w:tc>
          <w:tcPr>
            <w:tcW w:w="6555" w:type="dxa"/>
            <w:gridSpan w:val="2"/>
          </w:tcPr>
          <w:p w14:paraId="77367EF8" w14:textId="77777777" w:rsidR="007B4C0F" w:rsidRPr="00DB1CE6" w:rsidRDefault="007B4C0F" w:rsidP="0036160E">
            <w:pPr>
              <w:pStyle w:val="naiskr"/>
              <w:spacing w:before="0" w:after="0"/>
            </w:pPr>
            <w:r w:rsidRPr="00DB1CE6">
              <w:t>Ministrijas (citas institūcijas), kuras nav ieradušās uz sanāksmi vai kuras nav atbildējušas uz uzaicinājumu piedalīties elektroniskajā saskaņošanā</w:t>
            </w:r>
          </w:p>
        </w:tc>
        <w:tc>
          <w:tcPr>
            <w:tcW w:w="6027" w:type="dxa"/>
            <w:gridSpan w:val="2"/>
            <w:tcBorders>
              <w:bottom w:val="single" w:sz="4" w:space="0" w:color="auto"/>
            </w:tcBorders>
          </w:tcPr>
          <w:p w14:paraId="00B1EBE1" w14:textId="77777777" w:rsidR="007B4C0F" w:rsidRPr="00DB1CE6" w:rsidRDefault="00FC006E" w:rsidP="004A5A1F">
            <w:pPr>
              <w:pStyle w:val="naiskr"/>
              <w:spacing w:before="0" w:after="0"/>
            </w:pPr>
            <w:r w:rsidRPr="00DB1CE6">
              <w:t>Nav.</w:t>
            </w:r>
          </w:p>
        </w:tc>
      </w:tr>
    </w:tbl>
    <w:p w14:paraId="1A6BED00" w14:textId="77777777" w:rsidR="007452F9" w:rsidRPr="00DB1CE6" w:rsidRDefault="007452F9" w:rsidP="00184479">
      <w:pPr>
        <w:pStyle w:val="naisf"/>
        <w:spacing w:before="0" w:after="0"/>
        <w:ind w:firstLine="0"/>
        <w:jc w:val="center"/>
        <w:rPr>
          <w:b/>
        </w:rPr>
      </w:pPr>
    </w:p>
    <w:p w14:paraId="396FDC96" w14:textId="77777777" w:rsidR="007B4C0F" w:rsidRPr="00DB1CE6" w:rsidRDefault="007452F9" w:rsidP="00184479">
      <w:pPr>
        <w:pStyle w:val="naisf"/>
        <w:spacing w:before="0" w:after="0"/>
        <w:ind w:firstLine="0"/>
        <w:jc w:val="center"/>
        <w:rPr>
          <w:b/>
        </w:rPr>
      </w:pPr>
      <w:r w:rsidRPr="00DB1CE6">
        <w:rPr>
          <w:b/>
        </w:rPr>
        <w:br w:type="page"/>
      </w:r>
      <w:r w:rsidR="007B4C0F" w:rsidRPr="00DB1CE6">
        <w:rPr>
          <w:b/>
        </w:rPr>
        <w:lastRenderedPageBreak/>
        <w:t>II. </w:t>
      </w:r>
      <w:r w:rsidR="00134188" w:rsidRPr="00DB1CE6">
        <w:rPr>
          <w:b/>
        </w:rPr>
        <w:t>Jautājumi, par kuriem saskaņošanā vienošan</w:t>
      </w:r>
      <w:r w:rsidR="00144622" w:rsidRPr="00DB1CE6">
        <w:rPr>
          <w:b/>
        </w:rPr>
        <w:t>ā</w:t>
      </w:r>
      <w:r w:rsidR="00134188" w:rsidRPr="00DB1CE6">
        <w:rPr>
          <w:b/>
        </w:rPr>
        <w:t>s ir panākta</w:t>
      </w:r>
    </w:p>
    <w:p w14:paraId="136E3A31" w14:textId="77777777" w:rsidR="007B4C0F" w:rsidRPr="00DB1CE6" w:rsidRDefault="007B4C0F" w:rsidP="00DB7395">
      <w:pPr>
        <w:pStyle w:val="naisf"/>
        <w:spacing w:before="0" w:after="0"/>
        <w:ind w:firstLine="720"/>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4394"/>
        <w:gridCol w:w="3402"/>
        <w:gridCol w:w="3260"/>
      </w:tblGrid>
      <w:tr w:rsidR="00134188" w:rsidRPr="00DB1CE6" w14:paraId="615FD3E1" w14:textId="77777777" w:rsidTr="000930A5">
        <w:tc>
          <w:tcPr>
            <w:tcW w:w="675" w:type="dxa"/>
            <w:shd w:val="clear" w:color="auto" w:fill="auto"/>
          </w:tcPr>
          <w:p w14:paraId="06BB1929" w14:textId="77777777" w:rsidR="00134188" w:rsidRPr="00DB1CE6" w:rsidRDefault="00134188" w:rsidP="00624573">
            <w:pPr>
              <w:pStyle w:val="naisc"/>
              <w:spacing w:before="0" w:after="0"/>
            </w:pPr>
            <w:r w:rsidRPr="00DB1CE6">
              <w:t>Nr. p.</w:t>
            </w:r>
            <w:r w:rsidR="00D64FB0" w:rsidRPr="00DB1CE6">
              <w:t> </w:t>
            </w:r>
            <w:r w:rsidRPr="00DB1CE6">
              <w:t>k.</w:t>
            </w:r>
          </w:p>
        </w:tc>
        <w:tc>
          <w:tcPr>
            <w:tcW w:w="3119" w:type="dxa"/>
            <w:shd w:val="clear" w:color="auto" w:fill="auto"/>
          </w:tcPr>
          <w:p w14:paraId="52C0E594" w14:textId="77777777" w:rsidR="00134188" w:rsidRPr="00DB1CE6" w:rsidRDefault="00134188" w:rsidP="00084E7B">
            <w:pPr>
              <w:pStyle w:val="naisc"/>
              <w:spacing w:before="0" w:after="0"/>
              <w:ind w:firstLine="12"/>
              <w:jc w:val="left"/>
            </w:pPr>
            <w:r w:rsidRPr="00DB1CE6">
              <w:t>Saskaņošanai nosūtītā projekta redakcija (konkrēta punkta (panta) redakcija)</w:t>
            </w:r>
          </w:p>
        </w:tc>
        <w:tc>
          <w:tcPr>
            <w:tcW w:w="4394" w:type="dxa"/>
            <w:shd w:val="clear" w:color="auto" w:fill="auto"/>
          </w:tcPr>
          <w:p w14:paraId="4D3434A2" w14:textId="77777777" w:rsidR="00134188" w:rsidRPr="00DB1CE6" w:rsidRDefault="00134188" w:rsidP="00624573">
            <w:pPr>
              <w:pStyle w:val="naisc"/>
              <w:spacing w:before="0" w:after="0"/>
              <w:ind w:right="3"/>
            </w:pPr>
            <w:r w:rsidRPr="00DB1CE6">
              <w:t>Atzinumā norādītais ministrijas (citas institūcijas) iebildums, kā arī saskaņošanā papildus izteiktais iebildums par projekta konkrēto punktu (pantu)</w:t>
            </w:r>
          </w:p>
        </w:tc>
        <w:tc>
          <w:tcPr>
            <w:tcW w:w="3402" w:type="dxa"/>
            <w:shd w:val="clear" w:color="auto" w:fill="auto"/>
          </w:tcPr>
          <w:p w14:paraId="66D40AD5" w14:textId="77777777" w:rsidR="00134188" w:rsidRPr="00DB1CE6" w:rsidRDefault="00134188" w:rsidP="00624573">
            <w:pPr>
              <w:pStyle w:val="naisc"/>
              <w:spacing w:before="0" w:after="0"/>
              <w:ind w:firstLine="21"/>
            </w:pPr>
            <w:r w:rsidRPr="00DB1CE6">
              <w:t>Atbildīgās ministrijas norāde</w:t>
            </w:r>
            <w:r w:rsidR="006C1C48" w:rsidRPr="00DB1CE6">
              <w:t xml:space="preserve"> par to, ka </w:t>
            </w:r>
            <w:r w:rsidRPr="00DB1CE6">
              <w:t>iebildums ir ņemts vērā</w:t>
            </w:r>
            <w:r w:rsidR="006455E7" w:rsidRPr="00DB1CE6">
              <w:t>,</w:t>
            </w:r>
            <w:r w:rsidRPr="00DB1CE6">
              <w:t xml:space="preserve"> vai </w:t>
            </w:r>
            <w:r w:rsidR="006C1C48" w:rsidRPr="00DB1CE6">
              <w:t xml:space="preserve">informācija par saskaņošanā </w:t>
            </w:r>
            <w:r w:rsidR="00022B0F" w:rsidRPr="00DB1CE6">
              <w:t>panākto alternatīvo risinājumu</w:t>
            </w:r>
          </w:p>
        </w:tc>
        <w:tc>
          <w:tcPr>
            <w:tcW w:w="3260" w:type="dxa"/>
            <w:shd w:val="clear" w:color="auto" w:fill="auto"/>
          </w:tcPr>
          <w:p w14:paraId="6FB0815E" w14:textId="77777777" w:rsidR="00134188" w:rsidRPr="00DB1CE6" w:rsidRDefault="00134188" w:rsidP="00624573">
            <w:pPr>
              <w:jc w:val="center"/>
            </w:pPr>
            <w:r w:rsidRPr="00DB1CE6">
              <w:t>Projekta attiecīgā punkta (panta) galīgā redakcija</w:t>
            </w:r>
          </w:p>
        </w:tc>
      </w:tr>
      <w:tr w:rsidR="00134188" w:rsidRPr="00DB1CE6" w14:paraId="2407EE12" w14:textId="77777777" w:rsidTr="000930A5">
        <w:tc>
          <w:tcPr>
            <w:tcW w:w="675" w:type="dxa"/>
            <w:shd w:val="clear" w:color="auto" w:fill="auto"/>
          </w:tcPr>
          <w:p w14:paraId="34504BC3" w14:textId="77777777" w:rsidR="00134188" w:rsidRPr="00DB1CE6" w:rsidRDefault="003B71E0" w:rsidP="00624573">
            <w:pPr>
              <w:pStyle w:val="naisc"/>
              <w:spacing w:before="0" w:after="0"/>
              <w:rPr>
                <w:sz w:val="20"/>
                <w:szCs w:val="20"/>
              </w:rPr>
            </w:pPr>
            <w:r w:rsidRPr="00DB1CE6">
              <w:rPr>
                <w:sz w:val="20"/>
                <w:szCs w:val="20"/>
              </w:rPr>
              <w:t>1</w:t>
            </w:r>
          </w:p>
        </w:tc>
        <w:tc>
          <w:tcPr>
            <w:tcW w:w="3119" w:type="dxa"/>
            <w:shd w:val="clear" w:color="auto" w:fill="auto"/>
          </w:tcPr>
          <w:p w14:paraId="07773655" w14:textId="77777777" w:rsidR="00134188" w:rsidRPr="00DB1CE6" w:rsidRDefault="00F34AAB" w:rsidP="00624573">
            <w:pPr>
              <w:pStyle w:val="naisc"/>
              <w:spacing w:before="0" w:after="0"/>
              <w:ind w:firstLine="720"/>
              <w:rPr>
                <w:sz w:val="20"/>
                <w:szCs w:val="20"/>
              </w:rPr>
            </w:pPr>
            <w:r w:rsidRPr="00DB1CE6">
              <w:rPr>
                <w:sz w:val="20"/>
                <w:szCs w:val="20"/>
              </w:rPr>
              <w:t>2</w:t>
            </w:r>
          </w:p>
        </w:tc>
        <w:tc>
          <w:tcPr>
            <w:tcW w:w="4394" w:type="dxa"/>
            <w:shd w:val="clear" w:color="auto" w:fill="auto"/>
          </w:tcPr>
          <w:p w14:paraId="036C2117" w14:textId="77777777" w:rsidR="00134188" w:rsidRPr="00DB1CE6" w:rsidRDefault="003B71E0" w:rsidP="00624573">
            <w:pPr>
              <w:pStyle w:val="naisc"/>
              <w:spacing w:before="0" w:after="0"/>
              <w:ind w:firstLine="720"/>
              <w:rPr>
                <w:sz w:val="20"/>
                <w:szCs w:val="20"/>
              </w:rPr>
            </w:pPr>
            <w:r w:rsidRPr="00DB1CE6">
              <w:rPr>
                <w:sz w:val="20"/>
                <w:szCs w:val="20"/>
              </w:rPr>
              <w:t>3</w:t>
            </w:r>
          </w:p>
        </w:tc>
        <w:tc>
          <w:tcPr>
            <w:tcW w:w="3402" w:type="dxa"/>
            <w:shd w:val="clear" w:color="auto" w:fill="auto"/>
          </w:tcPr>
          <w:p w14:paraId="663E2A66" w14:textId="77777777" w:rsidR="00134188" w:rsidRPr="00DB1CE6" w:rsidRDefault="003B71E0" w:rsidP="00624573">
            <w:pPr>
              <w:pStyle w:val="naisc"/>
              <w:spacing w:before="0" w:after="0"/>
              <w:ind w:firstLine="720"/>
              <w:rPr>
                <w:sz w:val="20"/>
                <w:szCs w:val="20"/>
              </w:rPr>
            </w:pPr>
            <w:r w:rsidRPr="00DB1CE6">
              <w:rPr>
                <w:sz w:val="20"/>
                <w:szCs w:val="20"/>
              </w:rPr>
              <w:t>4</w:t>
            </w:r>
          </w:p>
        </w:tc>
        <w:tc>
          <w:tcPr>
            <w:tcW w:w="3260" w:type="dxa"/>
            <w:shd w:val="clear" w:color="auto" w:fill="auto"/>
          </w:tcPr>
          <w:p w14:paraId="79ED69FC" w14:textId="77777777" w:rsidR="00134188" w:rsidRPr="00DB1CE6" w:rsidRDefault="003B71E0" w:rsidP="00624573">
            <w:pPr>
              <w:jc w:val="center"/>
              <w:rPr>
                <w:sz w:val="20"/>
                <w:szCs w:val="20"/>
              </w:rPr>
            </w:pPr>
            <w:r w:rsidRPr="00DB1CE6">
              <w:rPr>
                <w:sz w:val="20"/>
                <w:szCs w:val="20"/>
              </w:rPr>
              <w:t>5</w:t>
            </w:r>
          </w:p>
        </w:tc>
      </w:tr>
      <w:tr w:rsidR="00C85ED4" w:rsidRPr="00DB1CE6" w14:paraId="1474E2C5" w14:textId="77777777" w:rsidTr="000930A5">
        <w:tc>
          <w:tcPr>
            <w:tcW w:w="675" w:type="dxa"/>
            <w:shd w:val="clear" w:color="auto" w:fill="auto"/>
          </w:tcPr>
          <w:p w14:paraId="5F44F663" w14:textId="77777777" w:rsidR="00C85ED4" w:rsidRPr="00DB1CE6" w:rsidRDefault="00C85ED4" w:rsidP="00624573">
            <w:pPr>
              <w:pStyle w:val="naisc"/>
              <w:spacing w:before="0" w:after="0"/>
              <w:rPr>
                <w:szCs w:val="20"/>
              </w:rPr>
            </w:pPr>
            <w:r w:rsidRPr="00DB1CE6">
              <w:rPr>
                <w:szCs w:val="20"/>
              </w:rPr>
              <w:t xml:space="preserve">1. </w:t>
            </w:r>
          </w:p>
        </w:tc>
        <w:tc>
          <w:tcPr>
            <w:tcW w:w="3119" w:type="dxa"/>
            <w:shd w:val="clear" w:color="auto" w:fill="auto"/>
          </w:tcPr>
          <w:p w14:paraId="73AD2999" w14:textId="77777777" w:rsidR="00344FBC" w:rsidRDefault="00344FBC" w:rsidP="00084E7B">
            <w:pPr>
              <w:tabs>
                <w:tab w:val="left" w:pos="1134"/>
              </w:tabs>
              <w:rPr>
                <w:bCs/>
              </w:rPr>
            </w:pPr>
            <w:r>
              <w:rPr>
                <w:bCs/>
              </w:rPr>
              <w:t>Noteikumu projekta 1.1.apakšpunkts, grozāmo noteikumu 1. un 2.pielikums</w:t>
            </w:r>
            <w:r w:rsidR="001D6106">
              <w:rPr>
                <w:bCs/>
              </w:rPr>
              <w:t>.</w:t>
            </w:r>
          </w:p>
          <w:p w14:paraId="5521D987" w14:textId="77777777" w:rsidR="00344FBC" w:rsidRDefault="00344FBC" w:rsidP="00084E7B">
            <w:pPr>
              <w:tabs>
                <w:tab w:val="left" w:pos="1134"/>
              </w:tabs>
              <w:rPr>
                <w:bCs/>
              </w:rPr>
            </w:pPr>
          </w:p>
          <w:p w14:paraId="0EA2EF21" w14:textId="77777777" w:rsidR="007877A0" w:rsidRDefault="006C58C1" w:rsidP="00084E7B">
            <w:pPr>
              <w:tabs>
                <w:tab w:val="left" w:pos="1134"/>
              </w:tabs>
              <w:rPr>
                <w:bCs/>
              </w:rPr>
            </w:pPr>
            <w:r w:rsidRPr="00DB1CE6">
              <w:rPr>
                <w:bCs/>
              </w:rPr>
              <w:t>1.1.</w:t>
            </w:r>
            <w:r w:rsidR="007877A0" w:rsidRPr="00DB1CE6">
              <w:t xml:space="preserve"> </w:t>
            </w:r>
            <w:r w:rsidR="007877A0" w:rsidRPr="00DB1CE6">
              <w:rPr>
                <w:bCs/>
              </w:rPr>
              <w:t>izteikt 5. punktu šādā redakcijā:</w:t>
            </w:r>
            <w:r w:rsidRPr="00DB1CE6">
              <w:rPr>
                <w:bCs/>
              </w:rPr>
              <w:t xml:space="preserve"> </w:t>
            </w:r>
          </w:p>
          <w:p w14:paraId="1BBC8BB9" w14:textId="77777777" w:rsidR="00496BC5" w:rsidRPr="00DB1CE6" w:rsidRDefault="00496BC5" w:rsidP="00084E7B">
            <w:pPr>
              <w:tabs>
                <w:tab w:val="left" w:pos="1134"/>
              </w:tabs>
              <w:rPr>
                <w:bCs/>
              </w:rPr>
            </w:pPr>
          </w:p>
          <w:p w14:paraId="2B48FDAB" w14:textId="77777777" w:rsidR="002D0872" w:rsidRPr="00DB1CE6" w:rsidRDefault="006C58C1" w:rsidP="00496BC5">
            <w:pPr>
              <w:tabs>
                <w:tab w:val="left" w:pos="1134"/>
              </w:tabs>
              <w:jc w:val="both"/>
              <w:rPr>
                <w:bCs/>
              </w:rPr>
            </w:pPr>
            <w:r w:rsidRPr="00DB1CE6">
              <w:rPr>
                <w:bCs/>
              </w:rPr>
              <w:t>“</w:t>
            </w:r>
            <w:r w:rsidR="002D0872" w:rsidRPr="00DB1CE6">
              <w:rPr>
                <w:bCs/>
              </w:rPr>
              <w:t>5. Šo noteikumu 1.2. apakšpunktā minēto paziņojumu iesniedz Valsts ieņēmumu dienestā:</w:t>
            </w:r>
          </w:p>
          <w:p w14:paraId="2A384B36" w14:textId="77777777" w:rsidR="002D0872" w:rsidRPr="00DB1CE6" w:rsidRDefault="002D0872" w:rsidP="00496BC5">
            <w:pPr>
              <w:tabs>
                <w:tab w:val="left" w:pos="1134"/>
              </w:tabs>
              <w:jc w:val="both"/>
              <w:rPr>
                <w:bCs/>
              </w:rPr>
            </w:pPr>
            <w:r w:rsidRPr="00DB1CE6">
              <w:rPr>
                <w:bCs/>
              </w:rPr>
              <w:t>5.1. ienākumu izmaksātājs par Latvijas rezidentam izmaksātajām summām;</w:t>
            </w:r>
          </w:p>
          <w:p w14:paraId="4CAA1209" w14:textId="77777777" w:rsidR="00344FBC" w:rsidRPr="00F25BE5" w:rsidRDefault="002D0872" w:rsidP="00F25BE5">
            <w:pPr>
              <w:pStyle w:val="CommentText"/>
              <w:jc w:val="both"/>
              <w:rPr>
                <w:sz w:val="24"/>
                <w:szCs w:val="24"/>
              </w:rPr>
            </w:pPr>
            <w:r w:rsidRPr="00DB1CE6">
              <w:rPr>
                <w:bCs/>
                <w:sz w:val="24"/>
                <w:szCs w:val="24"/>
              </w:rPr>
              <w:t>5.2. ienākumu saņēmējs – fiziskā persona, kura patstāvīgi aprēķina algas nodokli saskaņā ar likuma “Par iedzīvotāju ienākuma nodokli” 4. panta pirmās daļas 4. vai 5. punktu.</w:t>
            </w:r>
            <w:r w:rsidR="006C58C1" w:rsidRPr="00DB1CE6">
              <w:rPr>
                <w:bCs/>
                <w:sz w:val="24"/>
                <w:szCs w:val="24"/>
              </w:rPr>
              <w:t>”</w:t>
            </w:r>
            <w:r w:rsidR="001D6106">
              <w:rPr>
                <w:bCs/>
                <w:sz w:val="24"/>
                <w:szCs w:val="24"/>
              </w:rPr>
              <w:t>.</w:t>
            </w:r>
          </w:p>
          <w:p w14:paraId="3382BEAF" w14:textId="77777777" w:rsidR="00C24D5A" w:rsidRPr="00DB1CE6" w:rsidRDefault="00C24D5A" w:rsidP="00084E7B"/>
        </w:tc>
        <w:tc>
          <w:tcPr>
            <w:tcW w:w="4394" w:type="dxa"/>
            <w:shd w:val="clear" w:color="auto" w:fill="auto"/>
          </w:tcPr>
          <w:p w14:paraId="39DA0A21" w14:textId="77777777" w:rsidR="00C85ED4" w:rsidRPr="00DB1CE6" w:rsidRDefault="00BB2E0A" w:rsidP="00F25BE5">
            <w:pPr>
              <w:jc w:val="both"/>
              <w:rPr>
                <w:rFonts w:eastAsia="Calibri"/>
                <w:lang w:eastAsia="en-US"/>
              </w:rPr>
            </w:pPr>
            <w:r w:rsidRPr="00DB1CE6">
              <w:rPr>
                <w:rFonts w:eastAsia="Calibri"/>
                <w:b/>
                <w:lang w:eastAsia="en-US"/>
              </w:rPr>
              <w:t>Tieslietu ministrija</w:t>
            </w:r>
          </w:p>
          <w:p w14:paraId="7CC3638F" w14:textId="77777777" w:rsidR="00344FBC" w:rsidRPr="00B023A4" w:rsidRDefault="00344FBC" w:rsidP="00F25BE5">
            <w:pPr>
              <w:suppressAutoHyphens/>
              <w:ind w:firstLine="720"/>
              <w:contextualSpacing/>
              <w:jc w:val="both"/>
              <w:outlineLvl w:val="0"/>
              <w:rPr>
                <w:iCs/>
              </w:rPr>
            </w:pPr>
            <w:r w:rsidRPr="003F3D25">
              <w:rPr>
                <w:iCs/>
              </w:rPr>
              <w:t xml:space="preserve">Saskaņā ar Ministru kabineta 2009. gada 3. februāra noteikumu Nr. 108 "Normatīvo aktu projektu sagatavošanas noteikumi" (turpmāk – MK noteikumi Nr. 108) 3.2. apakšpunktu normatīvajā aktā neietver normas, kas </w:t>
            </w:r>
            <w:r w:rsidRPr="003F3D25">
              <w:t>dublē augstāka vai tāda paša juridiska spēka tiesību normās ietverto regulējumu.</w:t>
            </w:r>
            <w:r>
              <w:t xml:space="preserve"> Ievērojot minēto, vēršam uzmanību, ka </w:t>
            </w:r>
            <w:r w:rsidRPr="00EF7DE8">
              <w:t>projekta 1.1. apakšpunktā paredzētais, kā arī grozāmo noteikumu 2. un 4. punktā paredzētais šķietami dublē to, kas ir noteikts likumā</w:t>
            </w:r>
            <w:r>
              <w:t xml:space="preserve"> "Par iedzīvotāju ienākuma nodokli" (turpmāk – IIN likums). Proti, IIN likumā jau ir noteikts, kam un kādā gadījumā jāsniedz paziņojums par izmaksātajām summām ienākuma saņēmējam un Valsts ieņēmumu dienestam (skat., piemēram, IIN likuma 17. panta sesto un septīto daļu, 7.</w:t>
            </w:r>
            <w:r>
              <w:rPr>
                <w:vertAlign w:val="superscript"/>
              </w:rPr>
              <w:t>3 </w:t>
            </w:r>
            <w:r>
              <w:t>un 9.</w:t>
            </w:r>
            <w:r>
              <w:rPr>
                <w:vertAlign w:val="superscript"/>
              </w:rPr>
              <w:t>1 </w:t>
            </w:r>
            <w:r>
              <w:t>daļu, vienpadsmitās daļas 2. punktu, 11.</w:t>
            </w:r>
            <w:r>
              <w:rPr>
                <w:vertAlign w:val="superscript"/>
              </w:rPr>
              <w:t>5</w:t>
            </w:r>
            <w:r>
              <w:t>, 11.</w:t>
            </w:r>
            <w:r>
              <w:rPr>
                <w:vertAlign w:val="superscript"/>
              </w:rPr>
              <w:t xml:space="preserve">6 </w:t>
            </w:r>
            <w:r>
              <w:t>un 11.</w:t>
            </w:r>
            <w:r>
              <w:rPr>
                <w:vertAlign w:val="superscript"/>
              </w:rPr>
              <w:t>7 </w:t>
            </w:r>
            <w:r>
              <w:t xml:space="preserve">daļu). </w:t>
            </w:r>
          </w:p>
          <w:p w14:paraId="6ECF6167" w14:textId="77777777" w:rsidR="00344FBC" w:rsidRDefault="00344FBC" w:rsidP="00F25BE5">
            <w:pPr>
              <w:tabs>
                <w:tab w:val="left" w:pos="851"/>
                <w:tab w:val="left" w:pos="1134"/>
              </w:tabs>
              <w:suppressAutoHyphens/>
              <w:ind w:firstLine="720"/>
              <w:jc w:val="both"/>
              <w:outlineLvl w:val="0"/>
            </w:pPr>
            <w:r w:rsidRPr="003D4F2C">
              <w:t xml:space="preserve">Vienlaikus </w:t>
            </w:r>
            <w:r w:rsidRPr="003D4F2C">
              <w:rPr>
                <w:iCs/>
              </w:rPr>
              <w:t xml:space="preserve">MK noteikumu Nr. 108 2.3. apakšpunkts paredz, ka normatīvā akta projektu raksta </w:t>
            </w:r>
            <w:r w:rsidRPr="003D4F2C">
              <w:t xml:space="preserve">normatīvajiem aktiem atbilstošā vienotā stilistikā, izmantojot vienveidīgas un standartizētas vārdiskās </w:t>
            </w:r>
            <w:r w:rsidRPr="003D4F2C">
              <w:lastRenderedPageBreak/>
              <w:t>izteiksmes.</w:t>
            </w:r>
            <w:r>
              <w:t xml:space="preserve"> Tomēr IIN likumā, projektā un grozāmajos noteikumos vieni un tie paši termini lietoti atšķirīgās nozīmēs. Proti, grozāmo noteikumu 1.1. un 1.2. apakšpunkts izšķir:</w:t>
            </w:r>
          </w:p>
          <w:p w14:paraId="24D8A162" w14:textId="77777777" w:rsidR="00344FBC" w:rsidRDefault="00344FBC" w:rsidP="00F25BE5">
            <w:pPr>
              <w:tabs>
                <w:tab w:val="left" w:pos="851"/>
                <w:tab w:val="left" w:pos="1134"/>
              </w:tabs>
              <w:suppressAutoHyphens/>
              <w:ind w:firstLine="720"/>
              <w:jc w:val="both"/>
              <w:outlineLvl w:val="0"/>
            </w:pPr>
            <w:r>
              <w:t xml:space="preserve">– "paziņojumu par </w:t>
            </w:r>
            <w:r w:rsidRPr="00B023A4">
              <w:rPr>
                <w:u w:val="single"/>
              </w:rPr>
              <w:t>fiziskai personai</w:t>
            </w:r>
            <w:r>
              <w:t xml:space="preserve"> izmaksātajām summām", kas noteikts grozāmo noteikumu </w:t>
            </w:r>
            <w:r w:rsidRPr="00B023A4">
              <w:rPr>
                <w:u w:val="single"/>
              </w:rPr>
              <w:t>1. pielikumā</w:t>
            </w:r>
            <w:r w:rsidRPr="00E90C3F">
              <w:t xml:space="preserve"> (turpmāk – 1. pielikums), un</w:t>
            </w:r>
          </w:p>
          <w:p w14:paraId="25B3F4E9" w14:textId="77777777" w:rsidR="00344FBC" w:rsidRPr="00B023A4" w:rsidRDefault="00344FBC" w:rsidP="00F25BE5">
            <w:pPr>
              <w:tabs>
                <w:tab w:val="left" w:pos="851"/>
                <w:tab w:val="left" w:pos="1134"/>
              </w:tabs>
              <w:suppressAutoHyphens/>
              <w:ind w:firstLine="720"/>
              <w:jc w:val="both"/>
              <w:outlineLvl w:val="0"/>
              <w:rPr>
                <w:iCs/>
              </w:rPr>
            </w:pPr>
            <w:r>
              <w:t xml:space="preserve">– "paziņojumu par </w:t>
            </w:r>
            <w:r w:rsidRPr="00B023A4">
              <w:rPr>
                <w:u w:val="single"/>
              </w:rPr>
              <w:t>fiziskajām personām</w:t>
            </w:r>
            <w:r>
              <w:t xml:space="preserve"> izmaksātajām summām" (kopsavilkumu), kas noteikts grozāmo noteikumu </w:t>
            </w:r>
            <w:r w:rsidRPr="00B023A4">
              <w:rPr>
                <w:u w:val="single"/>
              </w:rPr>
              <w:t>2. pielikumā</w:t>
            </w:r>
            <w:r>
              <w:t xml:space="preserve"> (turpmāk – 2. pielikums).</w:t>
            </w:r>
          </w:p>
          <w:p w14:paraId="03C74CFD" w14:textId="77777777" w:rsidR="00344FBC" w:rsidRDefault="00344FBC" w:rsidP="00F25BE5">
            <w:pPr>
              <w:tabs>
                <w:tab w:val="left" w:pos="851"/>
                <w:tab w:val="left" w:pos="1134"/>
              </w:tabs>
              <w:suppressAutoHyphens/>
              <w:ind w:firstLine="720"/>
              <w:jc w:val="both"/>
              <w:outlineLvl w:val="0"/>
            </w:pPr>
            <w:r>
              <w:rPr>
                <w:iCs/>
              </w:rPr>
              <w:t>No grozāmo noteikumu 2. punkta izriet, ka 1</w:t>
            </w:r>
            <w:r w:rsidRPr="00E90C3F">
              <w:rPr>
                <w:iCs/>
                <w:u w:val="single"/>
              </w:rPr>
              <w:t>. pielikumā</w:t>
            </w:r>
            <w:r>
              <w:rPr>
                <w:iCs/>
              </w:rPr>
              <w:t xml:space="preserve"> paredzēto paziņojumu </w:t>
            </w:r>
            <w:r w:rsidRPr="00AC3AA8">
              <w:rPr>
                <w:iCs/>
                <w:u w:val="single"/>
              </w:rPr>
              <w:t>izsniedz ienākuma saņēmējam</w:t>
            </w:r>
            <w:r>
              <w:rPr>
                <w:iCs/>
              </w:rPr>
              <w:t xml:space="preserve">, savukārt </w:t>
            </w:r>
            <w:r w:rsidRPr="00E90C3F">
              <w:rPr>
                <w:iCs/>
                <w:u w:val="single"/>
              </w:rPr>
              <w:t>2. pielikumā</w:t>
            </w:r>
            <w:r>
              <w:rPr>
                <w:iCs/>
              </w:rPr>
              <w:t xml:space="preserve"> paredzēto paziņojumu </w:t>
            </w:r>
            <w:r w:rsidRPr="00AC3AA8">
              <w:rPr>
                <w:iCs/>
                <w:u w:val="single"/>
              </w:rPr>
              <w:t>iesniedz Valsts ieņēmumu dienestam</w:t>
            </w:r>
            <w:r>
              <w:rPr>
                <w:iCs/>
              </w:rPr>
              <w:t xml:space="preserve"> (grozāmo noteikumu 5. punkts un projekta 1.1. apakšpunkts). Bet no IIN likuma normām izriet, ka </w:t>
            </w:r>
            <w:r>
              <w:t xml:space="preserve">paziņojumu par </w:t>
            </w:r>
            <w:r w:rsidRPr="00B023A4">
              <w:rPr>
                <w:u w:val="single"/>
              </w:rPr>
              <w:t>fiziskai personai</w:t>
            </w:r>
            <w:r>
              <w:t xml:space="preserve"> izmaksātajām summām (proti, varētu prezumēt, ka </w:t>
            </w:r>
            <w:r w:rsidRPr="009A316B">
              <w:rPr>
                <w:u w:val="single"/>
              </w:rPr>
              <w:t>1. pielikum</w:t>
            </w:r>
            <w:r>
              <w:rPr>
                <w:u w:val="single"/>
              </w:rPr>
              <w:t>ā</w:t>
            </w:r>
            <w:r>
              <w:t xml:space="preserve"> paredzēto paziņojumu) izsniedz ne tikai ienākuma saņēmējam, bet arī </w:t>
            </w:r>
            <w:r w:rsidRPr="009A316B">
              <w:rPr>
                <w:u w:val="single"/>
              </w:rPr>
              <w:t>iesniedz Valsts ieņēmumu dienestam</w:t>
            </w:r>
            <w:r>
              <w:t xml:space="preserve"> (skat., piemēram, IIN likuma 17. panta sesto un septīto daļu, 9.</w:t>
            </w:r>
            <w:r>
              <w:rPr>
                <w:vertAlign w:val="superscript"/>
              </w:rPr>
              <w:t>1 </w:t>
            </w:r>
            <w:r>
              <w:t>daļu spēkā esošajā redakcijā). Savukārt no IIN likuma 17. panta 9.</w:t>
            </w:r>
            <w:r>
              <w:rPr>
                <w:vertAlign w:val="superscript"/>
              </w:rPr>
              <w:t>1 </w:t>
            </w:r>
            <w:r>
              <w:t xml:space="preserve">daļas redakcijas, kas stāsies spēkā 2021. gada 1. janvārī, izriet, ka nodokļu maksātājam – fiziskai personai, kura saskaņā ar IIN </w:t>
            </w:r>
            <w:r w:rsidRPr="00344FBC">
              <w:rPr>
                <w:color w:val="000000"/>
              </w:rPr>
              <w:t xml:space="preserve">likuma 4. panta pirmās </w:t>
            </w:r>
            <w:r w:rsidRPr="00344FBC">
              <w:rPr>
                <w:color w:val="000000"/>
              </w:rPr>
              <w:lastRenderedPageBreak/>
              <w:t xml:space="preserve">daļas 4. un 5. punktu patstāvīgi aprēķina un budžetā iemaksā algas nodokli, ir jāiesniedz Valsts ieņēmumu dienestā </w:t>
            </w:r>
            <w:r>
              <w:t xml:space="preserve">paziņojums par </w:t>
            </w:r>
            <w:r w:rsidRPr="00B023A4">
              <w:rPr>
                <w:u w:val="single"/>
              </w:rPr>
              <w:t>fiziskajām personām</w:t>
            </w:r>
            <w:r>
              <w:t xml:space="preserve"> izmaksātajām summām. Kaut arī šāds regulējums būs atbilstošs tam, kas saskaņā ar projekta 1.1. apakšpunktā paredzēto grozījumu būs noteikts grozāmo noteikumu 5.2. apakšpunktā, fiziskai personai tas var radīt neizpratni, jo pēc būtības tai ir jāpaziņo Valsts ieņēmumu dienestam tikai par sevi (tātad pēc loģikas būtu aizpildāms 1. pielikumā paredzētais paziņojums).</w:t>
            </w:r>
          </w:p>
          <w:p w14:paraId="0FE13E2F" w14:textId="77777777" w:rsidR="00344FBC" w:rsidRDefault="00344FBC" w:rsidP="00F25BE5">
            <w:pPr>
              <w:tabs>
                <w:tab w:val="left" w:pos="1134"/>
              </w:tabs>
              <w:suppressAutoHyphens/>
              <w:ind w:firstLine="720"/>
              <w:jc w:val="both"/>
              <w:outlineLvl w:val="0"/>
            </w:pPr>
            <w:r>
              <w:t>Ņemot vērā minēto, kā arī to, ka grozāmajos noteikumos 1. un 2. pielikums atšķiras faktiski tikai ar personu skaitu, par kurām paziņojums tiek sagatavots (vienu vai vairākām), kā arī sniedzamās informācijas izkārtojumu, nav saprotama lietderība saglabāt divas atsevišķas veidlapas paziņojumiem par izmaksātajām summām.</w:t>
            </w:r>
          </w:p>
          <w:p w14:paraId="4F1B545C" w14:textId="77777777" w:rsidR="00344FBC" w:rsidRDefault="00344FBC" w:rsidP="00F25BE5">
            <w:pPr>
              <w:tabs>
                <w:tab w:val="left" w:pos="1134"/>
              </w:tabs>
              <w:suppressAutoHyphens/>
              <w:ind w:firstLine="720"/>
              <w:jc w:val="both"/>
              <w:outlineLvl w:val="0"/>
            </w:pPr>
            <w:r>
              <w:t xml:space="preserve">Vienlaikus vēršam uzmanību, ka Valsts ieņēmumu dienesta Elektroniskās deklarēšanas sistēmā (turpmāk – EDS sistēma) pieejamā forma paziņojumam par </w:t>
            </w:r>
            <w:r w:rsidRPr="003D2643">
              <w:t>fiziska</w:t>
            </w:r>
            <w:r>
              <w:t>i</w:t>
            </w:r>
            <w:r w:rsidRPr="003D2643">
              <w:t xml:space="preserve"> person</w:t>
            </w:r>
            <w:r>
              <w:t>ai izmaksātajām summām atšķiras no tās, kas ir apstiprināta grozāmo noteikumu 1. pielikumā, kā arī nesakrīt ar to, kas apstiprināta grozāmo noteikumu 2. pielikumā. Tādējādi nav saprotams, ar kādu mērķi grozāmo noteikumu pielikumos ir nepieciešams noteikt paziņojuma par fiziskai personai (</w:t>
            </w:r>
            <w:r w:rsidRPr="003D2643">
              <w:t>fiziskajām personām</w:t>
            </w:r>
            <w:r>
              <w:t>)</w:t>
            </w:r>
            <w:r w:rsidRPr="003D2643">
              <w:t xml:space="preserve"> </w:t>
            </w:r>
            <w:r w:rsidRPr="003D2643">
              <w:lastRenderedPageBreak/>
              <w:t>izmaksātajām summām veidlap</w:t>
            </w:r>
            <w:r>
              <w:t>u paraugus (formas)</w:t>
            </w:r>
            <w:r w:rsidRPr="003D2643">
              <w:t>.</w:t>
            </w:r>
          </w:p>
          <w:p w14:paraId="66802B9B" w14:textId="77777777" w:rsidR="00787404" w:rsidRPr="00DB1CE6" w:rsidRDefault="00344FBC" w:rsidP="00F25BE5">
            <w:pPr>
              <w:tabs>
                <w:tab w:val="left" w:pos="1134"/>
              </w:tabs>
              <w:suppressAutoHyphens/>
              <w:ind w:firstLine="720"/>
              <w:jc w:val="both"/>
              <w:outlineLvl w:val="0"/>
            </w:pPr>
            <w:r>
              <w:t xml:space="preserve">Ievērojot minēto un pamatojoties uz Valsts pārvaldes iekārtas likuma 10. panta sesto un desmito daļu, ierosinām pārskatīt lietderību apstiprināt Ministru kabineta noteikumos paziņojumu par fiziskajai personai (fiziskajām personām) izmaksātajām summām. Tieslietu ministrijas ieskatā </w:t>
            </w:r>
            <w:r w:rsidRPr="00EF7DE8">
              <w:t>ārējā normatīvajā aktā varētu noteikt tikai to informāciju, kura ir jāiekļauj paziņojumā par izmaksātajām summām, nenosakot paziņojuma formu (veidlapu</w:t>
            </w:r>
            <w:r>
              <w:t>). Pārskatot regulējuma lietderību, lūdzam konsultēties ar darba devēju un darba ņēmēju intereses pārstāvošām nevalstiskajām organizācijām, lai rastu ietekmētajām sabiedrības grupām viegli saprotamu un ērtu risinājumu.</w:t>
            </w:r>
          </w:p>
        </w:tc>
        <w:tc>
          <w:tcPr>
            <w:tcW w:w="3402" w:type="dxa"/>
            <w:shd w:val="clear" w:color="auto" w:fill="auto"/>
          </w:tcPr>
          <w:p w14:paraId="5E15BF82" w14:textId="77777777" w:rsidR="0037495F" w:rsidRDefault="001113D4" w:rsidP="0037495F">
            <w:pPr>
              <w:pStyle w:val="naisc"/>
              <w:spacing w:before="0" w:after="0"/>
              <w:jc w:val="both"/>
              <w:rPr>
                <w:szCs w:val="20"/>
              </w:rPr>
            </w:pPr>
            <w:r w:rsidRPr="001113D4">
              <w:rPr>
                <w:b/>
                <w:szCs w:val="20"/>
              </w:rPr>
              <w:lastRenderedPageBreak/>
              <w:t>Ņemts vērā</w:t>
            </w:r>
            <w:r>
              <w:rPr>
                <w:b/>
                <w:szCs w:val="20"/>
              </w:rPr>
              <w:t>.</w:t>
            </w:r>
            <w:r w:rsidR="00F25BE5">
              <w:rPr>
                <w:szCs w:val="20"/>
              </w:rPr>
              <w:t xml:space="preserve"> Izstrādāts jauns </w:t>
            </w:r>
            <w:r w:rsidR="001D6106">
              <w:rPr>
                <w:szCs w:val="20"/>
              </w:rPr>
              <w:t xml:space="preserve">Ministru kabineta </w:t>
            </w:r>
            <w:r w:rsidR="00F25BE5">
              <w:rPr>
                <w:szCs w:val="20"/>
              </w:rPr>
              <w:t>noteikumu projekts, kurā:</w:t>
            </w:r>
          </w:p>
          <w:p w14:paraId="0360D524" w14:textId="77777777" w:rsidR="00F25BE5" w:rsidRDefault="00F25BE5" w:rsidP="00F25BE5">
            <w:pPr>
              <w:tabs>
                <w:tab w:val="left" w:pos="851"/>
                <w:tab w:val="left" w:pos="1134"/>
              </w:tabs>
              <w:suppressAutoHyphens/>
              <w:ind w:firstLine="720"/>
              <w:jc w:val="both"/>
              <w:outlineLvl w:val="0"/>
            </w:pPr>
            <w:r>
              <w:t>– netiek dublētas likumā “Par iedzīvotāju ienākuma nodokli” noteiktās normas;</w:t>
            </w:r>
          </w:p>
          <w:p w14:paraId="34DD83AC" w14:textId="77777777" w:rsidR="00FF0752" w:rsidRDefault="00FF0752" w:rsidP="00F25BE5">
            <w:pPr>
              <w:tabs>
                <w:tab w:val="left" w:pos="851"/>
                <w:tab w:val="left" w:pos="1134"/>
              </w:tabs>
              <w:suppressAutoHyphens/>
              <w:ind w:firstLine="720"/>
              <w:jc w:val="both"/>
              <w:outlineLvl w:val="0"/>
            </w:pPr>
            <w:r>
              <w:softHyphen/>
            </w:r>
            <w:r w:rsidR="00215ACF">
              <w:t>–</w:t>
            </w:r>
            <w:r>
              <w:t xml:space="preserve"> tiek lietota vienveidīga un standartizēta vārdiskā izteiksmes attiecībā uz paziņojuma nosaukumu –  “paziņojums par fiziska</w:t>
            </w:r>
            <w:r w:rsidR="00FD23D3">
              <w:t>ja</w:t>
            </w:r>
            <w:r>
              <w:t>i personai izmaksātajām summām” (atbilstoši likumā “Par iedzīvotāju ienākuma nodokli” lietotajam, izņemot attiecībā uz likuma “Par iedzīvotāju ienākuma nodokli” 17. panta 9.</w:t>
            </w:r>
            <w:r>
              <w:rPr>
                <w:vertAlign w:val="superscript"/>
              </w:rPr>
              <w:t>1 </w:t>
            </w:r>
            <w:r>
              <w:t>daļas redakcijā, kas stā</w:t>
            </w:r>
            <w:r w:rsidR="00215ACF">
              <w:t>jā</w:t>
            </w:r>
            <w:r>
              <w:t xml:space="preserve">s spēkā 2021. gada 1. janvārī, </w:t>
            </w:r>
            <w:r w:rsidR="001D6106">
              <w:t>lietoto nosaukumu, kas būtu precizējam</w:t>
            </w:r>
            <w:r w:rsidR="00215ACF">
              <w:t>s</w:t>
            </w:r>
            <w:r w:rsidR="001D6106">
              <w:t>, lai nodrošinātu vienveidīgas un standartizētas vārdiskā</w:t>
            </w:r>
            <w:r w:rsidR="002817F8">
              <w:t>s</w:t>
            </w:r>
            <w:r w:rsidR="001D6106">
              <w:t xml:space="preserve"> izteiksmes visā likumā “Par iedzīvotāju ienākuma nodokli”</w:t>
            </w:r>
            <w:r w:rsidR="00215ACF">
              <w:t>)</w:t>
            </w:r>
            <w:r w:rsidR="001D6106">
              <w:t>;</w:t>
            </w:r>
          </w:p>
          <w:p w14:paraId="31111CCD" w14:textId="77777777" w:rsidR="001D6106" w:rsidRDefault="001D6106" w:rsidP="00F25BE5">
            <w:pPr>
              <w:tabs>
                <w:tab w:val="left" w:pos="851"/>
                <w:tab w:val="left" w:pos="1134"/>
              </w:tabs>
              <w:suppressAutoHyphens/>
              <w:ind w:firstLine="720"/>
              <w:jc w:val="both"/>
              <w:outlineLvl w:val="0"/>
            </w:pPr>
            <w:r>
              <w:softHyphen/>
            </w:r>
            <w:r w:rsidR="00215ACF">
              <w:t xml:space="preserve">– </w:t>
            </w:r>
            <w:r>
              <w:t xml:space="preserve">netiek apstiprinātas veidlapu formas, bet tiek noteikta </w:t>
            </w:r>
            <w:r>
              <w:lastRenderedPageBreak/>
              <w:t>tikai paziņojumā par fiziska</w:t>
            </w:r>
            <w:r w:rsidR="00215ACF">
              <w:t>ja</w:t>
            </w:r>
            <w:r>
              <w:t>i personai izmaksātajām summām ietveramā informācija.</w:t>
            </w:r>
          </w:p>
          <w:p w14:paraId="788AAA9A" w14:textId="77777777" w:rsidR="00FF0752" w:rsidRDefault="00FF0752" w:rsidP="00FF0752">
            <w:pPr>
              <w:tabs>
                <w:tab w:val="left" w:pos="851"/>
                <w:tab w:val="left" w:pos="1134"/>
              </w:tabs>
              <w:suppressAutoHyphens/>
              <w:ind w:left="1080"/>
              <w:jc w:val="both"/>
              <w:outlineLvl w:val="0"/>
            </w:pPr>
          </w:p>
          <w:p w14:paraId="7ABFD6BE" w14:textId="49C97A58" w:rsidR="00F25BE5" w:rsidRDefault="001D6106" w:rsidP="0037495F">
            <w:pPr>
              <w:pStyle w:val="naisc"/>
              <w:spacing w:before="0" w:after="0"/>
              <w:jc w:val="both"/>
              <w:rPr>
                <w:szCs w:val="20"/>
              </w:rPr>
            </w:pPr>
            <w:r>
              <w:rPr>
                <w:szCs w:val="20"/>
              </w:rPr>
              <w:t xml:space="preserve">Izstrādātais noteikumu projekts </w:t>
            </w:r>
            <w:r w:rsidR="006B16A9">
              <w:rPr>
                <w:szCs w:val="20"/>
              </w:rPr>
              <w:t>saskaņots ar</w:t>
            </w:r>
            <w:r>
              <w:rPr>
                <w:szCs w:val="20"/>
              </w:rPr>
              <w:t xml:space="preserve"> </w:t>
            </w:r>
            <w:r w:rsidRPr="00DB1CE6">
              <w:t>Latvijas Darba devēju konfederācija</w:t>
            </w:r>
            <w:r w:rsidR="00BC2F53">
              <w:t>i</w:t>
            </w:r>
            <w:r w:rsidR="006B16A9">
              <w:t xml:space="preserve"> bez iebildumiem </w:t>
            </w:r>
            <w:r w:rsidR="00EC16AD">
              <w:t>un</w:t>
            </w:r>
            <w:r w:rsidR="006B16A9">
              <w:t xml:space="preserve"> priekšlikumiem.</w:t>
            </w:r>
          </w:p>
          <w:p w14:paraId="2C9E4085" w14:textId="77777777" w:rsidR="00F25BE5" w:rsidRPr="00F25BE5" w:rsidRDefault="00F25BE5" w:rsidP="0037495F">
            <w:pPr>
              <w:pStyle w:val="naisc"/>
              <w:spacing w:before="0" w:after="0"/>
              <w:jc w:val="both"/>
              <w:rPr>
                <w:szCs w:val="20"/>
              </w:rPr>
            </w:pPr>
          </w:p>
        </w:tc>
        <w:tc>
          <w:tcPr>
            <w:tcW w:w="3260" w:type="dxa"/>
            <w:shd w:val="clear" w:color="auto" w:fill="auto"/>
          </w:tcPr>
          <w:p w14:paraId="4E1DEDC8" w14:textId="77777777" w:rsidR="001176D0" w:rsidRPr="001113D4" w:rsidRDefault="001D6106" w:rsidP="00F25BE5">
            <w:pPr>
              <w:suppressAutoHyphens/>
              <w:ind w:left="30"/>
              <w:jc w:val="both"/>
              <w:outlineLvl w:val="0"/>
            </w:pPr>
            <w:r>
              <w:lastRenderedPageBreak/>
              <w:t>Skatīt izstrādāto Ministru kabineta noteikumu projektu.</w:t>
            </w:r>
          </w:p>
          <w:p w14:paraId="6D37E5B9" w14:textId="77777777" w:rsidR="00C85ED4" w:rsidRPr="00DB1CE6" w:rsidRDefault="00C85ED4" w:rsidP="00167CEE">
            <w:pPr>
              <w:jc w:val="both"/>
              <w:rPr>
                <w:szCs w:val="28"/>
              </w:rPr>
            </w:pPr>
          </w:p>
        </w:tc>
      </w:tr>
      <w:tr w:rsidR="00167CEE" w:rsidRPr="00DB1CE6" w14:paraId="0B46DDBB" w14:textId="77777777" w:rsidTr="000930A5">
        <w:tc>
          <w:tcPr>
            <w:tcW w:w="675" w:type="dxa"/>
            <w:shd w:val="clear" w:color="auto" w:fill="auto"/>
          </w:tcPr>
          <w:p w14:paraId="632C5D15" w14:textId="77777777" w:rsidR="00167CEE" w:rsidRPr="00DB1CE6" w:rsidRDefault="00196BAC" w:rsidP="00624573">
            <w:pPr>
              <w:pStyle w:val="naisc"/>
              <w:spacing w:before="0" w:after="0"/>
              <w:rPr>
                <w:sz w:val="20"/>
                <w:szCs w:val="20"/>
              </w:rPr>
            </w:pPr>
            <w:r w:rsidRPr="00DB1CE6">
              <w:rPr>
                <w:szCs w:val="20"/>
              </w:rPr>
              <w:lastRenderedPageBreak/>
              <w:t>2</w:t>
            </w:r>
            <w:r w:rsidR="00167CEE" w:rsidRPr="00DB1CE6">
              <w:rPr>
                <w:szCs w:val="20"/>
              </w:rPr>
              <w:t xml:space="preserve">. </w:t>
            </w:r>
          </w:p>
        </w:tc>
        <w:tc>
          <w:tcPr>
            <w:tcW w:w="3119" w:type="dxa"/>
            <w:shd w:val="clear" w:color="auto" w:fill="auto"/>
          </w:tcPr>
          <w:p w14:paraId="37FBCD57" w14:textId="77777777" w:rsidR="000A495E" w:rsidRPr="00E45A87" w:rsidRDefault="000A495E" w:rsidP="00E45A87">
            <w:pPr>
              <w:tabs>
                <w:tab w:val="left" w:pos="1134"/>
              </w:tabs>
              <w:rPr>
                <w:bCs/>
              </w:rPr>
            </w:pPr>
            <w:r w:rsidRPr="00E45A87">
              <w:rPr>
                <w:bCs/>
              </w:rPr>
              <w:t>Noteikumu projekta 1.2. un 1.5.apakšpunkts.</w:t>
            </w:r>
          </w:p>
          <w:p w14:paraId="52014CDC" w14:textId="77777777" w:rsidR="000A495E" w:rsidRPr="00E45A87" w:rsidRDefault="000A495E" w:rsidP="00E45A87">
            <w:pPr>
              <w:tabs>
                <w:tab w:val="left" w:pos="1134"/>
              </w:tabs>
              <w:rPr>
                <w:bCs/>
              </w:rPr>
            </w:pPr>
          </w:p>
          <w:p w14:paraId="16EE6DFD" w14:textId="77777777" w:rsidR="00E45A87" w:rsidRPr="00E45A87" w:rsidRDefault="00E45A87" w:rsidP="00E45A87">
            <w:pPr>
              <w:pStyle w:val="ListParagraph"/>
              <w:tabs>
                <w:tab w:val="left" w:pos="1134"/>
              </w:tabs>
              <w:spacing w:after="0" w:line="240" w:lineRule="auto"/>
              <w:ind w:left="0"/>
              <w:jc w:val="both"/>
              <w:rPr>
                <w:rFonts w:ascii="Times New Roman" w:hAnsi="Times New Roman"/>
                <w:bCs/>
                <w:sz w:val="24"/>
                <w:szCs w:val="24"/>
              </w:rPr>
            </w:pPr>
            <w:r w:rsidRPr="00E45A87">
              <w:rPr>
                <w:rFonts w:ascii="Times New Roman" w:hAnsi="Times New Roman"/>
                <w:bCs/>
                <w:sz w:val="24"/>
                <w:szCs w:val="24"/>
              </w:rPr>
              <w:t>1.2. papildināt 1. pielikuma tabulu “1.*Ienākuma veida kodi” 1.punktu šādā redakcijā:</w:t>
            </w:r>
          </w:p>
          <w:p w14:paraId="53FE431F" w14:textId="77777777" w:rsidR="00E45A87" w:rsidRPr="00E45A87" w:rsidRDefault="00E45A87" w:rsidP="00E45A87">
            <w:pPr>
              <w:pStyle w:val="ListParagraph"/>
              <w:tabs>
                <w:tab w:val="left" w:pos="1134"/>
              </w:tabs>
              <w:spacing w:after="0" w:line="240" w:lineRule="auto"/>
              <w:ind w:left="0"/>
              <w:jc w:val="both"/>
              <w:rPr>
                <w:rFonts w:ascii="Times New Roman" w:hAnsi="Times New Roman"/>
                <w:bCs/>
                <w:sz w:val="24"/>
                <w:szCs w:val="24"/>
              </w:rPr>
            </w:pPr>
            <w:r w:rsidRPr="00E45A87">
              <w:rPr>
                <w:rFonts w:ascii="Times New Roman" w:hAnsi="Times New Roman"/>
                <w:bCs/>
                <w:sz w:val="24"/>
                <w:szCs w:val="24"/>
              </w:rPr>
              <w:t>“1. Darba alga 2001”.</w:t>
            </w:r>
          </w:p>
          <w:p w14:paraId="5C61EFA6" w14:textId="77777777" w:rsidR="000A495E" w:rsidRPr="00E45A87" w:rsidRDefault="000A495E" w:rsidP="00E45A87">
            <w:pPr>
              <w:tabs>
                <w:tab w:val="left" w:pos="1134"/>
              </w:tabs>
              <w:rPr>
                <w:bCs/>
              </w:rPr>
            </w:pPr>
          </w:p>
          <w:p w14:paraId="3433A905" w14:textId="77777777" w:rsidR="00E45A87" w:rsidRPr="00E45A87" w:rsidRDefault="00E45A87" w:rsidP="00E45A87">
            <w:pPr>
              <w:pStyle w:val="ListParagraph"/>
              <w:spacing w:after="0" w:line="240" w:lineRule="auto"/>
              <w:ind w:left="0"/>
              <w:jc w:val="both"/>
              <w:rPr>
                <w:rFonts w:ascii="Times New Roman" w:hAnsi="Times New Roman"/>
                <w:bCs/>
                <w:sz w:val="24"/>
                <w:szCs w:val="24"/>
              </w:rPr>
            </w:pPr>
            <w:r w:rsidRPr="00E45A87">
              <w:rPr>
                <w:rFonts w:ascii="Times New Roman" w:hAnsi="Times New Roman"/>
                <w:bCs/>
                <w:sz w:val="24"/>
                <w:szCs w:val="24"/>
              </w:rPr>
              <w:t>1.5. papildināt 2. pielikuma tabulu “1.*Ienākuma veida kodi” 1. punktu šādā redakcijā:</w:t>
            </w:r>
          </w:p>
          <w:p w14:paraId="3CE7E601" w14:textId="77777777" w:rsidR="00E45A87" w:rsidRPr="00E45A87" w:rsidRDefault="00E45A87" w:rsidP="00E45A87">
            <w:pPr>
              <w:pStyle w:val="ListParagraph"/>
              <w:tabs>
                <w:tab w:val="left" w:pos="1134"/>
              </w:tabs>
              <w:spacing w:after="0" w:line="240" w:lineRule="auto"/>
              <w:ind w:left="0"/>
              <w:jc w:val="both"/>
              <w:rPr>
                <w:rFonts w:ascii="Times New Roman" w:hAnsi="Times New Roman"/>
                <w:bCs/>
                <w:sz w:val="24"/>
                <w:szCs w:val="24"/>
              </w:rPr>
            </w:pPr>
            <w:r w:rsidRPr="00E45A87">
              <w:rPr>
                <w:rFonts w:ascii="Times New Roman" w:hAnsi="Times New Roman"/>
                <w:bCs/>
                <w:sz w:val="24"/>
                <w:szCs w:val="24"/>
              </w:rPr>
              <w:t>“1. Darba alga 2001”.</w:t>
            </w:r>
          </w:p>
          <w:p w14:paraId="276F8F41" w14:textId="5FDFE7D4" w:rsidR="00637E89" w:rsidRDefault="00637E89" w:rsidP="00E45A87">
            <w:pPr>
              <w:pStyle w:val="naisc"/>
              <w:spacing w:before="0" w:after="0"/>
              <w:ind w:firstLine="720"/>
              <w:jc w:val="both"/>
            </w:pPr>
          </w:p>
          <w:p w14:paraId="2BCDA5BB" w14:textId="77777777" w:rsidR="00167CEE" w:rsidRPr="00637E89" w:rsidRDefault="00167CEE" w:rsidP="00313411"/>
        </w:tc>
        <w:tc>
          <w:tcPr>
            <w:tcW w:w="4394" w:type="dxa"/>
            <w:shd w:val="clear" w:color="auto" w:fill="auto"/>
          </w:tcPr>
          <w:p w14:paraId="7DD770C0" w14:textId="77777777" w:rsidR="00167CEE" w:rsidRPr="00DB1CE6" w:rsidRDefault="000A495E" w:rsidP="000A495E">
            <w:pPr>
              <w:pStyle w:val="naisc"/>
              <w:spacing w:before="0" w:after="0"/>
              <w:ind w:firstLine="720"/>
              <w:jc w:val="both"/>
              <w:rPr>
                <w:sz w:val="20"/>
                <w:szCs w:val="20"/>
              </w:rPr>
            </w:pPr>
            <w:r w:rsidRPr="000F0F0F">
              <w:t>No anotācijā skaidrotā</w:t>
            </w:r>
            <w:r w:rsidRPr="00E629F3">
              <w:t xml:space="preserve"> var saprast, ka projekta mērķis nav atteikties no darba algas koda 1001, bet gan </w:t>
            </w:r>
            <w:r>
              <w:t xml:space="preserve">ieviest papildu kodu </w:t>
            </w:r>
            <w:r w:rsidRPr="00E629F3">
              <w:t>2001. Ievērojot minēto, projekta 1.2. un 1.5.</w:t>
            </w:r>
            <w:r>
              <w:t> </w:t>
            </w:r>
            <w:r w:rsidRPr="00E629F3">
              <w:t>apakšpunkts būtu precizējams, paredzot izteikt 1. un 2.</w:t>
            </w:r>
            <w:r>
              <w:t> </w:t>
            </w:r>
            <w:r w:rsidRPr="00E629F3">
              <w:t>pielikuma 1.</w:t>
            </w:r>
            <w:r>
              <w:t xml:space="preserve"> piezīmes </w:t>
            </w:r>
            <w:r w:rsidRPr="00E629F3">
              <w:t>1.</w:t>
            </w:r>
            <w:r>
              <w:t> </w:t>
            </w:r>
            <w:r w:rsidRPr="00E629F3">
              <w:t xml:space="preserve">punktu </w:t>
            </w:r>
            <w:r>
              <w:t>jaunā redakcijā, norādot tajā abus kodus.</w:t>
            </w:r>
          </w:p>
        </w:tc>
        <w:tc>
          <w:tcPr>
            <w:tcW w:w="3402" w:type="dxa"/>
            <w:shd w:val="clear" w:color="auto" w:fill="auto"/>
          </w:tcPr>
          <w:p w14:paraId="4D0D622C" w14:textId="59CD49CA" w:rsidR="00167CEE" w:rsidRPr="009071D6" w:rsidRDefault="009D1062" w:rsidP="00744266">
            <w:pPr>
              <w:jc w:val="both"/>
            </w:pPr>
            <w:r>
              <w:rPr>
                <w:b/>
              </w:rPr>
              <w:t>Ņ</w:t>
            </w:r>
            <w:r w:rsidR="009071D6" w:rsidRPr="009071D6">
              <w:rPr>
                <w:b/>
              </w:rPr>
              <w:t>emts vērā</w:t>
            </w:r>
            <w:r>
              <w:rPr>
                <w:b/>
              </w:rPr>
              <w:t>,</w:t>
            </w:r>
            <w:r w:rsidR="009071D6">
              <w:t xml:space="preserve"> </w:t>
            </w:r>
            <w:r>
              <w:t>tomēr t</w:t>
            </w:r>
            <w:r w:rsidR="009071D6">
              <w:t>ā kā no jauna izstrādātajā Ministru kabineta noteikumu projektā nav paredzēts apstiprināt vei</w:t>
            </w:r>
            <w:r w:rsidR="00FC14D7">
              <w:t xml:space="preserve">dlapu, tad tajā netiek ietverti arī ienākuma veida kodi. No jauna izstrādātajā Ministru kabineta noteikumu projektā noteikts, ka Valsts ieņēmumu dienests publicē ienākumu veidu </w:t>
            </w:r>
            <w:r w:rsidR="00744266">
              <w:t xml:space="preserve">sarakstu </w:t>
            </w:r>
            <w:r w:rsidR="00FC14D7">
              <w:t xml:space="preserve">Valsts ieņēmumu dienesta </w:t>
            </w:r>
            <w:r w:rsidR="00215ACF">
              <w:t>publiskajā tīmekļa vietnē</w:t>
            </w:r>
            <w:r w:rsidR="00FC14D7">
              <w:t xml:space="preserve">. </w:t>
            </w:r>
            <w:r w:rsidR="00744266">
              <w:t>Šajā</w:t>
            </w:r>
            <w:r w:rsidR="00FC14D7">
              <w:t xml:space="preserve"> veidu </w:t>
            </w:r>
            <w:r w:rsidR="00744266">
              <w:t xml:space="preserve">sarakstā </w:t>
            </w:r>
            <w:r w:rsidR="00FC14D7">
              <w:t xml:space="preserve">tiks paredzēts </w:t>
            </w:r>
            <w:r w:rsidR="00215ACF">
              <w:t xml:space="preserve">tikai </w:t>
            </w:r>
            <w:r w:rsidR="00FC14D7">
              <w:t>darba algas kods 1001</w:t>
            </w:r>
            <w:r w:rsidR="00215ACF">
              <w:t>, jo</w:t>
            </w:r>
            <w:r w:rsidR="00A87861">
              <w:t xml:space="preserve"> ienākuma veida kodam 2001</w:t>
            </w:r>
            <w:r w:rsidR="00215ACF">
              <w:t xml:space="preserve"> </w:t>
            </w:r>
            <w:r w:rsidR="00A87861">
              <w:lastRenderedPageBreak/>
              <w:t>(</w:t>
            </w:r>
            <w:r w:rsidR="00215ACF">
              <w:t>iekšzemes darba ņēmējam pie darba devēja – ārvalstnieka</w:t>
            </w:r>
            <w:r w:rsidR="00A87861">
              <w:t>)</w:t>
            </w:r>
            <w:r w:rsidR="00215ACF">
              <w:t xml:space="preserve"> rasts cits risinājums paziņojuma iesniegšanai.</w:t>
            </w:r>
          </w:p>
        </w:tc>
        <w:tc>
          <w:tcPr>
            <w:tcW w:w="3260" w:type="dxa"/>
            <w:shd w:val="clear" w:color="auto" w:fill="auto"/>
          </w:tcPr>
          <w:p w14:paraId="157C0588" w14:textId="3394ACFD" w:rsidR="00885402" w:rsidRPr="001113D4" w:rsidRDefault="002817F8" w:rsidP="00885402">
            <w:pPr>
              <w:suppressAutoHyphens/>
              <w:ind w:left="30"/>
              <w:jc w:val="both"/>
              <w:outlineLvl w:val="0"/>
            </w:pPr>
            <w:r>
              <w:lastRenderedPageBreak/>
              <w:t xml:space="preserve">Tiks paredzēts Valsts ieņēmumu dienesta </w:t>
            </w:r>
            <w:r w:rsidR="00744266">
              <w:t xml:space="preserve">publicētajā </w:t>
            </w:r>
            <w:r>
              <w:t xml:space="preserve">ienākumu veidu </w:t>
            </w:r>
            <w:r w:rsidR="0095324A">
              <w:t xml:space="preserve">kodu </w:t>
            </w:r>
            <w:r w:rsidR="00744266">
              <w:t>sarakstā</w:t>
            </w:r>
            <w:r w:rsidR="00885402">
              <w:t>.</w:t>
            </w:r>
          </w:p>
          <w:p w14:paraId="51ECFA30" w14:textId="77777777" w:rsidR="00167CEE" w:rsidRPr="00DB1CE6" w:rsidRDefault="00167CEE" w:rsidP="00885402">
            <w:pPr>
              <w:jc w:val="both"/>
              <w:rPr>
                <w:sz w:val="20"/>
                <w:szCs w:val="20"/>
              </w:rPr>
            </w:pPr>
          </w:p>
        </w:tc>
      </w:tr>
      <w:tr w:rsidR="0050195F" w:rsidRPr="00DB1CE6" w14:paraId="418CE772" w14:textId="77777777" w:rsidTr="000930A5">
        <w:tc>
          <w:tcPr>
            <w:tcW w:w="675" w:type="dxa"/>
            <w:shd w:val="clear" w:color="auto" w:fill="auto"/>
          </w:tcPr>
          <w:p w14:paraId="38B4FDB1" w14:textId="77777777" w:rsidR="0050195F" w:rsidRPr="00DB1CE6" w:rsidRDefault="0050195F" w:rsidP="00624573">
            <w:pPr>
              <w:pStyle w:val="naisc"/>
              <w:spacing w:before="0" w:after="0"/>
              <w:rPr>
                <w:szCs w:val="20"/>
              </w:rPr>
            </w:pPr>
            <w:r>
              <w:rPr>
                <w:szCs w:val="20"/>
              </w:rPr>
              <w:t>3.</w:t>
            </w:r>
          </w:p>
        </w:tc>
        <w:tc>
          <w:tcPr>
            <w:tcW w:w="3119" w:type="dxa"/>
            <w:shd w:val="clear" w:color="auto" w:fill="auto"/>
          </w:tcPr>
          <w:p w14:paraId="12752FF8" w14:textId="77777777" w:rsidR="004C526A" w:rsidRDefault="004C526A" w:rsidP="004C526A">
            <w:pPr>
              <w:pStyle w:val="ListParagraph"/>
              <w:spacing w:after="0" w:line="240" w:lineRule="auto"/>
              <w:ind w:left="0"/>
              <w:jc w:val="both"/>
              <w:rPr>
                <w:rFonts w:ascii="Times New Roman" w:hAnsi="Times New Roman"/>
                <w:bCs/>
                <w:sz w:val="24"/>
                <w:szCs w:val="24"/>
              </w:rPr>
            </w:pPr>
            <w:r w:rsidRPr="004C526A">
              <w:rPr>
                <w:rFonts w:ascii="Times New Roman" w:hAnsi="Times New Roman"/>
                <w:bCs/>
                <w:sz w:val="24"/>
                <w:szCs w:val="24"/>
              </w:rPr>
              <w:t>Noteikumu projekta 2.punkts.</w:t>
            </w:r>
          </w:p>
          <w:p w14:paraId="34BDE734" w14:textId="77777777" w:rsidR="004C526A" w:rsidRPr="004C526A" w:rsidRDefault="004C526A" w:rsidP="004C526A">
            <w:pPr>
              <w:pStyle w:val="ListParagraph"/>
              <w:spacing w:after="0" w:line="240" w:lineRule="auto"/>
              <w:ind w:left="0"/>
              <w:jc w:val="both"/>
              <w:rPr>
                <w:rFonts w:ascii="Times New Roman" w:hAnsi="Times New Roman"/>
                <w:bCs/>
                <w:sz w:val="24"/>
                <w:szCs w:val="24"/>
              </w:rPr>
            </w:pPr>
          </w:p>
          <w:p w14:paraId="745B92E0" w14:textId="77777777" w:rsidR="004C526A" w:rsidRPr="004C526A" w:rsidRDefault="004C526A" w:rsidP="004C526A">
            <w:pPr>
              <w:pStyle w:val="ListParagraph"/>
              <w:spacing w:after="0" w:line="240" w:lineRule="auto"/>
              <w:ind w:left="0"/>
              <w:jc w:val="both"/>
              <w:rPr>
                <w:rFonts w:ascii="Times New Roman" w:hAnsi="Times New Roman"/>
                <w:bCs/>
                <w:sz w:val="24"/>
                <w:szCs w:val="24"/>
              </w:rPr>
            </w:pPr>
            <w:r w:rsidRPr="004C526A">
              <w:rPr>
                <w:rFonts w:ascii="Times New Roman" w:hAnsi="Times New Roman"/>
                <w:bCs/>
                <w:sz w:val="24"/>
                <w:szCs w:val="24"/>
              </w:rPr>
              <w:t>2. Noteikumu 1.2. un 1.5. apakšpunkts stājas spēkā 2021. gada 1. janvārī.</w:t>
            </w:r>
          </w:p>
          <w:p w14:paraId="781E852C" w14:textId="77777777" w:rsidR="0050195F" w:rsidRPr="00E45A87" w:rsidRDefault="0050195F" w:rsidP="00E45A87">
            <w:pPr>
              <w:tabs>
                <w:tab w:val="left" w:pos="1134"/>
              </w:tabs>
              <w:rPr>
                <w:bCs/>
              </w:rPr>
            </w:pPr>
          </w:p>
        </w:tc>
        <w:tc>
          <w:tcPr>
            <w:tcW w:w="4394" w:type="dxa"/>
            <w:shd w:val="clear" w:color="auto" w:fill="auto"/>
          </w:tcPr>
          <w:p w14:paraId="45E7D51B" w14:textId="77777777" w:rsidR="0050195F" w:rsidRPr="00E629F3" w:rsidRDefault="00AB68AA" w:rsidP="00AB68AA">
            <w:pPr>
              <w:tabs>
                <w:tab w:val="left" w:pos="1134"/>
              </w:tabs>
              <w:suppressAutoHyphens/>
              <w:ind w:firstLine="720"/>
              <w:jc w:val="both"/>
              <w:outlineLvl w:val="0"/>
            </w:pPr>
            <w:r w:rsidRPr="00FC1F53">
              <w:t>Vēršam</w:t>
            </w:r>
            <w:r w:rsidRPr="00FC1F53">
              <w:rPr>
                <w:iCs/>
              </w:rPr>
              <w:t xml:space="preserve"> uzmanību, ka jau šobrīd saskaņā ar IIN likuma 4. panta </w:t>
            </w:r>
            <w:r w:rsidRPr="00AB68AA">
              <w:rPr>
                <w:color w:val="000000"/>
              </w:rPr>
              <w:t xml:space="preserve">pirmās daļas 4. un 5. punktu </w:t>
            </w:r>
            <w:r w:rsidRPr="00FC1F53">
              <w:rPr>
                <w:iCs/>
              </w:rPr>
              <w:t xml:space="preserve">fiziskai personai </w:t>
            </w:r>
            <w:r w:rsidRPr="00AB68AA">
              <w:rPr>
                <w:color w:val="000000"/>
              </w:rPr>
              <w:t xml:space="preserve">noteiktos gadījumos </w:t>
            </w:r>
            <w:r w:rsidRPr="00FC1F53">
              <w:rPr>
                <w:iCs/>
              </w:rPr>
              <w:t>ir tiesības pašai aprēķināt un iemaksāt valsts budžetā algas nodokli</w:t>
            </w:r>
            <w:r w:rsidRPr="00AB68AA">
              <w:rPr>
                <w:color w:val="000000"/>
              </w:rPr>
              <w:t xml:space="preserve">. Ievērojot minēto, </w:t>
            </w:r>
            <w:r w:rsidRPr="00FC1F53">
              <w:rPr>
                <w:iCs/>
              </w:rPr>
              <w:t>nav saprotams</w:t>
            </w:r>
            <w:r>
              <w:rPr>
                <w:iCs/>
              </w:rPr>
              <w:t>,</w:t>
            </w:r>
            <w:r w:rsidRPr="00FC1F53">
              <w:rPr>
                <w:iCs/>
              </w:rPr>
              <w:t xml:space="preserve"> kāpēc projekta 2. punkts paredz projekta 1.2. un 1.5. apakšpunkt</w:t>
            </w:r>
            <w:r>
              <w:rPr>
                <w:iCs/>
              </w:rPr>
              <w:t xml:space="preserve">ā paredzēto grozījumu spēkā stāšanos tikai 2021. gada 1. janvārī. </w:t>
            </w:r>
            <w:r w:rsidRPr="00FC1F53">
              <w:rPr>
                <w:iCs/>
              </w:rPr>
              <w:t>Ievērojot minēto</w:t>
            </w:r>
            <w:r>
              <w:rPr>
                <w:iCs/>
              </w:rPr>
              <w:t>,</w:t>
            </w:r>
            <w:r w:rsidRPr="00FC1F53">
              <w:rPr>
                <w:iCs/>
              </w:rPr>
              <w:t xml:space="preserve"> </w:t>
            </w:r>
            <w:r w:rsidRPr="00A03EA1">
              <w:rPr>
                <w:iCs/>
              </w:rPr>
              <w:t xml:space="preserve">lūdzam svītrot projekta 2. punktu vai </w:t>
            </w:r>
            <w:r w:rsidRPr="004C526A">
              <w:rPr>
                <w:iCs/>
              </w:rPr>
              <w:t>anotācijas I sadaļas 2. punktā skaidrot projekta 2. punkta nepieciešamību.</w:t>
            </w:r>
          </w:p>
        </w:tc>
        <w:tc>
          <w:tcPr>
            <w:tcW w:w="3402" w:type="dxa"/>
            <w:shd w:val="clear" w:color="auto" w:fill="auto"/>
          </w:tcPr>
          <w:p w14:paraId="692F18BB" w14:textId="763246B4" w:rsidR="0050195F" w:rsidRPr="009071D6" w:rsidRDefault="00581E33" w:rsidP="00581E33">
            <w:pPr>
              <w:jc w:val="both"/>
              <w:rPr>
                <w:b/>
              </w:rPr>
            </w:pPr>
            <w:r>
              <w:rPr>
                <w:b/>
              </w:rPr>
              <w:t>Ņ</w:t>
            </w:r>
            <w:r w:rsidR="00AB68AA" w:rsidRPr="009071D6">
              <w:rPr>
                <w:b/>
              </w:rPr>
              <w:t>emts vērā.</w:t>
            </w:r>
            <w:r w:rsidR="00AB68AA">
              <w:t xml:space="preserve"> </w:t>
            </w:r>
            <w:r w:rsidR="003962B6">
              <w:t>N</w:t>
            </w:r>
            <w:r w:rsidR="00AB68AA">
              <w:t xml:space="preserve">o jauna izstrādātajā Ministru kabineta noteikumu projektā </w:t>
            </w:r>
            <w:r>
              <w:t>ir noteikts vienots spēkā stāšanās un piemērošanas termiņš.</w:t>
            </w:r>
          </w:p>
        </w:tc>
        <w:tc>
          <w:tcPr>
            <w:tcW w:w="3260" w:type="dxa"/>
            <w:shd w:val="clear" w:color="auto" w:fill="auto"/>
          </w:tcPr>
          <w:p w14:paraId="4ED4BD16" w14:textId="0AA1682A" w:rsidR="003962B6" w:rsidRDefault="003962B6" w:rsidP="00D4069F">
            <w:pPr>
              <w:suppressAutoHyphens/>
              <w:ind w:left="30"/>
              <w:jc w:val="both"/>
              <w:outlineLvl w:val="0"/>
            </w:pPr>
            <w:r>
              <w:t>4. </w:t>
            </w:r>
            <w:r w:rsidRPr="003962B6">
              <w:t>Noteikumus piemēro paziņojumiem, kas sniedzami no 2022.ga</w:t>
            </w:r>
            <w:r>
              <w:t>da 1.janvāra par pilnu 2021.gad</w:t>
            </w:r>
            <w:r w:rsidRPr="003962B6">
              <w:t>a gadu un turpmākajiem taksācijas periodiem.</w:t>
            </w:r>
            <w:r w:rsidR="00A87861">
              <w:br/>
            </w:r>
          </w:p>
          <w:p w14:paraId="4E80E2E2" w14:textId="01183784" w:rsidR="002817F8" w:rsidRDefault="003962B6" w:rsidP="00266E52">
            <w:pPr>
              <w:suppressAutoHyphens/>
              <w:ind w:left="30"/>
              <w:jc w:val="both"/>
              <w:outlineLvl w:val="0"/>
            </w:pPr>
            <w:r>
              <w:t>5. </w:t>
            </w:r>
            <w:r w:rsidRPr="003962B6">
              <w:t>Noteikumi st</w:t>
            </w:r>
            <w:r w:rsidR="00266E52">
              <w:t>ā</w:t>
            </w:r>
            <w:r w:rsidRPr="003962B6">
              <w:t>j</w:t>
            </w:r>
            <w:r w:rsidR="00266E52">
              <w:t>a</w:t>
            </w:r>
            <w:r w:rsidRPr="003962B6">
              <w:t>s spēkā 2022.gada 1.janvārī</w:t>
            </w:r>
          </w:p>
        </w:tc>
      </w:tr>
      <w:tr w:rsidR="00EC495A" w:rsidRPr="00DB1CE6" w14:paraId="3B45C81C" w14:textId="77777777" w:rsidTr="000930A5">
        <w:tc>
          <w:tcPr>
            <w:tcW w:w="675" w:type="dxa"/>
            <w:shd w:val="clear" w:color="auto" w:fill="auto"/>
          </w:tcPr>
          <w:p w14:paraId="5597D71B" w14:textId="77777777" w:rsidR="00EC495A" w:rsidRDefault="00EC495A" w:rsidP="00624573">
            <w:pPr>
              <w:pStyle w:val="naisc"/>
              <w:spacing w:before="0" w:after="0"/>
              <w:rPr>
                <w:szCs w:val="20"/>
              </w:rPr>
            </w:pPr>
            <w:r>
              <w:rPr>
                <w:szCs w:val="20"/>
              </w:rPr>
              <w:t>4.</w:t>
            </w:r>
          </w:p>
        </w:tc>
        <w:tc>
          <w:tcPr>
            <w:tcW w:w="3119" w:type="dxa"/>
            <w:shd w:val="clear" w:color="auto" w:fill="auto"/>
          </w:tcPr>
          <w:p w14:paraId="3D2406B8" w14:textId="77777777" w:rsidR="00510D4A" w:rsidRDefault="00510D4A" w:rsidP="00510D4A">
            <w:pPr>
              <w:jc w:val="both"/>
            </w:pPr>
            <w:r>
              <w:t>1.4. papildināt 1. pielikuma tabulu “1.*Ienākuma veida kodi” ar 58. punktu šādā redakcijā:</w:t>
            </w:r>
          </w:p>
          <w:p w14:paraId="2A228781" w14:textId="77777777" w:rsidR="00510D4A" w:rsidRDefault="00510D4A" w:rsidP="00510D4A">
            <w:pPr>
              <w:jc w:val="both"/>
            </w:pPr>
          </w:p>
          <w:p w14:paraId="09B51E5B" w14:textId="77777777" w:rsidR="00510D4A" w:rsidRDefault="00510D4A" w:rsidP="00510D4A">
            <w:r>
              <w:t>“58. Simtgades loterijas laimests, ko izmaksā VAS Latvijas Loto</w:t>
            </w:r>
            <w:r>
              <w:tab/>
              <w:t>3061”.</w:t>
            </w:r>
          </w:p>
          <w:p w14:paraId="045A4F45" w14:textId="77777777" w:rsidR="00EC495A" w:rsidRPr="00E45A87" w:rsidRDefault="00EC495A" w:rsidP="00E45A87">
            <w:pPr>
              <w:tabs>
                <w:tab w:val="left" w:pos="1134"/>
              </w:tabs>
              <w:rPr>
                <w:bCs/>
              </w:rPr>
            </w:pPr>
          </w:p>
        </w:tc>
        <w:tc>
          <w:tcPr>
            <w:tcW w:w="4394" w:type="dxa"/>
            <w:shd w:val="clear" w:color="auto" w:fill="auto"/>
          </w:tcPr>
          <w:p w14:paraId="179FC51D" w14:textId="77777777" w:rsidR="001B4ABE" w:rsidRDefault="001B4ABE" w:rsidP="001B4ABE">
            <w:pPr>
              <w:tabs>
                <w:tab w:val="left" w:pos="851"/>
              </w:tabs>
              <w:suppressAutoHyphens/>
              <w:ind w:firstLine="720"/>
              <w:contextualSpacing/>
              <w:jc w:val="both"/>
              <w:outlineLvl w:val="0"/>
              <w:rPr>
                <w:iCs/>
              </w:rPr>
            </w:pPr>
            <w:r>
              <w:rPr>
                <w:iCs/>
              </w:rPr>
              <w:t>Vēršam uzmanību, ka no projekta anotācijā sniegtā skaidrojuma nav saprotams, kādēļ ir nepieciešams ieviest atsevišķu kodu ienākumiem no Simtgades loterijas laimesta. Tā kā saskaņā ar anotācijā sniegto informāciju gan Čeku loterijas laimestam, gan Simtgades loterijas laimestam nav ierobežojuma neapliekamam ienākumam, Tieslietu ministrijas ieskatā ienākumus no abām šīm loterijām būtu iespējams apvienot zem viena koda. Ievērojot minēto, ierosinām pārskatīt projekta 1.4. apakšpunktā paredzēto grozījumu.</w:t>
            </w:r>
          </w:p>
          <w:p w14:paraId="6759A21B" w14:textId="77777777" w:rsidR="00EC495A" w:rsidRPr="00FC1F53" w:rsidRDefault="001B4ABE" w:rsidP="001B4ABE">
            <w:pPr>
              <w:tabs>
                <w:tab w:val="left" w:pos="851"/>
              </w:tabs>
              <w:suppressAutoHyphens/>
              <w:ind w:firstLine="720"/>
              <w:contextualSpacing/>
              <w:jc w:val="both"/>
              <w:outlineLvl w:val="0"/>
            </w:pPr>
            <w:r>
              <w:rPr>
                <w:iCs/>
              </w:rPr>
              <w:t xml:space="preserve">Vienlaikus ierosinām izvērtēt, vai tik detalizēts ienākumu uzskaitījums, kāds jau šobrīd ir paredzēts grozāmo noteikumu 1. un 2. pielikumā, tiešām ir nepieciešams </w:t>
            </w:r>
            <w:r>
              <w:rPr>
                <w:iCs/>
              </w:rPr>
              <w:lastRenderedPageBreak/>
              <w:t xml:space="preserve">IIN likuma izpildes nodrošināšanai. Jāņem vērā, ka </w:t>
            </w:r>
            <w:r w:rsidRPr="00D95E29">
              <w:rPr>
                <w:iCs/>
              </w:rPr>
              <w:t>r</w:t>
            </w:r>
            <w:r w:rsidRPr="00D95E29">
              <w:t>egulējumam, kuru Ministru kabinets izstrādā, pamatojoties uz likumu, ir jāsasniedz tāds pats mērķis, kādu likumdevējs vēlējies sasniegt, pieņemot minēto likumu.</w:t>
            </w:r>
            <w:r>
              <w:rPr>
                <w:rStyle w:val="FootnoteReference"/>
              </w:rPr>
              <w:footnoteReference w:id="1"/>
            </w:r>
            <w:r>
              <w:t xml:space="preserve"> No IIN likuma 38. panta otrās daļas, pamatojoties uz kuru izstrādāts projekts, izriet, ka pilnvarojums Ministru kabinetam noteikt </w:t>
            </w:r>
            <w:r w:rsidRPr="009A2739">
              <w:rPr>
                <w:u w:val="single"/>
              </w:rPr>
              <w:t>informatīvo</w:t>
            </w:r>
            <w:r>
              <w:t xml:space="preserve"> deklarāciju (tai skaitā paziņojumu) veidlapu formas ir noteikts ar mērķi nodrošināt šā likuma izpildi. Tādēļ aicinām izvērtēt, kuru IIN likuma normu izpildes nodrošināšanai tiek iesniegti grozāmo noteikumu 1. un 2. pielikumā uzskaitītie fizisko personu dati tik detalizētā ienākumu veidu šķērsgriezumā. Piemēram, nav saprotams, kādēļ ir nepieciešams uzskaitīt atsevišķi ienākumus no nekustamā īpašuma izmantošanas un ienākumus no kustamā īpašuma izmantošanas. Tādēļ, pamatojoties uz Valsts pārvaldes iekārtas likuma </w:t>
            </w:r>
            <w:r w:rsidRPr="004C526A">
              <w:t xml:space="preserve">10. panta desmito daļu, ierosinām pārskatīt </w:t>
            </w:r>
            <w:r w:rsidRPr="004C526A">
              <w:rPr>
                <w:iCs/>
              </w:rPr>
              <w:t>grozāmo noteikumu 1. un 2. pielikumā paredzēto ienākumu veidu detalizācijas pakāpi.</w:t>
            </w:r>
          </w:p>
        </w:tc>
        <w:tc>
          <w:tcPr>
            <w:tcW w:w="3402" w:type="dxa"/>
            <w:shd w:val="clear" w:color="auto" w:fill="auto"/>
          </w:tcPr>
          <w:p w14:paraId="74ACC4F7" w14:textId="5920A93B" w:rsidR="009D1062" w:rsidRDefault="00BA7FB5" w:rsidP="008123A4">
            <w:pPr>
              <w:jc w:val="both"/>
            </w:pPr>
            <w:r>
              <w:rPr>
                <w:b/>
              </w:rPr>
              <w:lastRenderedPageBreak/>
              <w:t>Ņemts vērā.</w:t>
            </w:r>
            <w:r>
              <w:t xml:space="preserve"> Valsts ieņēmumu dienests </w:t>
            </w:r>
            <w:r w:rsidR="00744266">
              <w:t xml:space="preserve">publicētajā ienākumu veidu </w:t>
            </w:r>
            <w:r w:rsidR="0095324A">
              <w:t>un to kodu sarakstā</w:t>
            </w:r>
            <w:r>
              <w:t xml:space="preserve"> tiks apvienots ienākumu no </w:t>
            </w:r>
            <w:r w:rsidR="0095324A">
              <w:t>Č</w:t>
            </w:r>
            <w:r>
              <w:t xml:space="preserve">eku loterijas laimestiem un </w:t>
            </w:r>
            <w:r w:rsidR="0095324A">
              <w:t>S</w:t>
            </w:r>
            <w:r>
              <w:t xml:space="preserve">imtgades loterijas laimestiem. </w:t>
            </w:r>
          </w:p>
          <w:p w14:paraId="230D2BCC" w14:textId="77777777" w:rsidR="00EC495A" w:rsidRPr="00BA7FB5" w:rsidRDefault="00BA7FB5" w:rsidP="008123A4">
            <w:pPr>
              <w:jc w:val="both"/>
            </w:pPr>
            <w:r>
              <w:t>Tiks pārskatīti arī citi ienākumu veidu kodi</w:t>
            </w:r>
            <w:r w:rsidR="008F53A9">
              <w:t xml:space="preserve">. Tomēr </w:t>
            </w:r>
            <w:r w:rsidR="005A1101">
              <w:t xml:space="preserve">būtu jāņem vērā tas, ka paziņojumos sniegto informāciju Valsts ieņēmumu dienests atspoguļo gada ienākumu deklarācijas sagatavē, norādot </w:t>
            </w:r>
            <w:r w:rsidR="009D1062">
              <w:t xml:space="preserve">konkrēto ienākumu </w:t>
            </w:r>
            <w:r w:rsidR="005A1101">
              <w:t xml:space="preserve">atbilstošajā pielikumā, tādējādi nodrošinot, ka konkrētajam ienākumu veidam tiek piemērota atbilstošā likme, kā arī atvieglojumi, attaisnotie </w:t>
            </w:r>
            <w:r w:rsidR="005A1101">
              <w:lastRenderedPageBreak/>
              <w:t>izdevumi un diferencētais gada neapliekamais minimums atbilstoši likuma “Par iedzīvotāju ienākuma nodokli” normām. Tādējādi ir nepieciešams pēc iespējas precīzāka informācija par konkrēto ienākumu un apvienot ir iespējams tikai tādus ienākumus, kam piemērojama analoga iedzīvotāju ienākuma nodokļa aprēķināšanas kārtība.</w:t>
            </w:r>
          </w:p>
        </w:tc>
        <w:tc>
          <w:tcPr>
            <w:tcW w:w="3260" w:type="dxa"/>
            <w:shd w:val="clear" w:color="auto" w:fill="auto"/>
          </w:tcPr>
          <w:p w14:paraId="4B55F285" w14:textId="5509124D" w:rsidR="00EC495A" w:rsidRDefault="00DC0933" w:rsidP="00DA2C3B">
            <w:pPr>
              <w:suppressAutoHyphens/>
              <w:ind w:left="30"/>
              <w:jc w:val="both"/>
              <w:outlineLvl w:val="0"/>
            </w:pPr>
            <w:r>
              <w:lastRenderedPageBreak/>
              <w:t>Tiks paredzēts Valsts ieņēmumu dienesta</w:t>
            </w:r>
            <w:r w:rsidR="00744266">
              <w:t xml:space="preserve"> publicētajā ienākumu veidu </w:t>
            </w:r>
            <w:r w:rsidR="0095324A">
              <w:t xml:space="preserve">kodu </w:t>
            </w:r>
            <w:r w:rsidR="00744266">
              <w:t>sarakstā.</w:t>
            </w:r>
          </w:p>
        </w:tc>
      </w:tr>
      <w:tr w:rsidR="002543C3" w:rsidRPr="00DB1CE6" w14:paraId="1B5B9526" w14:textId="77777777" w:rsidTr="000930A5">
        <w:tc>
          <w:tcPr>
            <w:tcW w:w="675" w:type="dxa"/>
            <w:shd w:val="clear" w:color="auto" w:fill="auto"/>
          </w:tcPr>
          <w:p w14:paraId="7F1AB44F" w14:textId="77777777" w:rsidR="002543C3" w:rsidRDefault="002543C3" w:rsidP="00624573">
            <w:pPr>
              <w:pStyle w:val="naisc"/>
              <w:spacing w:before="0" w:after="0"/>
              <w:rPr>
                <w:szCs w:val="20"/>
              </w:rPr>
            </w:pPr>
            <w:r>
              <w:rPr>
                <w:szCs w:val="20"/>
              </w:rPr>
              <w:t>5.</w:t>
            </w:r>
          </w:p>
        </w:tc>
        <w:tc>
          <w:tcPr>
            <w:tcW w:w="3119" w:type="dxa"/>
            <w:shd w:val="clear" w:color="auto" w:fill="auto"/>
          </w:tcPr>
          <w:p w14:paraId="3E84283F" w14:textId="77777777" w:rsidR="002543C3" w:rsidRDefault="002543C3" w:rsidP="00510D4A">
            <w:pPr>
              <w:jc w:val="both"/>
            </w:pPr>
          </w:p>
        </w:tc>
        <w:tc>
          <w:tcPr>
            <w:tcW w:w="4394" w:type="dxa"/>
            <w:shd w:val="clear" w:color="auto" w:fill="auto"/>
          </w:tcPr>
          <w:p w14:paraId="6F08C1F0" w14:textId="77777777" w:rsidR="002543C3" w:rsidRDefault="002543C3" w:rsidP="002543C3">
            <w:pPr>
              <w:tabs>
                <w:tab w:val="left" w:pos="851"/>
              </w:tabs>
              <w:suppressAutoHyphens/>
              <w:ind w:firstLine="720"/>
              <w:contextualSpacing/>
              <w:jc w:val="both"/>
              <w:outlineLvl w:val="0"/>
            </w:pPr>
            <w:r>
              <w:rPr>
                <w:iCs/>
              </w:rPr>
              <w:t xml:space="preserve">Vēršam uzmanību, ka grozāmo noteikumu 1. un 2. pielikuma 1. piezīmē ietvertajā uzskaitījumā ar ienākumu veidiem un to kodiem ir samērā grūti orientēties, jo tas ir ļoti detalizēts (jau šobrīd satur 57 iespējamos ienākumu veidus, </w:t>
            </w:r>
            <w:r>
              <w:rPr>
                <w:iCs/>
              </w:rPr>
              <w:lastRenderedPageBreak/>
              <w:t>turklāt vienam ienākuma veidam var būt arī vairāki kodi). Izvēlēties pareizo kodu ir vēl grūtāk EDS sistēmā</w:t>
            </w:r>
            <w:r>
              <w:t xml:space="preserve">. Proti, aizpildot paziņojumu par </w:t>
            </w:r>
            <w:r w:rsidRPr="003D2643">
              <w:t>fiziska</w:t>
            </w:r>
            <w:r>
              <w:t>i</w:t>
            </w:r>
            <w:r w:rsidRPr="003D2643">
              <w:t xml:space="preserve"> person</w:t>
            </w:r>
            <w:r>
              <w:t xml:space="preserve">ai izmaksātajām summām, ienākumu veidi tur ir sakārtoti kodu augošā secībā vienā izvēlnē, kurā vienam un tam pašam ienākumu aprakstam atbilst vairāki kodi (piemēram, "1008 – Ienākumi no uzņēmuma līguma", "2008 – Ienākumi no uzņēmuma līguma"). Savukārt ienākumu veidam "Ienākumi no kokmateriālu un augoša meža atsavināšanas" </w:t>
            </w:r>
            <w:r>
              <w:rPr>
                <w:iCs/>
              </w:rPr>
              <w:t>EDS sistēmā</w:t>
            </w:r>
            <w:r>
              <w:t xml:space="preserve"> atbilst pat veseli 3 kodi – 1010, 2010 un 3010. Turklāt </w:t>
            </w:r>
            <w:r>
              <w:rPr>
                <w:iCs/>
              </w:rPr>
              <w:t>EDS sistēmā</w:t>
            </w:r>
            <w:r>
              <w:t xml:space="preserve">, aizpildot paziņojumu par </w:t>
            </w:r>
            <w:r w:rsidRPr="003D2643">
              <w:t>fiziska</w:t>
            </w:r>
            <w:r>
              <w:t>i</w:t>
            </w:r>
            <w:r w:rsidRPr="003D2643">
              <w:t xml:space="preserve"> person</w:t>
            </w:r>
            <w:r>
              <w:t>ai izmaksātajām summām, izvēlnē ir pieejami arī tādi ienākumu kodi, kuri nav šobrīd paredzēti grozāmajos noteikumos (piemēram, kods 2019 un 3019, kas atbilst ienākumu veidam "Procenti", kaut arī grozāmajos noteikumos ienākumu veidam "Procenti" atbilst tikai kods 1019).</w:t>
            </w:r>
          </w:p>
          <w:p w14:paraId="3E051836" w14:textId="77777777" w:rsidR="002543C3" w:rsidRPr="002543C3" w:rsidRDefault="002543C3" w:rsidP="002543C3">
            <w:pPr>
              <w:tabs>
                <w:tab w:val="left" w:pos="851"/>
                <w:tab w:val="left" w:pos="1134"/>
              </w:tabs>
              <w:suppressAutoHyphens/>
              <w:ind w:firstLine="720"/>
              <w:jc w:val="both"/>
              <w:outlineLvl w:val="0"/>
            </w:pPr>
            <w:r w:rsidRPr="004C526A">
              <w:t>Ievērojot minēto un pamatojoties uz Valsts pārvaldes iekārtas likuma 10. panta sesto daļu, ierosinām pārskatīt grozāmajos noteikumos paredzēto kārtību paziņojumu izpildei par fiziskai personai (fiziskajām personām)</w:t>
            </w:r>
            <w:r>
              <w:t xml:space="preserve"> izmaksātajām summām, nodrošinot ietekmētajām sabiedrības grupām viegli saprotamu un ērtu risinājumu. Pārskatot pastāvošo kārtību, lūdzam konsultēties ar darba devēju un </w:t>
            </w:r>
            <w:r>
              <w:lastRenderedPageBreak/>
              <w:t>darba ņēmēju intereses pārstāvošām nevalstiskajām organizācijām.</w:t>
            </w:r>
          </w:p>
        </w:tc>
        <w:tc>
          <w:tcPr>
            <w:tcW w:w="3402" w:type="dxa"/>
            <w:shd w:val="clear" w:color="auto" w:fill="auto"/>
          </w:tcPr>
          <w:p w14:paraId="3F843159" w14:textId="580FF3F4" w:rsidR="00D2169D" w:rsidRPr="002543C3" w:rsidRDefault="002543C3" w:rsidP="00744266">
            <w:pPr>
              <w:jc w:val="both"/>
            </w:pPr>
            <w:r>
              <w:rPr>
                <w:b/>
              </w:rPr>
              <w:lastRenderedPageBreak/>
              <w:t>Ņemts vērā.</w:t>
            </w:r>
            <w:r>
              <w:t xml:space="preserve"> Ir plānots uzlabot Elektroniskās deklarēšanas sistēmas funkcionalitāti</w:t>
            </w:r>
            <w:r w:rsidR="003F3920">
              <w:t xml:space="preserve"> un ienākumu veidu uzskaitījumu</w:t>
            </w:r>
            <w:r w:rsidR="002D7294">
              <w:t>, saskaņojot to ar Latvijas Darba devēju konfederāciju.</w:t>
            </w:r>
            <w:r>
              <w:t xml:space="preserve"> </w:t>
            </w:r>
            <w:r w:rsidR="002D7294">
              <w:t xml:space="preserve">Vienlaikus </w:t>
            </w:r>
            <w:r w:rsidR="002D7294">
              <w:lastRenderedPageBreak/>
              <w:t>informējam, ka jau šobrīd, brīdī, kad EDS izvēlas ienākumu gūšanas periodu, netiek piedāvāti ienākumu veidu kodi, kas</w:t>
            </w:r>
            <w:r w:rsidR="003F3920">
              <w:t xml:space="preserve"> nav aktuāli konkrētajā periodā. Piemēram, ja sniedz paziņojumu par 2021.gada janvāri (mēnesi), tad netiek piedāvāti ienākuma veidi ar kodiem 20.., 30.. vai 40…, jo šīs ienākumu veidu grupas ir sniedzamas tikai par gadu. Savukārt, piemēram, 2021.gadā netiek piedāvāti ienākumu veidi, kas vairs nav aktuāli, piemēram, kods 2019 un 3019.</w:t>
            </w:r>
          </w:p>
        </w:tc>
        <w:tc>
          <w:tcPr>
            <w:tcW w:w="3260" w:type="dxa"/>
            <w:shd w:val="clear" w:color="auto" w:fill="auto"/>
          </w:tcPr>
          <w:p w14:paraId="4D65E81E" w14:textId="770ECBA0" w:rsidR="00D4069F" w:rsidRPr="001113D4" w:rsidRDefault="00D4069F" w:rsidP="00D4069F">
            <w:pPr>
              <w:suppressAutoHyphens/>
              <w:ind w:left="30"/>
              <w:jc w:val="both"/>
              <w:outlineLvl w:val="0"/>
            </w:pPr>
            <w:r>
              <w:lastRenderedPageBreak/>
              <w:t xml:space="preserve">Tiks paredzēts Valsts ieņēmumu dienesta </w:t>
            </w:r>
            <w:r w:rsidR="00744266">
              <w:t xml:space="preserve">publicētajā ienākumu veidu </w:t>
            </w:r>
            <w:r w:rsidR="00DA2C3B">
              <w:t xml:space="preserve"> </w:t>
            </w:r>
            <w:r w:rsidR="0095324A">
              <w:t xml:space="preserve">kodu </w:t>
            </w:r>
            <w:r w:rsidR="00744266">
              <w:t>sarakstā.</w:t>
            </w:r>
          </w:p>
          <w:p w14:paraId="598696FF" w14:textId="77777777" w:rsidR="002543C3" w:rsidRDefault="002543C3" w:rsidP="00885402">
            <w:pPr>
              <w:suppressAutoHyphens/>
              <w:ind w:left="30"/>
              <w:jc w:val="both"/>
              <w:outlineLvl w:val="0"/>
            </w:pPr>
          </w:p>
        </w:tc>
      </w:tr>
      <w:tr w:rsidR="00D2169D" w:rsidRPr="00D375B7" w14:paraId="48BD72EF" w14:textId="77777777" w:rsidTr="000930A5">
        <w:tc>
          <w:tcPr>
            <w:tcW w:w="675" w:type="dxa"/>
            <w:shd w:val="clear" w:color="auto" w:fill="auto"/>
          </w:tcPr>
          <w:p w14:paraId="2375847C" w14:textId="77777777" w:rsidR="00D2169D" w:rsidRPr="00D375B7" w:rsidRDefault="00D2169D" w:rsidP="00624573">
            <w:pPr>
              <w:pStyle w:val="naisc"/>
              <w:spacing w:before="0" w:after="0"/>
            </w:pPr>
            <w:r w:rsidRPr="00D375B7">
              <w:lastRenderedPageBreak/>
              <w:t>6.</w:t>
            </w:r>
          </w:p>
        </w:tc>
        <w:tc>
          <w:tcPr>
            <w:tcW w:w="3119" w:type="dxa"/>
            <w:shd w:val="clear" w:color="auto" w:fill="auto"/>
          </w:tcPr>
          <w:p w14:paraId="6E684CEE" w14:textId="77777777" w:rsidR="008D2461" w:rsidRPr="00D375B7" w:rsidRDefault="008D2461" w:rsidP="008D2461">
            <w:pPr>
              <w:jc w:val="both"/>
            </w:pPr>
            <w:r w:rsidRPr="00D375B7">
              <w:t>Anotācijas II. sadaļas 1.punkts:</w:t>
            </w:r>
          </w:p>
          <w:p w14:paraId="325C3608" w14:textId="77777777" w:rsidR="008D2461" w:rsidRPr="00D375B7" w:rsidRDefault="008D2461" w:rsidP="008D2461">
            <w:pPr>
              <w:jc w:val="both"/>
            </w:pPr>
          </w:p>
          <w:p w14:paraId="16919638" w14:textId="77777777" w:rsidR="008D2461" w:rsidRPr="00D375B7" w:rsidRDefault="008D2461" w:rsidP="008D2461">
            <w:pPr>
              <w:jc w:val="both"/>
            </w:pPr>
            <w:r w:rsidRPr="00D375B7">
              <w:t>Iekšzemes darba ņēmēji pie darba devēja – ārvalstu nodokļa maksātāja vai iekšzemes darba ņēmēji, kuru darbu apmaksā no Latvijas Republikai piešķirtajiem ārvalstu finanšu vai tehniskās palīdzības vai starptautisko finanšu institūciju aizdevuma līdzekļiem.</w:t>
            </w:r>
          </w:p>
          <w:p w14:paraId="6A3C967E" w14:textId="77777777" w:rsidR="00D2169D" w:rsidRPr="00D375B7" w:rsidRDefault="008D2461" w:rsidP="008D2461">
            <w:pPr>
              <w:jc w:val="both"/>
            </w:pPr>
            <w:r w:rsidRPr="00D375B7">
              <w:t>Simtgades loterijas ienākuma izmaksātājs – VAS “Latvijas Loto”.</w:t>
            </w:r>
          </w:p>
          <w:p w14:paraId="316649CC" w14:textId="77777777" w:rsidR="008D2461" w:rsidRPr="00D375B7" w:rsidRDefault="008D2461" w:rsidP="008D2461">
            <w:pPr>
              <w:jc w:val="both"/>
            </w:pPr>
          </w:p>
          <w:p w14:paraId="3C29F1C6" w14:textId="77777777" w:rsidR="008D2461" w:rsidRPr="00D375B7" w:rsidRDefault="008D2461" w:rsidP="008D2461">
            <w:pPr>
              <w:jc w:val="both"/>
            </w:pPr>
            <w:r w:rsidRPr="00D375B7">
              <w:t>Anotācijas II. sadaļas 2.punkts:</w:t>
            </w:r>
          </w:p>
          <w:p w14:paraId="302D0A87" w14:textId="137087CB" w:rsidR="008D2461" w:rsidRPr="00D375B7" w:rsidRDefault="008D2461" w:rsidP="008D2461">
            <w:pPr>
              <w:jc w:val="both"/>
            </w:pPr>
          </w:p>
          <w:p w14:paraId="4AF9AF77" w14:textId="77777777" w:rsidR="008D2461" w:rsidRPr="00D375B7" w:rsidRDefault="008D2461" w:rsidP="008D2461">
            <w:pPr>
              <w:jc w:val="both"/>
            </w:pPr>
            <w:r w:rsidRPr="00D375B7">
              <w:t>Likuma “Par iedzīvotāju ienākuma nodokli” 17.panta 9.</w:t>
            </w:r>
            <w:r w:rsidRPr="00D375B7">
              <w:rPr>
                <w:vertAlign w:val="superscript"/>
              </w:rPr>
              <w:t xml:space="preserve">1 </w:t>
            </w:r>
            <w:r w:rsidRPr="00D375B7">
              <w:t xml:space="preserve">daļa </w:t>
            </w:r>
            <w:r w:rsidRPr="00D375B7">
              <w:rPr>
                <w:i/>
              </w:rPr>
              <w:t>(redakcijā, kas stāsies spēkā 2021.gada 1.janvarī)</w:t>
            </w:r>
            <w:r w:rsidRPr="00D375B7">
              <w:t xml:space="preserve"> paredz iekšzemes darba ņēmējiem pie darba devēja – ārvalstu nodokļa maksātāja vai iekšzemes darba ņēmējiem, kuru darbu apmaksā no Latvijas Republikai piešķirtajiem ārvalstu finanšu vai tehniskās </w:t>
            </w:r>
            <w:r w:rsidRPr="00D375B7">
              <w:lastRenderedPageBreak/>
              <w:t>palīdzības vai starptautisko finanšu institūciju aizdevuma līdzekļiem, paziņojumu sniegt reizi ceturksnī. Noteikumu projekts paredz šādā gadījumā norādīt citu (jaunu) ienākuma veida kodu. Salīdzinājumā ar esošo situāciju, kad minētais nodokļu maksātājs paziņojumu iesniedz reizi gadā, ar likuma “Par iedzīvotāju ienākuma nodokli” 17.panta 9.</w:t>
            </w:r>
            <w:r w:rsidRPr="00D375B7">
              <w:rPr>
                <w:vertAlign w:val="superscript"/>
              </w:rPr>
              <w:t xml:space="preserve">1 </w:t>
            </w:r>
            <w:r w:rsidRPr="00D375B7">
              <w:t>daļas stāšanos spēkā, pienākums iesniegt paziņojumu būs reizi ceturksnī, tomēr jāņem vērā, ka šāds pienākums tiek noteikts, lai nodrošinātu vienotā konta ieviešanu, kas kopumā ievērojami atvieglos nodokļu maksātājiem nodokļu samaksas procesu.</w:t>
            </w:r>
          </w:p>
          <w:p w14:paraId="67CD3A93" w14:textId="77777777" w:rsidR="008D2461" w:rsidRPr="00D375B7" w:rsidRDefault="008D2461" w:rsidP="008D2461">
            <w:pPr>
              <w:jc w:val="both"/>
            </w:pPr>
            <w:r w:rsidRPr="00D375B7">
              <w:t>Simtgades loterijas ienākum izmaksātājam paziņojumā turpmāk būs jānorāda cits (jauns) ienākuma veida kods. Minētais nemaina administratīvo slogu ienākumu izmaksātājiem.</w:t>
            </w:r>
          </w:p>
        </w:tc>
        <w:tc>
          <w:tcPr>
            <w:tcW w:w="4394" w:type="dxa"/>
            <w:shd w:val="clear" w:color="auto" w:fill="auto"/>
          </w:tcPr>
          <w:p w14:paraId="474D0B25" w14:textId="77777777" w:rsidR="00D2169D" w:rsidRPr="00D375B7" w:rsidRDefault="00D2169D" w:rsidP="00D2169D">
            <w:pPr>
              <w:tabs>
                <w:tab w:val="left" w:pos="851"/>
              </w:tabs>
              <w:suppressAutoHyphens/>
              <w:ind w:firstLine="720"/>
              <w:contextualSpacing/>
              <w:jc w:val="both"/>
              <w:outlineLvl w:val="0"/>
              <w:rPr>
                <w:iCs/>
              </w:rPr>
            </w:pPr>
            <w:r w:rsidRPr="00D375B7">
              <w:rPr>
                <w:iCs/>
              </w:rPr>
              <w:lastRenderedPageBreak/>
              <w:t>Lūdzam precizēt projekta anotācijas II sadaļas 1. punktu atbilstoši Ministru kabineta 2009. gada 15. decembra instrukcijas Nr. 19 "Tiesību akta projekta sākotnējās ietekmes izvērtēšanas kārtība" (turpmāk – Instrukcija Nr.19) 20. punkta prasībām, kas paredz, ka anotācijā norāda visas sabiedrības mērķgrupas, uz kurām attiecināms projekta tiesiskais regulējums tiešā un netiešā veidā, t.i., kuru tiesības, pienākumus, finanses vai iespējas projekts ietekmē vai varētu ietekmēt. Ar sabiedrības mērķgrupu saprot jebkuru fizisku vai juridisku personu grupu (tai skaitā valsts un pašvaldību iestādēs nodarbinātos), kuru skar projektā paredzētais regulējums. Projekts attiecas arī uz darba devējiem, kuri sniedz informāciju Valsts ieņēmumu dienestam un darba ņēmējam u.tml.</w:t>
            </w:r>
          </w:p>
          <w:p w14:paraId="71B159F0" w14:textId="77777777" w:rsidR="00D2169D" w:rsidRPr="00D375B7" w:rsidRDefault="00D2169D" w:rsidP="00D2169D">
            <w:pPr>
              <w:tabs>
                <w:tab w:val="left" w:pos="851"/>
              </w:tabs>
              <w:suppressAutoHyphens/>
              <w:ind w:firstLine="720"/>
              <w:contextualSpacing/>
              <w:jc w:val="both"/>
              <w:outlineLvl w:val="0"/>
              <w:rPr>
                <w:iCs/>
              </w:rPr>
            </w:pPr>
            <w:r w:rsidRPr="00D375B7">
              <w:rPr>
                <w:iCs/>
              </w:rPr>
              <w:t>Tāpat lūdzam precizēt projekta anotācijas II sadaļas 2. punktu, izvērtējot, vai līdzīgi kā Valsts ieņēmuma dienestam (skat. informāciju anotācijas III sadaļas 6. punktā) arī darba devējiem šo grozījumu rezultātā neradīsies izmaksas, lai pielāgotu savas grāmatvedības informācijas sistēmas. Vienlaikus lūdzam aizpildīt anotācijas II sadaļas 3. punktu, jo šobrīd tas nav aizpildīts vispār.</w:t>
            </w:r>
          </w:p>
          <w:p w14:paraId="3BD441AD" w14:textId="77777777" w:rsidR="00D2169D" w:rsidRPr="00D375B7" w:rsidRDefault="00D2169D" w:rsidP="00D2169D">
            <w:pPr>
              <w:tabs>
                <w:tab w:val="left" w:pos="851"/>
              </w:tabs>
              <w:suppressAutoHyphens/>
              <w:ind w:firstLine="720"/>
              <w:contextualSpacing/>
              <w:jc w:val="both"/>
              <w:outlineLvl w:val="0"/>
              <w:rPr>
                <w:iCs/>
              </w:rPr>
            </w:pPr>
          </w:p>
        </w:tc>
        <w:tc>
          <w:tcPr>
            <w:tcW w:w="3402" w:type="dxa"/>
            <w:shd w:val="clear" w:color="auto" w:fill="auto"/>
          </w:tcPr>
          <w:p w14:paraId="58E85C7E" w14:textId="77777777" w:rsidR="00D2169D" w:rsidRPr="00D375B7" w:rsidRDefault="004C526A" w:rsidP="008123A4">
            <w:pPr>
              <w:jc w:val="both"/>
            </w:pPr>
            <w:r w:rsidRPr="00D375B7">
              <w:rPr>
                <w:b/>
              </w:rPr>
              <w:t>Ņemts vērā</w:t>
            </w:r>
            <w:r w:rsidRPr="00D375B7">
              <w:t xml:space="preserve">, precizēta </w:t>
            </w:r>
            <w:r w:rsidR="008D2461" w:rsidRPr="00D375B7">
              <w:t>anotācijas II. sadaļa.</w:t>
            </w:r>
          </w:p>
        </w:tc>
        <w:tc>
          <w:tcPr>
            <w:tcW w:w="3260" w:type="dxa"/>
            <w:shd w:val="clear" w:color="auto" w:fill="auto"/>
          </w:tcPr>
          <w:p w14:paraId="65313506" w14:textId="77777777" w:rsidR="00D2169D" w:rsidRPr="00D375B7" w:rsidRDefault="008D2461" w:rsidP="00885402">
            <w:pPr>
              <w:suppressAutoHyphens/>
              <w:ind w:left="30"/>
              <w:jc w:val="both"/>
              <w:outlineLvl w:val="0"/>
            </w:pPr>
            <w:r w:rsidRPr="00D375B7">
              <w:t>Anotācijas II. sadaļas 1.punkts:</w:t>
            </w:r>
          </w:p>
          <w:p w14:paraId="2BCC0C8F" w14:textId="77777777" w:rsidR="008D2461" w:rsidRPr="00D375B7" w:rsidRDefault="008D2461" w:rsidP="00885402">
            <w:pPr>
              <w:suppressAutoHyphens/>
              <w:ind w:left="30"/>
              <w:jc w:val="both"/>
              <w:outlineLvl w:val="0"/>
            </w:pPr>
          </w:p>
          <w:p w14:paraId="4E0A9A92" w14:textId="77777777" w:rsidR="008D2461" w:rsidRPr="00D375B7" w:rsidRDefault="008D2461" w:rsidP="00885402">
            <w:pPr>
              <w:suppressAutoHyphens/>
              <w:ind w:left="30"/>
              <w:jc w:val="both"/>
              <w:outlineLvl w:val="0"/>
            </w:pPr>
            <w:r w:rsidRPr="00D375B7">
              <w:t>Visi ienākumu izmaksātāji, kuriem saskaņā ar likumu “Par iedzīvotāju ienākuma nodokli” ir pienākums iesniegt paziņojumu, kā arī fiziskās personas, par kuru ienākumu izmaksu paziņojums tiek sniegts.</w:t>
            </w:r>
          </w:p>
          <w:p w14:paraId="07D8BDF7" w14:textId="77777777" w:rsidR="008D2461" w:rsidRPr="00D375B7" w:rsidRDefault="008D2461" w:rsidP="00885402">
            <w:pPr>
              <w:suppressAutoHyphens/>
              <w:ind w:left="30"/>
              <w:jc w:val="both"/>
              <w:outlineLvl w:val="0"/>
            </w:pPr>
          </w:p>
          <w:p w14:paraId="20FC67ED" w14:textId="77777777" w:rsidR="008D2461" w:rsidRPr="00D375B7" w:rsidRDefault="008D2461" w:rsidP="008D2461">
            <w:pPr>
              <w:suppressAutoHyphens/>
              <w:ind w:left="30"/>
              <w:jc w:val="both"/>
              <w:outlineLvl w:val="0"/>
            </w:pPr>
            <w:r w:rsidRPr="00D375B7">
              <w:t>Anotācijas II. sadaļas 2.punkts:</w:t>
            </w:r>
          </w:p>
          <w:p w14:paraId="0E2BB59C" w14:textId="77777777" w:rsidR="008D2461" w:rsidRPr="00D375B7" w:rsidRDefault="008D2461" w:rsidP="008D2461">
            <w:pPr>
              <w:suppressAutoHyphens/>
              <w:ind w:left="30"/>
              <w:jc w:val="both"/>
              <w:outlineLvl w:val="0"/>
            </w:pPr>
          </w:p>
          <w:p w14:paraId="3DE2D23A" w14:textId="42D366D9" w:rsidR="008D2461" w:rsidRDefault="008D2461" w:rsidP="008D2461">
            <w:pPr>
              <w:suppressAutoHyphens/>
              <w:ind w:left="30"/>
              <w:jc w:val="both"/>
              <w:outlineLvl w:val="0"/>
              <w:rPr>
                <w:color w:val="212121"/>
                <w:shd w:val="clear" w:color="auto" w:fill="FFFFFF"/>
              </w:rPr>
            </w:pPr>
            <w:r w:rsidRPr="00D375B7">
              <w:rPr>
                <w:color w:val="212121"/>
                <w:shd w:val="clear" w:color="auto" w:fill="FFFFFF"/>
              </w:rPr>
              <w:t>Noteikumu projekts nemaina šobrīd noteikto paziņojumu iesniegšanas kārtību, veicot ienākumu izmaksu fiziskajām personām. Vienlaikus, tā kā noteikumu projektā netiek apstiprināta paziņojuma veidlapa, kā arī noteikti ienākumu veidu kodi, noteikumu projekts nodrošina normatīvisma mazināšanu, samazinot administratīvo slogu valsts pārvaldē, kas saistīts ar Ministru kabineta noteikumu grozījumu veikšanu.</w:t>
            </w:r>
          </w:p>
          <w:p w14:paraId="431D7776" w14:textId="7AC3781B" w:rsidR="00D375B7" w:rsidRDefault="00D375B7" w:rsidP="008D2461">
            <w:pPr>
              <w:suppressAutoHyphens/>
              <w:ind w:left="30"/>
              <w:jc w:val="both"/>
              <w:outlineLvl w:val="0"/>
              <w:rPr>
                <w:color w:val="212121"/>
                <w:shd w:val="clear" w:color="auto" w:fill="FFFFFF"/>
              </w:rPr>
            </w:pPr>
          </w:p>
          <w:p w14:paraId="37E3934D" w14:textId="4105A5E8" w:rsidR="00D375B7" w:rsidRDefault="00D375B7" w:rsidP="008D2461">
            <w:pPr>
              <w:suppressAutoHyphens/>
              <w:ind w:left="30"/>
              <w:jc w:val="both"/>
              <w:outlineLvl w:val="0"/>
              <w:rPr>
                <w:color w:val="212121"/>
                <w:shd w:val="clear" w:color="auto" w:fill="FFFFFF"/>
              </w:rPr>
            </w:pPr>
          </w:p>
          <w:p w14:paraId="10BA82C3" w14:textId="77777777" w:rsidR="00D375B7" w:rsidRPr="00D375B7" w:rsidRDefault="00D375B7" w:rsidP="008D2461">
            <w:pPr>
              <w:suppressAutoHyphens/>
              <w:ind w:left="30"/>
              <w:jc w:val="both"/>
              <w:outlineLvl w:val="0"/>
              <w:rPr>
                <w:color w:val="212121"/>
                <w:shd w:val="clear" w:color="auto" w:fill="FFFFFF"/>
              </w:rPr>
            </w:pPr>
          </w:p>
          <w:p w14:paraId="41A7C985" w14:textId="77777777" w:rsidR="008D2461" w:rsidRPr="00D375B7" w:rsidRDefault="008D2461" w:rsidP="008D2461">
            <w:pPr>
              <w:suppressAutoHyphens/>
              <w:ind w:left="30"/>
              <w:jc w:val="both"/>
              <w:outlineLvl w:val="0"/>
            </w:pPr>
          </w:p>
          <w:p w14:paraId="5CEAD3F9" w14:textId="0DA6C039" w:rsidR="008D2461" w:rsidRPr="00D375B7" w:rsidRDefault="008D2461" w:rsidP="008D2461">
            <w:pPr>
              <w:suppressAutoHyphens/>
              <w:ind w:left="30"/>
              <w:jc w:val="both"/>
              <w:outlineLvl w:val="0"/>
            </w:pPr>
            <w:r w:rsidRPr="00D375B7">
              <w:lastRenderedPageBreak/>
              <w:t>Anotācijas II. </w:t>
            </w:r>
            <w:r w:rsidR="0095324A" w:rsidRPr="00D375B7">
              <w:t>S</w:t>
            </w:r>
            <w:r w:rsidRPr="00D375B7">
              <w:t>adaļas</w:t>
            </w:r>
            <w:r w:rsidR="0095324A">
              <w:t xml:space="preserve"> </w:t>
            </w:r>
            <w:r w:rsidR="0006281B">
              <w:t>3</w:t>
            </w:r>
            <w:r w:rsidRPr="00D375B7">
              <w:t>.punkts:</w:t>
            </w:r>
          </w:p>
          <w:p w14:paraId="37D2DD6F" w14:textId="77777777" w:rsidR="008D2461" w:rsidRPr="00D375B7" w:rsidRDefault="008D2461" w:rsidP="008D2461">
            <w:pPr>
              <w:suppressAutoHyphens/>
              <w:ind w:left="30"/>
              <w:jc w:val="both"/>
              <w:outlineLvl w:val="0"/>
            </w:pPr>
          </w:p>
          <w:p w14:paraId="2F85CD55" w14:textId="77777777" w:rsidR="008D2461" w:rsidRPr="00D375B7" w:rsidRDefault="008D2461" w:rsidP="008D2461">
            <w:pPr>
              <w:suppressAutoHyphens/>
              <w:ind w:left="30"/>
              <w:jc w:val="both"/>
              <w:outlineLvl w:val="0"/>
            </w:pPr>
            <w:r w:rsidRPr="00D375B7">
              <w:t>Noteikumu projekts nemaina šobrīd noteikto paziņojumu iesniegšanas kārtību nodokļu maksātājiem.</w:t>
            </w:r>
          </w:p>
          <w:p w14:paraId="3B22FFD5" w14:textId="77777777" w:rsidR="008D2461" w:rsidRPr="00D375B7" w:rsidRDefault="008D2461" w:rsidP="00885402">
            <w:pPr>
              <w:suppressAutoHyphens/>
              <w:ind w:left="30"/>
              <w:jc w:val="both"/>
              <w:outlineLvl w:val="0"/>
            </w:pPr>
          </w:p>
        </w:tc>
      </w:tr>
      <w:tr w:rsidR="00AF1992" w:rsidRPr="00D375B7" w14:paraId="7A013601" w14:textId="77777777" w:rsidTr="000930A5">
        <w:tc>
          <w:tcPr>
            <w:tcW w:w="675" w:type="dxa"/>
            <w:shd w:val="clear" w:color="auto" w:fill="auto"/>
          </w:tcPr>
          <w:p w14:paraId="26EF0B86" w14:textId="77777777" w:rsidR="00AF1992" w:rsidRPr="00D375B7" w:rsidRDefault="00AF1992" w:rsidP="00AF1992">
            <w:pPr>
              <w:pStyle w:val="naisc"/>
              <w:spacing w:before="0" w:after="0"/>
            </w:pPr>
            <w:r w:rsidRPr="00D375B7">
              <w:lastRenderedPageBreak/>
              <w:t>7.</w:t>
            </w:r>
          </w:p>
        </w:tc>
        <w:tc>
          <w:tcPr>
            <w:tcW w:w="3119" w:type="dxa"/>
            <w:shd w:val="clear" w:color="auto" w:fill="auto"/>
          </w:tcPr>
          <w:p w14:paraId="3B99DF35" w14:textId="77777777" w:rsidR="00AF1992" w:rsidRPr="00D375B7" w:rsidRDefault="00AF1992" w:rsidP="00AF1992">
            <w:pPr>
              <w:jc w:val="both"/>
            </w:pPr>
            <w:r w:rsidRPr="00D375B7">
              <w:t>Anotācijas</w:t>
            </w:r>
            <w:hyperlink r:id="rId8" w:anchor="n6" w:history="1">
              <w:r w:rsidRPr="00D375B7">
                <w:t xml:space="preserve"> VI sadaļas</w:t>
              </w:r>
            </w:hyperlink>
            <w:r w:rsidRPr="00D375B7">
              <w:t xml:space="preserve"> </w:t>
            </w:r>
            <w:hyperlink r:id="rId9" w:anchor="p2" w:history="1">
              <w:r w:rsidRPr="00D375B7">
                <w:t>2. punkt</w:t>
              </w:r>
            </w:hyperlink>
            <w:r w:rsidRPr="00D375B7">
              <w:t>s:</w:t>
            </w:r>
          </w:p>
          <w:p w14:paraId="1914D1B1" w14:textId="77777777" w:rsidR="00AF1992" w:rsidRPr="00D375B7" w:rsidRDefault="00AF1992" w:rsidP="00AF1992">
            <w:pPr>
              <w:jc w:val="both"/>
            </w:pPr>
          </w:p>
          <w:p w14:paraId="4EBD3A2F" w14:textId="77777777" w:rsidR="00AF1992" w:rsidRPr="00D375B7" w:rsidRDefault="00AF1992" w:rsidP="00AF1992">
            <w:pPr>
              <w:jc w:val="both"/>
            </w:pPr>
            <w:r w:rsidRPr="00D375B7">
              <w:t xml:space="preserve">Sabiedrības pārstāvji var līdzdarboties, rakstveidā </w:t>
            </w:r>
            <w:r w:rsidRPr="00D375B7">
              <w:lastRenderedPageBreak/>
              <w:t xml:space="preserve">sniedzot viedokļus par noteikumu projektu pēc tā publicēšanas Finanšu ministrijas tīmekļa vietnē. </w:t>
            </w:r>
          </w:p>
          <w:p w14:paraId="4C6DF078" w14:textId="77777777" w:rsidR="00AF1992" w:rsidRPr="00D375B7" w:rsidRDefault="00AF1992" w:rsidP="00AF1992">
            <w:pPr>
              <w:jc w:val="both"/>
            </w:pPr>
            <w:r w:rsidRPr="00D375B7">
              <w:t>Sabiedrība viedokli par noteikumu projektu var izteikt līdz 16.septembrim.</w:t>
            </w:r>
          </w:p>
          <w:p w14:paraId="30AF0BCE" w14:textId="77777777" w:rsidR="00AF1992" w:rsidRPr="00D375B7" w:rsidRDefault="00AF1992" w:rsidP="00AF1992">
            <w:pPr>
              <w:jc w:val="both"/>
            </w:pPr>
          </w:p>
          <w:p w14:paraId="46649A01" w14:textId="77777777" w:rsidR="00AF1992" w:rsidRPr="00D375B7" w:rsidRDefault="00AF1992" w:rsidP="00AF1992">
            <w:pPr>
              <w:jc w:val="both"/>
            </w:pPr>
            <w:r w:rsidRPr="00D375B7">
              <w:t>Anotācijas</w:t>
            </w:r>
            <w:hyperlink r:id="rId10" w:anchor="n6" w:history="1">
              <w:r w:rsidRPr="00D375B7">
                <w:t xml:space="preserve"> VI sadaļas</w:t>
              </w:r>
            </w:hyperlink>
            <w:r w:rsidRPr="00D375B7">
              <w:t xml:space="preserve"> </w:t>
            </w:r>
            <w:hyperlink r:id="rId11" w:anchor="p3" w:history="1">
              <w:r w:rsidRPr="00D375B7">
                <w:t>3. punkt</w:t>
              </w:r>
            </w:hyperlink>
            <w:r w:rsidRPr="00D375B7">
              <w:t>s:</w:t>
            </w:r>
          </w:p>
          <w:p w14:paraId="1C74ECBC" w14:textId="77777777" w:rsidR="00AF1992" w:rsidRPr="00D375B7" w:rsidRDefault="00AF1992" w:rsidP="00AF1992">
            <w:pPr>
              <w:jc w:val="both"/>
            </w:pPr>
          </w:p>
          <w:p w14:paraId="4CAAB001" w14:textId="77777777" w:rsidR="00AF1992" w:rsidRPr="00D375B7" w:rsidRDefault="00AF1992" w:rsidP="00AF1992">
            <w:pPr>
              <w:jc w:val="both"/>
            </w:pPr>
            <w:r w:rsidRPr="00D375B7">
              <w:t>Iebildumi un priekšlikumi par projektu nav saņemti.</w:t>
            </w:r>
          </w:p>
        </w:tc>
        <w:tc>
          <w:tcPr>
            <w:tcW w:w="4394" w:type="dxa"/>
            <w:shd w:val="clear" w:color="auto" w:fill="auto"/>
          </w:tcPr>
          <w:p w14:paraId="4B2EE9AF" w14:textId="77777777" w:rsidR="00AF1992" w:rsidRPr="00D375B7" w:rsidRDefault="00AF1992" w:rsidP="00AF1992">
            <w:pPr>
              <w:tabs>
                <w:tab w:val="left" w:pos="851"/>
              </w:tabs>
              <w:suppressAutoHyphens/>
              <w:ind w:firstLine="720"/>
              <w:contextualSpacing/>
              <w:jc w:val="both"/>
              <w:outlineLvl w:val="0"/>
              <w:rPr>
                <w:iCs/>
              </w:rPr>
            </w:pPr>
            <w:r w:rsidRPr="00D375B7">
              <w:rPr>
                <w:iCs/>
              </w:rPr>
              <w:lastRenderedPageBreak/>
              <w:t xml:space="preserve">Atbilstoši Valsts pārvaldes iekārtas likuma 10. panta septītajai daļai valsts pārvaldes pienākums ir informēt sabiedrību par savu darbību; tas attiecas it īpaši uz to sabiedrības daļu, kuru tiesības vai tiesiskās </w:t>
            </w:r>
            <w:r w:rsidRPr="00D375B7">
              <w:rPr>
                <w:iCs/>
              </w:rPr>
              <w:lastRenderedPageBreak/>
              <w:t>intereses īstenotā vai plānotā darbība skar vai var skart. Plānojot sabiedrības līdzdalību, jāizvēlas piemērotākie sabiedrības līdzdalības veidi, veicinot efektīvu, atklātu, ietverošu, savlaicīgu un atbildīgu sabiedrības iesaistīšanos.</w:t>
            </w:r>
          </w:p>
          <w:p w14:paraId="61C7B7D0" w14:textId="77777777" w:rsidR="00AF1992" w:rsidRPr="00D375B7" w:rsidRDefault="00AF1992" w:rsidP="00AF1992">
            <w:pPr>
              <w:tabs>
                <w:tab w:val="left" w:pos="851"/>
              </w:tabs>
              <w:suppressAutoHyphens/>
              <w:ind w:right="57" w:firstLine="720"/>
              <w:jc w:val="both"/>
            </w:pPr>
            <w:r w:rsidRPr="00D375B7">
              <w:t>Instrukcijas Nr. 19 3. punkts noteic, ka anotācijā ietver informāciju par sabiedrības līdzdalību projekta izstrādē un šīs līdzdalības rezultātiem. Projekta izstrādātājs, organizējot sabiedrības līdzdalību projekta izstrādē, ievēro normatīvos aktus par sabiedrības līdzdalību attīstības plānošanas procesā.</w:t>
            </w:r>
          </w:p>
          <w:p w14:paraId="45E38D37" w14:textId="77777777" w:rsidR="00AF1992" w:rsidRPr="00D375B7" w:rsidRDefault="00AF1992" w:rsidP="00AF1992">
            <w:pPr>
              <w:pStyle w:val="NormalWeb"/>
              <w:tabs>
                <w:tab w:val="left" w:pos="851"/>
              </w:tabs>
              <w:spacing w:before="0" w:beforeAutospacing="0" w:after="0" w:afterAutospacing="0"/>
              <w:ind w:right="11" w:firstLine="720"/>
              <w:jc w:val="both"/>
              <w:rPr>
                <w:bCs/>
                <w:iCs/>
              </w:rPr>
            </w:pPr>
            <w:r w:rsidRPr="00D375B7">
              <w:rPr>
                <w:bCs/>
                <w:iCs/>
              </w:rPr>
              <w:t>Atbilstoši Ministru kabineta 2009. gada 25. augusta noteikumu Nr. 970</w:t>
            </w:r>
            <w:r w:rsidRPr="00D375B7">
              <w:t xml:space="preserve"> </w:t>
            </w:r>
            <w:r w:rsidRPr="00D375B7">
              <w:rPr>
                <w:bCs/>
                <w:iCs/>
              </w:rPr>
              <w:t>"Sabiedrības līdzdalības kārtība attīstības plānošanas procesā" 13. punktam atbildīgā amatpersona sagatavo un nodrošina paziņojuma par līdzdalības procesu publicēšanu institūcijas tīmekļvietnē sadaļā "Sabiedrības līdzdalība". Minēto noteikumu 14. punkts vienlaikus paredz, ka tiešās valsts pārvaldes institūcijas elektroniski sagatavotus paziņojumus par līdzdalības procesu iesniedz arī Valsts kancelejā publicēšanai tās mājaslapā.</w:t>
            </w:r>
            <w:r w:rsidRPr="00D375B7">
              <w:rPr>
                <w:rStyle w:val="FootnoteReference"/>
                <w:bCs/>
                <w:iCs/>
              </w:rPr>
              <w:footnoteReference w:id="2"/>
            </w:r>
          </w:p>
          <w:p w14:paraId="45AD4AFA" w14:textId="77777777" w:rsidR="00AF1992" w:rsidRPr="00D375B7" w:rsidRDefault="00AF1992" w:rsidP="00AF1992">
            <w:pPr>
              <w:tabs>
                <w:tab w:val="left" w:pos="851"/>
              </w:tabs>
              <w:suppressAutoHyphens/>
              <w:ind w:right="57" w:firstLine="720"/>
              <w:jc w:val="both"/>
            </w:pPr>
            <w:r w:rsidRPr="00D375B7">
              <w:t>Ievērojot minēto, Instrukcijas Nr. 19 61. un 62. punkts paredz, ka anotācijas</w:t>
            </w:r>
            <w:hyperlink r:id="rId12" w:anchor="n6" w:history="1">
              <w:r w:rsidRPr="00D375B7">
                <w:t xml:space="preserve"> VI sadaļas</w:t>
              </w:r>
            </w:hyperlink>
            <w:r w:rsidRPr="00D375B7">
              <w:t xml:space="preserve"> </w:t>
            </w:r>
            <w:hyperlink r:id="rId13" w:anchor="p2" w:history="1">
              <w:r w:rsidRPr="00D375B7">
                <w:t>2. punktā</w:t>
              </w:r>
            </w:hyperlink>
            <w:r w:rsidRPr="00D375B7">
              <w:t xml:space="preserve"> ("Sabiedrības līdzdalība projekta izstrādē") norāda:</w:t>
            </w:r>
          </w:p>
          <w:p w14:paraId="2422240D" w14:textId="77777777" w:rsidR="00AF1992" w:rsidRPr="00D375B7" w:rsidRDefault="00AF1992" w:rsidP="00AF1992">
            <w:pPr>
              <w:tabs>
                <w:tab w:val="left" w:pos="851"/>
              </w:tabs>
              <w:suppressAutoHyphens/>
              <w:ind w:right="57" w:firstLine="720"/>
              <w:jc w:val="both"/>
            </w:pPr>
            <w:r w:rsidRPr="00D375B7">
              <w:lastRenderedPageBreak/>
              <w:t>– visus projekta izstrādes procesā izmantotos sabiedrības līdzdalības veidus;</w:t>
            </w:r>
          </w:p>
          <w:p w14:paraId="4CCDC849" w14:textId="77777777" w:rsidR="00AF1992" w:rsidRPr="00D375B7" w:rsidRDefault="00AF1992" w:rsidP="00AF1992">
            <w:pPr>
              <w:tabs>
                <w:tab w:val="left" w:pos="851"/>
              </w:tabs>
              <w:suppressAutoHyphens/>
              <w:ind w:right="57" w:firstLine="720"/>
              <w:jc w:val="both"/>
            </w:pPr>
            <w:r w:rsidRPr="00D375B7">
              <w:t>– sabiedrības pārstāvjus, ar kuriem notikušas konsultācijas projekta izstrādes procesā;</w:t>
            </w:r>
          </w:p>
          <w:p w14:paraId="0D896FE4" w14:textId="77777777" w:rsidR="00AF1992" w:rsidRPr="00D375B7" w:rsidRDefault="00AF1992" w:rsidP="00AF1992">
            <w:pPr>
              <w:tabs>
                <w:tab w:val="left" w:pos="851"/>
              </w:tabs>
              <w:suppressAutoHyphens/>
              <w:ind w:right="57" w:firstLine="720"/>
              <w:jc w:val="both"/>
            </w:pPr>
            <w:r w:rsidRPr="00D375B7">
              <w:t>– projekta publicēšanas datumu institūcijas tīmekļvietnē, kā arī tīmekļvietnes adresi (proti, saiti uz paziņojumu).</w:t>
            </w:r>
          </w:p>
          <w:p w14:paraId="6C96295C" w14:textId="77777777" w:rsidR="00AF1992" w:rsidRPr="00D375B7" w:rsidRDefault="00AF1992" w:rsidP="00AF1992">
            <w:pPr>
              <w:tabs>
                <w:tab w:val="left" w:pos="851"/>
              </w:tabs>
              <w:suppressAutoHyphens/>
              <w:ind w:right="57" w:firstLine="720"/>
              <w:jc w:val="both"/>
            </w:pPr>
            <w:r w:rsidRPr="00D375B7">
              <w:t>Savukārt anotācijas</w:t>
            </w:r>
            <w:hyperlink r:id="rId14" w:anchor="n6" w:history="1">
              <w:r w:rsidRPr="00D375B7">
                <w:t xml:space="preserve"> VI sadaļas</w:t>
              </w:r>
            </w:hyperlink>
            <w:r w:rsidRPr="00D375B7">
              <w:t xml:space="preserve"> </w:t>
            </w:r>
            <w:hyperlink r:id="rId15" w:anchor="p3" w:history="1">
              <w:r w:rsidRPr="00D375B7">
                <w:t>3. punktā</w:t>
              </w:r>
            </w:hyperlink>
            <w:r w:rsidRPr="00D375B7">
              <w:t xml:space="preserve"> ("Sabiedrības līdzdalības rezultāti") norāda:</w:t>
            </w:r>
          </w:p>
          <w:p w14:paraId="57BD9CB7" w14:textId="77777777" w:rsidR="00AF1992" w:rsidRPr="00D375B7" w:rsidRDefault="00AF1992" w:rsidP="00AF1992">
            <w:pPr>
              <w:tabs>
                <w:tab w:val="left" w:pos="851"/>
              </w:tabs>
              <w:suppressAutoHyphens/>
              <w:ind w:right="57" w:firstLine="720"/>
              <w:jc w:val="both"/>
            </w:pPr>
            <w:r w:rsidRPr="00D375B7">
              <w:t>– sabiedrības pārstāvju atbalsta pakāpi projektam (piemēram, atbalsta, neatbalsta vai daļēji atbalsta);</w:t>
            </w:r>
          </w:p>
          <w:p w14:paraId="203200B5" w14:textId="77777777" w:rsidR="00AF1992" w:rsidRPr="00D375B7" w:rsidRDefault="00AF1992" w:rsidP="00AF1992">
            <w:pPr>
              <w:tabs>
                <w:tab w:val="left" w:pos="851"/>
              </w:tabs>
              <w:suppressAutoHyphens/>
              <w:ind w:right="57" w:firstLine="720"/>
              <w:jc w:val="both"/>
            </w:pPr>
            <w:r w:rsidRPr="00D375B7">
              <w:t>– sabiedrības pārstāvju izteiktos būtiskākos priekšlikumus projekta izstrādes procesā;</w:t>
            </w:r>
          </w:p>
          <w:p w14:paraId="3951ECA2" w14:textId="77777777" w:rsidR="00AF1992" w:rsidRPr="00D375B7" w:rsidRDefault="00AF1992" w:rsidP="00AF1992">
            <w:pPr>
              <w:tabs>
                <w:tab w:val="left" w:pos="851"/>
              </w:tabs>
              <w:suppressAutoHyphens/>
              <w:ind w:right="57" w:firstLine="720"/>
              <w:jc w:val="both"/>
            </w:pPr>
            <w:r w:rsidRPr="00D375B7">
              <w:t>–  vai un kādā veidā sabiedrības pārstāvju priekšlikumi ir ņemti vērā projekta izstrādes procesā. Ja sabiedrības pārstāvju priekšlikumi nav tikuši ņemti vērā, norāda, kādēļ.</w:t>
            </w:r>
          </w:p>
          <w:p w14:paraId="16EFC444" w14:textId="77777777" w:rsidR="00AF1992" w:rsidRPr="00D375B7" w:rsidRDefault="00AF1992" w:rsidP="00AF1992">
            <w:pPr>
              <w:tabs>
                <w:tab w:val="left" w:pos="851"/>
              </w:tabs>
              <w:ind w:firstLine="720"/>
              <w:jc w:val="both"/>
            </w:pPr>
            <w:r w:rsidRPr="00D375B7">
              <w:t>Projekta anotācijas VI sadaļā tikai norādīts, ka i</w:t>
            </w:r>
            <w:r w:rsidRPr="00D375B7">
              <w:rPr>
                <w:iCs/>
              </w:rPr>
              <w:t>nformācija par projekta izstrādi 2019. gada 2. septembrī publicēta Finanšu ministrijas tīmekļvietnē.</w:t>
            </w:r>
            <w:r w:rsidRPr="00D375B7">
              <w:t xml:space="preserve"> Iebildumi un priekšlikumi par projektu nav saņemti.</w:t>
            </w:r>
          </w:p>
          <w:p w14:paraId="07492E23" w14:textId="77777777" w:rsidR="00AF1992" w:rsidRPr="00D375B7" w:rsidRDefault="00AF1992" w:rsidP="00AF1992">
            <w:pPr>
              <w:pStyle w:val="NormalWeb"/>
              <w:tabs>
                <w:tab w:val="left" w:pos="851"/>
              </w:tabs>
              <w:spacing w:before="0" w:beforeAutospacing="0" w:after="0" w:afterAutospacing="0"/>
              <w:ind w:right="13" w:firstLine="720"/>
              <w:jc w:val="both"/>
              <w:rPr>
                <w:bCs/>
                <w:iCs/>
              </w:rPr>
            </w:pPr>
            <w:r w:rsidRPr="00D375B7">
              <w:rPr>
                <w:bCs/>
                <w:iCs/>
              </w:rPr>
              <w:t xml:space="preserve">No minētā var spriest, ka mērķtiecīgas konsultācijas ar ienākumu izmaksātāju (darba devēju) un darba ņēmēju pārstāvjiem nav notikušas. Nav arī norādes, ka informācija par projektu ir </w:t>
            </w:r>
            <w:r w:rsidRPr="00D375B7">
              <w:rPr>
                <w:bCs/>
                <w:iCs/>
              </w:rPr>
              <w:lastRenderedPageBreak/>
              <w:t>bijusi pieejama arī Valsts kancelejas tīmekļvietnē.</w:t>
            </w:r>
          </w:p>
          <w:p w14:paraId="1D7BA87E" w14:textId="77777777" w:rsidR="00AF1992" w:rsidRPr="00D375B7" w:rsidRDefault="00AF1992" w:rsidP="00AF1992">
            <w:pPr>
              <w:tabs>
                <w:tab w:val="left" w:pos="851"/>
              </w:tabs>
              <w:suppressAutoHyphens/>
              <w:ind w:firstLine="720"/>
              <w:contextualSpacing/>
              <w:jc w:val="both"/>
              <w:outlineLvl w:val="0"/>
              <w:rPr>
                <w:iCs/>
              </w:rPr>
            </w:pPr>
            <w:r w:rsidRPr="00D375B7">
              <w:rPr>
                <w:bCs/>
                <w:iCs/>
              </w:rPr>
              <w:t>Ņemot vērā norādīto, lūdzam precizēt projekta anotācijas VI sadaļu atbilstoši Instrukcijas Nr. 19 61. un 62. punktam, t.sk. nodrošinot konsultācijas ar ienākumu izmaksātāju (darba devēju) un darba ņēmēju intereses pārstāvošām nevalstiskajām organizācijām par šādu izmaiņu ietekmi uz minētajām sabiedrības mērķgrupām.</w:t>
            </w:r>
          </w:p>
        </w:tc>
        <w:tc>
          <w:tcPr>
            <w:tcW w:w="3402" w:type="dxa"/>
            <w:shd w:val="clear" w:color="auto" w:fill="auto"/>
          </w:tcPr>
          <w:p w14:paraId="2BFBB0F5" w14:textId="77777777" w:rsidR="00AF1992" w:rsidRPr="00D375B7" w:rsidRDefault="00AF1992" w:rsidP="00AF1992">
            <w:pPr>
              <w:jc w:val="both"/>
            </w:pPr>
            <w:r w:rsidRPr="00D375B7">
              <w:rPr>
                <w:b/>
              </w:rPr>
              <w:lastRenderedPageBreak/>
              <w:t xml:space="preserve">Ņemts vērā. </w:t>
            </w:r>
            <w:r w:rsidRPr="00D375B7">
              <w:t>Precizēta anotācijas VI. Sadaļa.</w:t>
            </w:r>
          </w:p>
        </w:tc>
        <w:tc>
          <w:tcPr>
            <w:tcW w:w="3260" w:type="dxa"/>
            <w:shd w:val="clear" w:color="auto" w:fill="auto"/>
          </w:tcPr>
          <w:p w14:paraId="71C06FE8" w14:textId="77777777" w:rsidR="00755B40" w:rsidRPr="00D375B7" w:rsidRDefault="00755B40" w:rsidP="00755B40">
            <w:pPr>
              <w:jc w:val="both"/>
            </w:pPr>
            <w:r w:rsidRPr="00D375B7">
              <w:t>Anotācijas</w:t>
            </w:r>
            <w:hyperlink r:id="rId16" w:anchor="n6" w:history="1">
              <w:r w:rsidRPr="00D375B7">
                <w:t xml:space="preserve"> VI sadaļas</w:t>
              </w:r>
            </w:hyperlink>
            <w:r w:rsidRPr="00D375B7">
              <w:t xml:space="preserve"> </w:t>
            </w:r>
            <w:hyperlink r:id="rId17" w:anchor="p2" w:history="1">
              <w:r w:rsidRPr="00D375B7">
                <w:t>2. punkt</w:t>
              </w:r>
            </w:hyperlink>
            <w:r w:rsidRPr="00D375B7">
              <w:t>s:</w:t>
            </w:r>
          </w:p>
          <w:p w14:paraId="7E920D5D" w14:textId="77777777" w:rsidR="00755B40" w:rsidRPr="00D375B7" w:rsidRDefault="00755B40" w:rsidP="00755B40">
            <w:pPr>
              <w:jc w:val="both"/>
            </w:pPr>
          </w:p>
          <w:p w14:paraId="4417B32E" w14:textId="348DB00F" w:rsidR="00755B40" w:rsidRPr="00D375B7" w:rsidRDefault="00755B40" w:rsidP="00755B40">
            <w:pPr>
              <w:shd w:val="clear" w:color="auto" w:fill="FFFFFF"/>
              <w:jc w:val="both"/>
              <w:rPr>
                <w:iCs/>
              </w:rPr>
            </w:pPr>
            <w:r w:rsidRPr="00D375B7">
              <w:t xml:space="preserve">Sabiedrības pārstāvji saskaņā ar </w:t>
            </w:r>
            <w:hyperlink r:id="rId18" w:history="1">
              <w:r w:rsidRPr="00D375B7">
                <w:t xml:space="preserve"> Noteikumi Nr. 970</w:t>
              </w:r>
            </w:hyperlink>
            <w:r w:rsidRPr="00D375B7">
              <w:t xml:space="preserve"> </w:t>
            </w:r>
            <w:r w:rsidRPr="00D375B7">
              <w:lastRenderedPageBreak/>
              <w:t>7.4.</w:t>
            </w:r>
            <w:r w:rsidRPr="00D375B7">
              <w:rPr>
                <w:vertAlign w:val="superscript"/>
              </w:rPr>
              <w:t>1</w:t>
            </w:r>
            <w:r w:rsidRPr="00D375B7">
              <w:t> apakšpunktu var sniegt viedokli par projektu tā izstrādes stadijā, kas 2019.gada 2. septembrī publicēts</w:t>
            </w:r>
            <w:r w:rsidR="00D11DBC" w:rsidRPr="00D375B7">
              <w:t xml:space="preserve"> un 2020.gada 2.oktobrī aktualizēts</w:t>
            </w:r>
            <w:r w:rsidRPr="00D375B7">
              <w:t xml:space="preserve"> Finanšu ministrijas </w:t>
            </w:r>
            <w:r w:rsidRPr="00D375B7">
              <w:rPr>
                <w:iCs/>
              </w:rPr>
              <w:t xml:space="preserve">tīmekļvietnes sadaļā “Sabiedrības līdzdalība” – “Tiesību aktu projekti” –“Nodokļu politika” </w:t>
            </w:r>
            <w:hyperlink r:id="rId19" w:history="1">
              <w:r w:rsidR="00C90625" w:rsidRPr="00D375B7">
                <w:rPr>
                  <w:rStyle w:val="Hyperlink"/>
                </w:rPr>
                <w:t>https://www.fm.gov.lv/lv/uzzina-par-ministru-kabineta-noteikumu-projektu-grozijumi-ministru-kabineta-2008-gada-25-augusta-noteikumos-nr-677-noteikumi-par-iedzivotaju-ienakuma-nodokla-pazinojumiem</w:t>
              </w:r>
            </w:hyperlink>
            <w:r w:rsidR="007365D9" w:rsidRPr="00D375B7">
              <w:t xml:space="preserve"> </w:t>
            </w:r>
            <w:r w:rsidR="00C90625" w:rsidRPr="00D375B7">
              <w:t xml:space="preserve"> </w:t>
            </w:r>
            <w:r w:rsidR="007365D9" w:rsidRPr="00D375B7">
              <w:t xml:space="preserve">un 2020.gada 2.oktobrī bija publicēts </w:t>
            </w:r>
            <w:r w:rsidRPr="00D375B7">
              <w:rPr>
                <w:rStyle w:val="Hyperlink"/>
                <w:color w:val="000000"/>
                <w:u w:val="none"/>
              </w:rPr>
              <w:t xml:space="preserve"> Ministru kabineta tīmekļvietnes sadaļā “Valsts kanceleja” – “Sabiedrības līdzdalība”</w:t>
            </w:r>
            <w:r w:rsidRPr="00D375B7">
              <w:rPr>
                <w:rStyle w:val="Hyperlink"/>
                <w:color w:val="000000"/>
              </w:rPr>
              <w:t xml:space="preserve"> </w:t>
            </w:r>
            <w:hyperlink r:id="rId20" w:tgtFrame="_blank" w:history="1">
              <w:r w:rsidRPr="00D375B7">
                <w:rPr>
                  <w:rStyle w:val="Hyperlink"/>
                </w:rPr>
                <w:t>https://mk.gov.lv/content/ministru-kabineta-diskusiju-dokumenti</w:t>
              </w:r>
            </w:hyperlink>
            <w:r w:rsidRPr="00D375B7">
              <w:rPr>
                <w:rStyle w:val="Hyperlink"/>
              </w:rPr>
              <w:t>.</w:t>
            </w:r>
          </w:p>
          <w:p w14:paraId="5F5C4575" w14:textId="75692988" w:rsidR="00AF1992" w:rsidRPr="00D375B7" w:rsidRDefault="00755B40" w:rsidP="00D82865">
            <w:pPr>
              <w:shd w:val="clear" w:color="auto" w:fill="FFFFFF"/>
              <w:jc w:val="both"/>
              <w:rPr>
                <w:iCs/>
              </w:rPr>
            </w:pPr>
            <w:r w:rsidRPr="00D375B7">
              <w:rPr>
                <w:iCs/>
              </w:rPr>
              <w:t xml:space="preserve">Papildus saskaņošana veikta elektroniski ar </w:t>
            </w:r>
            <w:r w:rsidR="00BC2F53" w:rsidRPr="00D375B7">
              <w:rPr>
                <w:iCs/>
              </w:rPr>
              <w:t xml:space="preserve">Latvijas </w:t>
            </w:r>
            <w:r w:rsidRPr="00D375B7">
              <w:rPr>
                <w:iCs/>
              </w:rPr>
              <w:t xml:space="preserve">Darba devēju konfederāciju 2021.gada </w:t>
            </w:r>
            <w:r w:rsidR="00D82865" w:rsidRPr="00D375B7">
              <w:rPr>
                <w:iCs/>
              </w:rPr>
              <w:t>28</w:t>
            </w:r>
            <w:r w:rsidRPr="00D375B7">
              <w:rPr>
                <w:iCs/>
              </w:rPr>
              <w:t>.</w:t>
            </w:r>
            <w:r w:rsidR="00195040" w:rsidRPr="00D375B7">
              <w:rPr>
                <w:iCs/>
              </w:rPr>
              <w:t>maijā</w:t>
            </w:r>
            <w:r w:rsidRPr="00D375B7">
              <w:rPr>
                <w:iCs/>
              </w:rPr>
              <w:t>.</w:t>
            </w:r>
          </w:p>
          <w:p w14:paraId="5E6B32D3" w14:textId="77777777" w:rsidR="00D82865" w:rsidRPr="00D375B7" w:rsidRDefault="00D82865" w:rsidP="00D82865">
            <w:pPr>
              <w:shd w:val="clear" w:color="auto" w:fill="FFFFFF"/>
              <w:jc w:val="both"/>
              <w:rPr>
                <w:iCs/>
              </w:rPr>
            </w:pPr>
          </w:p>
          <w:p w14:paraId="602D152E" w14:textId="7BECC289" w:rsidR="00D82865" w:rsidRPr="00D375B7" w:rsidRDefault="00D82865" w:rsidP="00D82865">
            <w:pPr>
              <w:jc w:val="both"/>
            </w:pPr>
            <w:r w:rsidRPr="00D375B7">
              <w:t>Anotācijas</w:t>
            </w:r>
            <w:hyperlink r:id="rId21" w:anchor="n6" w:history="1">
              <w:r w:rsidRPr="00D375B7">
                <w:t xml:space="preserve"> VI sadaļas</w:t>
              </w:r>
            </w:hyperlink>
            <w:r w:rsidRPr="00D375B7">
              <w:t xml:space="preserve"> </w:t>
            </w:r>
            <w:hyperlink r:id="rId22" w:anchor="p2" w:history="1">
              <w:r w:rsidRPr="00D375B7">
                <w:t>3. punkt</w:t>
              </w:r>
            </w:hyperlink>
            <w:r w:rsidRPr="00D375B7">
              <w:t>s:</w:t>
            </w:r>
          </w:p>
          <w:p w14:paraId="44EFF1F0" w14:textId="77777777" w:rsidR="00D82865" w:rsidRPr="00D375B7" w:rsidRDefault="00D82865" w:rsidP="00D82865">
            <w:pPr>
              <w:jc w:val="both"/>
            </w:pPr>
          </w:p>
          <w:p w14:paraId="5F592585" w14:textId="17B5239A" w:rsidR="00D82865" w:rsidRPr="00D375B7" w:rsidRDefault="00D82865" w:rsidP="00D82865">
            <w:pPr>
              <w:shd w:val="clear" w:color="auto" w:fill="FFFFFF"/>
              <w:jc w:val="both"/>
            </w:pPr>
            <w:r w:rsidRPr="00D375B7">
              <w:t>Iebildumi un priekšlikumi par projektu nav saņemti.</w:t>
            </w:r>
          </w:p>
        </w:tc>
      </w:tr>
      <w:tr w:rsidR="00744266" w:rsidRPr="00D375B7" w14:paraId="6B99E1AD" w14:textId="77777777" w:rsidTr="000930A5">
        <w:tc>
          <w:tcPr>
            <w:tcW w:w="675" w:type="dxa"/>
            <w:shd w:val="clear" w:color="auto" w:fill="auto"/>
          </w:tcPr>
          <w:p w14:paraId="7BBCFD74" w14:textId="675E73A5" w:rsidR="00744266" w:rsidRPr="00D375B7" w:rsidRDefault="00744266" w:rsidP="00AF1992">
            <w:pPr>
              <w:pStyle w:val="naisc"/>
              <w:spacing w:before="0" w:after="0"/>
            </w:pPr>
            <w:r w:rsidRPr="00D375B7">
              <w:lastRenderedPageBreak/>
              <w:t>8.</w:t>
            </w:r>
          </w:p>
        </w:tc>
        <w:tc>
          <w:tcPr>
            <w:tcW w:w="3119" w:type="dxa"/>
            <w:shd w:val="clear" w:color="auto" w:fill="auto"/>
          </w:tcPr>
          <w:p w14:paraId="39C9E07F" w14:textId="420EC37D" w:rsidR="00D16C07" w:rsidRPr="00D375B7" w:rsidRDefault="00D16C07" w:rsidP="00D16C07">
            <w:pPr>
              <w:tabs>
                <w:tab w:val="left" w:pos="1276"/>
              </w:tabs>
              <w:jc w:val="both"/>
              <w:rPr>
                <w:color w:val="000000" w:themeColor="text1"/>
                <w:shd w:val="clear" w:color="auto" w:fill="FFFFFF"/>
              </w:rPr>
            </w:pPr>
            <w:r w:rsidRPr="00D375B7">
              <w:rPr>
                <w:color w:val="000000" w:themeColor="text1"/>
                <w:shd w:val="clear" w:color="auto" w:fill="FFFFFF"/>
              </w:rPr>
              <w:t>Noteikumu projekta 2.4., 2.11. un 3. punkts.</w:t>
            </w:r>
          </w:p>
          <w:p w14:paraId="4B6E61E9" w14:textId="77777777" w:rsidR="00D16C07" w:rsidRPr="00D375B7" w:rsidRDefault="00D16C07" w:rsidP="00D16C07">
            <w:pPr>
              <w:tabs>
                <w:tab w:val="left" w:pos="1276"/>
              </w:tabs>
              <w:jc w:val="both"/>
              <w:rPr>
                <w:color w:val="000000" w:themeColor="text1"/>
                <w:shd w:val="clear" w:color="auto" w:fill="FFFFFF"/>
              </w:rPr>
            </w:pPr>
          </w:p>
          <w:p w14:paraId="0A82E439" w14:textId="345C3C12" w:rsidR="00D16C07" w:rsidRPr="00D375B7" w:rsidRDefault="00D16C07" w:rsidP="00D16C07">
            <w:pPr>
              <w:tabs>
                <w:tab w:val="left" w:pos="1276"/>
              </w:tabs>
              <w:jc w:val="both"/>
            </w:pPr>
            <w:r w:rsidRPr="00D375B7">
              <w:rPr>
                <w:color w:val="000000" w:themeColor="text1"/>
                <w:shd w:val="clear" w:color="auto" w:fill="FFFFFF"/>
              </w:rPr>
              <w:t>2.4. ienākuma, tai skaitā neapliekamā ienākuma, veida kods atbilstoši Valsts ieņēmuma dienesta ienākumu veidu klasifikatoram;</w:t>
            </w:r>
            <w:r w:rsidRPr="00D375B7">
              <w:t xml:space="preserve"> </w:t>
            </w:r>
          </w:p>
          <w:p w14:paraId="51795E99" w14:textId="77777777" w:rsidR="00D16C07" w:rsidRPr="00D375B7" w:rsidRDefault="00D16C07" w:rsidP="00D16C07">
            <w:pPr>
              <w:tabs>
                <w:tab w:val="left" w:pos="1276"/>
              </w:tabs>
              <w:jc w:val="both"/>
            </w:pPr>
          </w:p>
          <w:p w14:paraId="707AAE82" w14:textId="570A97D7" w:rsidR="00D16C07" w:rsidRPr="00D375B7" w:rsidRDefault="00D16C07" w:rsidP="00D16C07">
            <w:pPr>
              <w:jc w:val="both"/>
              <w:rPr>
                <w:color w:val="000000" w:themeColor="text1"/>
                <w:shd w:val="clear" w:color="auto" w:fill="FFFFFF"/>
              </w:rPr>
            </w:pPr>
            <w:r w:rsidRPr="00D375B7">
              <w:rPr>
                <w:color w:val="000000" w:themeColor="text1"/>
                <w:shd w:val="clear" w:color="auto" w:fill="FFFFFF"/>
              </w:rPr>
              <w:t>2.11. piemērotā papildu atvieglojuma veida kods un apmērs;</w:t>
            </w:r>
          </w:p>
          <w:p w14:paraId="4C7007EB" w14:textId="77777777" w:rsidR="00D16C07" w:rsidRPr="00D375B7" w:rsidRDefault="00D16C07" w:rsidP="00D16C07">
            <w:pPr>
              <w:jc w:val="both"/>
              <w:rPr>
                <w:color w:val="000000" w:themeColor="text1"/>
                <w:shd w:val="clear" w:color="auto" w:fill="FFFFFF"/>
              </w:rPr>
            </w:pPr>
          </w:p>
          <w:p w14:paraId="5AB83B0D" w14:textId="77777777" w:rsidR="00D16C07" w:rsidRPr="00D375B7" w:rsidRDefault="00D16C07" w:rsidP="00D16C07">
            <w:pPr>
              <w:jc w:val="both"/>
            </w:pPr>
            <w:r w:rsidRPr="00D375B7">
              <w:rPr>
                <w:color w:val="000000" w:themeColor="text1"/>
              </w:rPr>
              <w:t xml:space="preserve">3. Valsts ieņēmumu dienests publicē šo noteikumu 2.4. apakšpunktā minēto ienākumu veidu klasifikatoru un 2.11. apakšpunktā minētos papildu atvieglojuma veidu kodus, tā izmaiņas Valsts ieņēmumu dienesta publiskajā tīmekļvietnē ne vēlāk kā 30 dienas pirms likumā “Par </w:t>
            </w:r>
            <w:r w:rsidRPr="00D375B7">
              <w:rPr>
                <w:color w:val="000000" w:themeColor="text1"/>
              </w:rPr>
              <w:lastRenderedPageBreak/>
              <w:t>iedzīvotāju ienākuma nodokli” noteiktā paziņojuma iesniegšanas termiņa.</w:t>
            </w:r>
          </w:p>
          <w:p w14:paraId="194DA747" w14:textId="77777777" w:rsidR="00D16C07" w:rsidRPr="00D375B7" w:rsidRDefault="00D16C07" w:rsidP="00D16C07">
            <w:pPr>
              <w:jc w:val="both"/>
              <w:rPr>
                <w:color w:val="000000" w:themeColor="text1"/>
                <w:shd w:val="clear" w:color="auto" w:fill="FFFFFF"/>
              </w:rPr>
            </w:pPr>
          </w:p>
          <w:p w14:paraId="2B12BA51" w14:textId="77777777" w:rsidR="00D16C07" w:rsidRPr="00D375B7" w:rsidRDefault="00D16C07" w:rsidP="00D16C07">
            <w:pPr>
              <w:tabs>
                <w:tab w:val="left" w:pos="1276"/>
              </w:tabs>
              <w:jc w:val="both"/>
              <w:rPr>
                <w:color w:val="000000" w:themeColor="text1"/>
                <w:shd w:val="clear" w:color="auto" w:fill="FFFFFF"/>
              </w:rPr>
            </w:pPr>
          </w:p>
          <w:p w14:paraId="1C5443C7" w14:textId="77777777" w:rsidR="00744266" w:rsidRPr="00D375B7" w:rsidRDefault="00744266" w:rsidP="00AF1992">
            <w:pPr>
              <w:jc w:val="both"/>
            </w:pPr>
          </w:p>
        </w:tc>
        <w:tc>
          <w:tcPr>
            <w:tcW w:w="4394" w:type="dxa"/>
            <w:shd w:val="clear" w:color="auto" w:fill="auto"/>
          </w:tcPr>
          <w:p w14:paraId="1F280490" w14:textId="77777777" w:rsidR="00D16C07" w:rsidRPr="00D375B7" w:rsidRDefault="00D16C07" w:rsidP="00D16C07">
            <w:pPr>
              <w:tabs>
                <w:tab w:val="left" w:pos="851"/>
              </w:tabs>
              <w:suppressAutoHyphens/>
              <w:ind w:firstLine="720"/>
              <w:contextualSpacing/>
              <w:jc w:val="both"/>
              <w:outlineLvl w:val="0"/>
              <w:rPr>
                <w:iCs/>
              </w:rPr>
            </w:pPr>
            <w:r w:rsidRPr="00D375B7">
              <w:rPr>
                <w:iCs/>
              </w:rPr>
              <w:lastRenderedPageBreak/>
              <w:t xml:space="preserve">Paziņojumu sagatavotājiem un iesniedzējiem EDS, pirmšķietami, būtu nepieciešama tikai metodiska palīdzība ienākumu veidu lakoniskā formulējumā (grāmatvedības ietvaros) kā to noteic (definē) ārējie normatīvie akti par nodokļu piemērošanu. Savukārt paziņojumu iesniedzējiem, kuriem paziņojumus sagatavo grāmatvedības sistēma, svarīga ir datu sakrišana, ko var panāk ar jau lietotajiem ienākumu veidu apzīmējuma kodiem vai kā tamlīdzīgi (neesam pētījuši, kādi ir EDS piedāvātie risinājumi datu nodošanai no sistēmas sistēmā, tāpēc, iespējams, tas risinājums varētu būt specifiskāks tieši informatīvajām sistēmām). </w:t>
            </w:r>
          </w:p>
          <w:p w14:paraId="0DEC1F00" w14:textId="77777777" w:rsidR="00D16C07" w:rsidRPr="00D375B7" w:rsidRDefault="00D16C07" w:rsidP="00D16C07">
            <w:pPr>
              <w:tabs>
                <w:tab w:val="left" w:pos="851"/>
              </w:tabs>
              <w:suppressAutoHyphens/>
              <w:ind w:firstLine="720"/>
              <w:contextualSpacing/>
              <w:jc w:val="both"/>
              <w:outlineLvl w:val="0"/>
              <w:rPr>
                <w:iCs/>
              </w:rPr>
            </w:pPr>
            <w:r w:rsidRPr="00D375B7">
              <w:rPr>
                <w:iCs/>
              </w:rPr>
              <w:t xml:space="preserve">Attiecībā uz paziņojumu izsniegšanu pēc personas pieprasījuma, metodiskās palīdzības ietvaros svarīgi būtu jaunajiem darba devējiem (kuriem vēl nav izstrādāta paziņojuma forma) piedāvāt informatīvu paziņojuma veidlapu (šobrīd </w:t>
            </w:r>
            <w:r w:rsidRPr="00D375B7">
              <w:rPr>
                <w:iCs/>
              </w:rPr>
              <w:lastRenderedPageBreak/>
              <w:t>tāda jau ir izstrādāta, tikai jānodrošina aktualizācija nākotnē), lai nav jātērē resursi tās izveidei.</w:t>
            </w:r>
          </w:p>
          <w:p w14:paraId="36BA53C8" w14:textId="77777777" w:rsidR="00D16C07" w:rsidRPr="00D375B7" w:rsidRDefault="00D16C07" w:rsidP="00D16C07">
            <w:pPr>
              <w:tabs>
                <w:tab w:val="left" w:pos="851"/>
              </w:tabs>
              <w:suppressAutoHyphens/>
              <w:ind w:firstLine="720"/>
              <w:contextualSpacing/>
              <w:jc w:val="both"/>
              <w:outlineLvl w:val="0"/>
              <w:rPr>
                <w:iCs/>
              </w:rPr>
            </w:pPr>
            <w:r w:rsidRPr="00D375B7">
              <w:rPr>
                <w:iCs/>
              </w:rPr>
              <w:t>Ja ienākumu veidu klasifikators ir nepieciešams, lai nodrošinātu valsts oficiālo statistiku, tad šādu klasifikāciju nodrošina atbilstoši Statistikas likuma 21.pantā noteiktajam, ka, lai garantētu oficiālās statistikas salīdzināmību un apriti Latvijā, Eiropas Ekonomikas zonā un starptautiskajā līmenī, Ministru kabinets  nosaka nacionālās statistiskās klasifikācijas un apstiprina statistisko klasifikāciju sarakstu un nosaka šajā sarakstā iekļauto statistisko klasifikāciju ieviešanas, uzturēšanas un publicēšanas kārtību. Piemēri, Ministru kabineta 2005. gada 27. decembra noteikumi Nr. 1031 "Noteikumi par budžetu izdevumu klasifikāciju atbilstoši ekonomiskajām kategorijām, Ministru kabineta 2017. gada 21. marta noteikumi Nr. 152 "Administratīvo teritoriju un teritoriālo vienību klasifikatora noteikumi".</w:t>
            </w:r>
          </w:p>
          <w:p w14:paraId="1A4F3F72" w14:textId="77777777" w:rsidR="00744266" w:rsidRPr="00D375B7" w:rsidRDefault="00D16C07" w:rsidP="00D16C07">
            <w:pPr>
              <w:tabs>
                <w:tab w:val="left" w:pos="851"/>
              </w:tabs>
              <w:suppressAutoHyphens/>
              <w:ind w:firstLine="720"/>
              <w:contextualSpacing/>
              <w:jc w:val="both"/>
              <w:outlineLvl w:val="0"/>
              <w:rPr>
                <w:iCs/>
              </w:rPr>
            </w:pPr>
            <w:r w:rsidRPr="00D375B7">
              <w:rPr>
                <w:iCs/>
              </w:rPr>
              <w:t xml:space="preserve">Lūdzam vērtēt minētos aspektus un, ja nepieciešams, precizēt noteikumu projekta 2.4. un 2.11. apakšpunkta regulējumu par  "koda" norādīšanu atbilstoši Valsts ieņēmuma dienesta ienākumu klasifikatoram, kā arī anotāciju. Iespējams noteikumu projekta 3. punktā var paredzēt, ka Valsts ieņēmumu dienests izstrādā, aktualizē un publisko normatīvajos aktos paredzēto ar iedzīvotāju ienākumu </w:t>
            </w:r>
            <w:r w:rsidRPr="00D375B7">
              <w:rPr>
                <w:iCs/>
              </w:rPr>
              <w:lastRenderedPageBreak/>
              <w:t>nodokli apliekamo un neapliekamo ienākumu un atvieglojumu veida sarakstu (ar norādēm uz normatīvajiem aktiem, kur ienākums tieši vai netieši paredzēts (ja iespējams, ar hipersaiti uz Likumi.lv)) un apzīmējuma kodiem (informatīvo sistēmu vajadzībām) (t.sk. ietver tos metodiskās palīdzības materiālos par paziņojumu iesniegšanu (izsniegšanu) (ja tādi ir paredzēti)).</w:t>
            </w:r>
          </w:p>
          <w:p w14:paraId="4AC5E797" w14:textId="77777777" w:rsidR="00D375B7" w:rsidRPr="00D375B7" w:rsidRDefault="00D375B7" w:rsidP="00D16C07">
            <w:pPr>
              <w:tabs>
                <w:tab w:val="left" w:pos="851"/>
              </w:tabs>
              <w:suppressAutoHyphens/>
              <w:ind w:firstLine="720"/>
              <w:contextualSpacing/>
              <w:jc w:val="both"/>
              <w:outlineLvl w:val="0"/>
              <w:rPr>
                <w:iCs/>
              </w:rPr>
            </w:pPr>
          </w:p>
          <w:p w14:paraId="470ABB16" w14:textId="77777777" w:rsidR="00D375B7" w:rsidRDefault="00D375B7" w:rsidP="00D16C07">
            <w:pPr>
              <w:tabs>
                <w:tab w:val="left" w:pos="851"/>
              </w:tabs>
              <w:suppressAutoHyphens/>
              <w:ind w:firstLine="720"/>
              <w:contextualSpacing/>
              <w:jc w:val="both"/>
              <w:outlineLvl w:val="0"/>
              <w:rPr>
                <w:iCs/>
              </w:rPr>
            </w:pPr>
            <w:r w:rsidRPr="00D375B7">
              <w:rPr>
                <w:iCs/>
              </w:rPr>
              <w:t>Vienlaikus lūdzam vērtēt, vai noteikumu projektā noteiktais informācijas publiskošanas termiņš nav par īsu, ņemot vērā to, ka datus kaut kādā noteiktā griezumā var sniegt tikai tad, ja dati jau sākotnēji uzkrāti attiecīgā griezumā. Jārēķinās, ka  būs nepieciešami arī informācijas sistēmu pielāgojumi, t.sk. pašvaldības un valsts informācijas sistēmu, kur sistēmu izmaiņas ārpakalpojuma gadījumā prasa noteiktu laika resursu.</w:t>
            </w:r>
          </w:p>
          <w:p w14:paraId="01BDC279" w14:textId="77777777" w:rsidR="00206C35" w:rsidRDefault="00206C35" w:rsidP="00D16C07">
            <w:pPr>
              <w:tabs>
                <w:tab w:val="left" w:pos="851"/>
              </w:tabs>
              <w:suppressAutoHyphens/>
              <w:ind w:firstLine="720"/>
              <w:contextualSpacing/>
              <w:jc w:val="both"/>
              <w:outlineLvl w:val="0"/>
              <w:rPr>
                <w:iCs/>
              </w:rPr>
            </w:pPr>
          </w:p>
          <w:p w14:paraId="67B8EDDA" w14:textId="12FAB1A0" w:rsidR="00206C35" w:rsidRPr="00D375B7" w:rsidRDefault="00206C35" w:rsidP="00D16C07">
            <w:pPr>
              <w:tabs>
                <w:tab w:val="left" w:pos="851"/>
              </w:tabs>
              <w:suppressAutoHyphens/>
              <w:ind w:firstLine="720"/>
              <w:contextualSpacing/>
              <w:jc w:val="both"/>
              <w:outlineLvl w:val="0"/>
              <w:rPr>
                <w:iCs/>
              </w:rPr>
            </w:pPr>
            <w:r>
              <w:t xml:space="preserve">Papildus vēršam uzmanību, ka normatīvajos aktos noteiktos ienākumu veidu definīcijas izmanto dažādās ienākumu apmēra apzināšanas veidlapās (sava veida deklarācijās) (tātad arī dažādās pašvaldību un valsts informācijas sistēmās), lai novērtētu konkrētas personas, mājsaimniecības vai ģimenes sociālās palīdzības, sociālo pakalpojumu un citu publisko pakalpojumu (piem., valsts nodrošinātā juridiskā palīdzība) </w:t>
            </w:r>
            <w:r>
              <w:lastRenderedPageBreak/>
              <w:t xml:space="preserve">nepieciešamību.  Par šo detalizētāk, jau rakstījām iepriekšējos atzinumos. Šis aspekts projektā risināmo jautājumu skar tikai daļēji. Kā daļējs paraugs ienākumu veidu definīcijām tika ņemts no normatīvi noteiktajiem ienākumu veidiem. Tāpēc tāds </w:t>
            </w:r>
            <w:r w:rsidRPr="00206C35">
              <w:t>metodiskās palīdzības materiāls  būs noderīgs arī</w:t>
            </w:r>
            <w:r>
              <w:t xml:space="preserve"> šo jautājumu sakārtošanā.</w:t>
            </w:r>
          </w:p>
        </w:tc>
        <w:tc>
          <w:tcPr>
            <w:tcW w:w="3402" w:type="dxa"/>
            <w:shd w:val="clear" w:color="auto" w:fill="auto"/>
          </w:tcPr>
          <w:p w14:paraId="056D0218" w14:textId="42C0F0A1" w:rsidR="00744266" w:rsidRDefault="009A7281" w:rsidP="00AF1992">
            <w:pPr>
              <w:jc w:val="both"/>
            </w:pPr>
            <w:r w:rsidRPr="00D375B7">
              <w:rPr>
                <w:b/>
              </w:rPr>
              <w:lastRenderedPageBreak/>
              <w:t xml:space="preserve">Ņemts vērā. </w:t>
            </w:r>
            <w:r w:rsidRPr="00D375B7">
              <w:t xml:space="preserve"> Precizēts gan Noteikumu projekts, gan anotācija.</w:t>
            </w:r>
          </w:p>
          <w:p w14:paraId="7EDC2DB2" w14:textId="77777777" w:rsidR="009054AA" w:rsidRPr="00D375B7" w:rsidRDefault="009054AA" w:rsidP="00AF1992">
            <w:pPr>
              <w:jc w:val="both"/>
            </w:pPr>
          </w:p>
          <w:p w14:paraId="26B5F50F" w14:textId="77777777" w:rsidR="00206C35" w:rsidRDefault="00206C35" w:rsidP="009054AA">
            <w:pPr>
              <w:jc w:val="both"/>
              <w:rPr>
                <w:iCs/>
              </w:rPr>
            </w:pPr>
          </w:p>
          <w:p w14:paraId="3C89A5C1" w14:textId="7DC535EB" w:rsidR="00206C35" w:rsidRPr="00D375B7" w:rsidRDefault="00206C35" w:rsidP="009054AA">
            <w:pPr>
              <w:jc w:val="both"/>
            </w:pPr>
          </w:p>
        </w:tc>
        <w:tc>
          <w:tcPr>
            <w:tcW w:w="3260" w:type="dxa"/>
            <w:shd w:val="clear" w:color="auto" w:fill="auto"/>
          </w:tcPr>
          <w:p w14:paraId="4E4AE701" w14:textId="77777777" w:rsidR="00D375B7" w:rsidRPr="00D375B7" w:rsidRDefault="00D375B7" w:rsidP="00D375B7">
            <w:pPr>
              <w:tabs>
                <w:tab w:val="left" w:pos="1276"/>
              </w:tabs>
              <w:jc w:val="both"/>
              <w:rPr>
                <w:color w:val="000000" w:themeColor="text1"/>
                <w:shd w:val="clear" w:color="auto" w:fill="FFFFFF"/>
              </w:rPr>
            </w:pPr>
            <w:r w:rsidRPr="00D375B7">
              <w:rPr>
                <w:color w:val="000000" w:themeColor="text1"/>
                <w:shd w:val="clear" w:color="auto" w:fill="FFFFFF"/>
              </w:rPr>
              <w:t>Noteikumu projekta 2.4., 2.11. un 3. punkts.</w:t>
            </w:r>
          </w:p>
          <w:p w14:paraId="24EEAB1C" w14:textId="77777777" w:rsidR="00D375B7" w:rsidRPr="00D375B7" w:rsidRDefault="00D375B7" w:rsidP="009A7281">
            <w:pPr>
              <w:tabs>
                <w:tab w:val="left" w:pos="1276"/>
              </w:tabs>
              <w:jc w:val="both"/>
              <w:rPr>
                <w:color w:val="000000" w:themeColor="text1"/>
                <w:shd w:val="clear" w:color="auto" w:fill="FFFFFF"/>
              </w:rPr>
            </w:pPr>
          </w:p>
          <w:p w14:paraId="2B962385" w14:textId="473BD50B" w:rsidR="009A7281" w:rsidRPr="00D375B7" w:rsidRDefault="009A7281" w:rsidP="009A7281">
            <w:pPr>
              <w:tabs>
                <w:tab w:val="left" w:pos="1276"/>
              </w:tabs>
              <w:jc w:val="both"/>
              <w:rPr>
                <w:color w:val="000000" w:themeColor="text1"/>
                <w:shd w:val="clear" w:color="auto" w:fill="FFFFFF"/>
              </w:rPr>
            </w:pPr>
            <w:r w:rsidRPr="00D375B7">
              <w:rPr>
                <w:color w:val="000000" w:themeColor="text1"/>
                <w:shd w:val="clear" w:color="auto" w:fill="FFFFFF"/>
              </w:rPr>
              <w:t>2.4. ienākuma, tai skaitā neapliekamā ienākuma, veid</w:t>
            </w:r>
            <w:r w:rsidR="0095324A">
              <w:rPr>
                <w:color w:val="000000" w:themeColor="text1"/>
                <w:shd w:val="clear" w:color="auto" w:fill="FFFFFF"/>
              </w:rPr>
              <w:t>a kods</w:t>
            </w:r>
            <w:r w:rsidRPr="00D375B7">
              <w:rPr>
                <w:color w:val="000000" w:themeColor="text1"/>
                <w:shd w:val="clear" w:color="auto" w:fill="FFFFFF"/>
              </w:rPr>
              <w:t xml:space="preserve"> atbilstoši iedzīvotāju ienākuma nodokļa normatīvajos aktos noteiktajiem ienākumu veidiem un to maksāšanas kārtībai;</w:t>
            </w:r>
          </w:p>
          <w:p w14:paraId="6F0DCF22" w14:textId="77777777" w:rsidR="009A7281" w:rsidRPr="00D375B7" w:rsidRDefault="009A7281" w:rsidP="009A7281">
            <w:pPr>
              <w:tabs>
                <w:tab w:val="left" w:pos="1276"/>
              </w:tabs>
              <w:jc w:val="both"/>
              <w:rPr>
                <w:color w:val="000000" w:themeColor="text1"/>
                <w:shd w:val="clear" w:color="auto" w:fill="FFFFFF"/>
              </w:rPr>
            </w:pPr>
          </w:p>
          <w:p w14:paraId="325B2B99" w14:textId="0E039450" w:rsidR="009A7281" w:rsidRPr="00D375B7" w:rsidRDefault="009A7281" w:rsidP="009A7281">
            <w:pPr>
              <w:tabs>
                <w:tab w:val="left" w:pos="1276"/>
              </w:tabs>
              <w:jc w:val="both"/>
              <w:rPr>
                <w:color w:val="000000" w:themeColor="text1"/>
                <w:shd w:val="clear" w:color="auto" w:fill="FFFFFF"/>
              </w:rPr>
            </w:pPr>
            <w:r w:rsidRPr="00D375B7">
              <w:rPr>
                <w:color w:val="000000" w:themeColor="text1"/>
                <w:shd w:val="clear" w:color="auto" w:fill="FFFFFF"/>
              </w:rPr>
              <w:t>2.11. piemērotā papildu atvieglojuma veid</w:t>
            </w:r>
            <w:r w:rsidR="0095324A">
              <w:rPr>
                <w:color w:val="000000" w:themeColor="text1"/>
                <w:shd w:val="clear" w:color="auto" w:fill="FFFFFF"/>
              </w:rPr>
              <w:t>a kods</w:t>
            </w:r>
            <w:r w:rsidRPr="00D375B7">
              <w:rPr>
                <w:color w:val="000000" w:themeColor="text1"/>
                <w:shd w:val="clear" w:color="auto" w:fill="FFFFFF"/>
              </w:rPr>
              <w:t xml:space="preserve">  </w:t>
            </w:r>
            <w:r w:rsidR="004C2F8F" w:rsidRPr="00D375B7">
              <w:rPr>
                <w:color w:val="000000" w:themeColor="text1"/>
                <w:shd w:val="clear" w:color="auto" w:fill="FFFFFF"/>
              </w:rPr>
              <w:t xml:space="preserve">un apmērs </w:t>
            </w:r>
            <w:r w:rsidRPr="00D375B7">
              <w:rPr>
                <w:color w:val="000000" w:themeColor="text1"/>
                <w:shd w:val="clear" w:color="auto" w:fill="FFFFFF"/>
              </w:rPr>
              <w:t xml:space="preserve">atbilstoši iedzīvotāju ienākuma nodokļa normatīvajos aktos </w:t>
            </w:r>
            <w:r w:rsidRPr="005E7535">
              <w:rPr>
                <w:color w:val="000000" w:themeColor="text1"/>
                <w:shd w:val="clear" w:color="auto" w:fill="FFFFFF"/>
              </w:rPr>
              <w:t xml:space="preserve">noteiktajiem </w:t>
            </w:r>
            <w:r w:rsidR="005E7535">
              <w:rPr>
                <w:color w:val="000000" w:themeColor="text1"/>
                <w:shd w:val="clear" w:color="auto" w:fill="FFFFFF"/>
              </w:rPr>
              <w:t xml:space="preserve">papildu </w:t>
            </w:r>
            <w:r w:rsidR="005E7535" w:rsidRPr="005E7535">
              <w:rPr>
                <w:color w:val="000000" w:themeColor="text1"/>
                <w:shd w:val="clear" w:color="auto" w:fill="FFFFFF"/>
              </w:rPr>
              <w:t>atvieglojuma</w:t>
            </w:r>
            <w:r w:rsidR="00AB1977">
              <w:rPr>
                <w:color w:val="000000" w:themeColor="text1"/>
                <w:shd w:val="clear" w:color="auto" w:fill="FFFFFF"/>
              </w:rPr>
              <w:t xml:space="preserve"> veidie</w:t>
            </w:r>
            <w:r w:rsidR="005E7535" w:rsidRPr="005E7535">
              <w:rPr>
                <w:color w:val="000000" w:themeColor="text1"/>
                <w:shd w:val="clear" w:color="auto" w:fill="FFFFFF"/>
              </w:rPr>
              <w:t>m, apmēr</w:t>
            </w:r>
            <w:r w:rsidR="00AB1977">
              <w:rPr>
                <w:color w:val="000000" w:themeColor="text1"/>
                <w:shd w:val="clear" w:color="auto" w:fill="FFFFFF"/>
              </w:rPr>
              <w:t>ie</w:t>
            </w:r>
            <w:r w:rsidR="005E7535" w:rsidRPr="005E7535">
              <w:rPr>
                <w:color w:val="000000" w:themeColor="text1"/>
                <w:shd w:val="clear" w:color="auto" w:fill="FFFFFF"/>
              </w:rPr>
              <w:t>m un t</w:t>
            </w:r>
            <w:r w:rsidR="00AB1977">
              <w:rPr>
                <w:color w:val="000000" w:themeColor="text1"/>
                <w:shd w:val="clear" w:color="auto" w:fill="FFFFFF"/>
              </w:rPr>
              <w:t>o</w:t>
            </w:r>
            <w:r w:rsidR="005E7535" w:rsidRPr="005E7535">
              <w:rPr>
                <w:color w:val="000000" w:themeColor="text1"/>
                <w:shd w:val="clear" w:color="auto" w:fill="FFFFFF"/>
              </w:rPr>
              <w:t xml:space="preserve"> piemērošanas kārtībai</w:t>
            </w:r>
            <w:r w:rsidRPr="005E7535">
              <w:rPr>
                <w:color w:val="000000" w:themeColor="text1"/>
                <w:shd w:val="clear" w:color="auto" w:fill="FFFFFF"/>
              </w:rPr>
              <w:t>;</w:t>
            </w:r>
          </w:p>
          <w:p w14:paraId="0FE5968A" w14:textId="77777777" w:rsidR="009A7281" w:rsidRPr="00D375B7" w:rsidRDefault="009A7281" w:rsidP="009A7281">
            <w:pPr>
              <w:tabs>
                <w:tab w:val="left" w:pos="1276"/>
              </w:tabs>
              <w:jc w:val="both"/>
              <w:rPr>
                <w:color w:val="000000" w:themeColor="text1"/>
                <w:shd w:val="clear" w:color="auto" w:fill="FFFFFF"/>
              </w:rPr>
            </w:pPr>
          </w:p>
          <w:p w14:paraId="503C3BDE" w14:textId="4C177FCF" w:rsidR="00744266" w:rsidRPr="00D375B7" w:rsidRDefault="009A7281" w:rsidP="00755B40">
            <w:pPr>
              <w:jc w:val="both"/>
            </w:pPr>
            <w:r w:rsidRPr="00D375B7">
              <w:t xml:space="preserve">3. Valsts ieņēmumu dienests izstrādā, aktualizē un publisko </w:t>
            </w:r>
            <w:r w:rsidR="0095324A">
              <w:lastRenderedPageBreak/>
              <w:t>2.4. punktā un 2.11.</w:t>
            </w:r>
            <w:r w:rsidR="00DA2C3B">
              <w:t xml:space="preserve"> </w:t>
            </w:r>
            <w:r w:rsidR="0095324A">
              <w:t>punktā minēto</w:t>
            </w:r>
            <w:r w:rsidRPr="00D375B7">
              <w:t xml:space="preserve"> </w:t>
            </w:r>
            <w:r w:rsidR="005E7535">
              <w:t>ienākumu un papildu atvieglojuma veidu</w:t>
            </w:r>
            <w:r w:rsidR="0095324A">
              <w:t xml:space="preserve"> kodu</w:t>
            </w:r>
            <w:r w:rsidRPr="00D375B7">
              <w:t xml:space="preserve"> sarakstu Valsts ieņēmumu dienesta publiskajā tīmekļvietnē ne vēlāk kā </w:t>
            </w:r>
            <w:r w:rsidR="00320F8D" w:rsidRPr="003710A9">
              <w:t>60</w:t>
            </w:r>
            <w:r w:rsidRPr="00D375B7">
              <w:t xml:space="preserve"> dienas </w:t>
            </w:r>
            <w:r w:rsidR="003E1CC6" w:rsidRPr="003E1CC6">
              <w:t>pirms iedzīvotāju ienākuma nodokļa normatīvajos aktos noteiktā paziņojuma iesniegšanas termiņa</w:t>
            </w:r>
            <w:r w:rsidRPr="00D375B7">
              <w:t>.</w:t>
            </w:r>
          </w:p>
          <w:p w14:paraId="2825B1BC" w14:textId="77777777" w:rsidR="009A7281" w:rsidRPr="00D375B7" w:rsidRDefault="009A7281" w:rsidP="00755B40">
            <w:pPr>
              <w:jc w:val="both"/>
            </w:pPr>
          </w:p>
          <w:p w14:paraId="07A8A3A0" w14:textId="33613F2C" w:rsidR="009A7281" w:rsidRPr="00D375B7" w:rsidRDefault="00D375B7" w:rsidP="00755B40">
            <w:pPr>
              <w:jc w:val="both"/>
            </w:pPr>
            <w:r>
              <w:t>Skatīt anotācijas I</w:t>
            </w:r>
            <w:r w:rsidR="009A7281" w:rsidRPr="00D375B7">
              <w:t xml:space="preserve"> sadaļas 2.punktu.</w:t>
            </w:r>
          </w:p>
        </w:tc>
      </w:tr>
    </w:tbl>
    <w:p w14:paraId="1B81CAA3" w14:textId="77777777" w:rsidR="000A4DF4" w:rsidRPr="00D375B7" w:rsidRDefault="000A4DF4" w:rsidP="006D0742">
      <w:pPr>
        <w:ind w:left="2880" w:firstLine="720"/>
        <w:rPr>
          <w:color w:val="000000"/>
        </w:rPr>
      </w:pPr>
    </w:p>
    <w:p w14:paraId="5D4795DF" w14:textId="77777777" w:rsidR="000A4DF4" w:rsidRPr="00DB1CE6" w:rsidRDefault="000A4DF4" w:rsidP="000A4DF4"/>
    <w:p w14:paraId="1E4D70DE" w14:textId="77777777" w:rsidR="007443CC" w:rsidRPr="00DB1CE6" w:rsidRDefault="007443CC" w:rsidP="000A4DF4"/>
    <w:p w14:paraId="1BEFBADC" w14:textId="77777777" w:rsidR="000A4DF4" w:rsidRPr="00DB1CE6" w:rsidRDefault="000A4DF4" w:rsidP="000A4DF4">
      <w:r w:rsidRPr="00DB1CE6">
        <w:t>Atbildīgā amatpersona:________</w:t>
      </w:r>
      <w:r w:rsidR="00667E24" w:rsidRPr="00DB1CE6">
        <w:t>_______________________________</w:t>
      </w:r>
      <w:r w:rsidR="00BB2E0A" w:rsidRPr="00DB1CE6">
        <w:t>D.Tarvida</w:t>
      </w:r>
    </w:p>
    <w:p w14:paraId="56E044F7" w14:textId="77777777" w:rsidR="000A4DF4" w:rsidRPr="00DB1CE6" w:rsidRDefault="000A4DF4" w:rsidP="000A4DF4">
      <w:pPr>
        <w:tabs>
          <w:tab w:val="left" w:pos="1843"/>
          <w:tab w:val="left" w:pos="3261"/>
        </w:tabs>
      </w:pPr>
      <w:r w:rsidRPr="00DB1CE6">
        <w:tab/>
      </w:r>
      <w:r w:rsidRPr="00DB1CE6">
        <w:tab/>
      </w:r>
      <w:r w:rsidRPr="00DB1CE6">
        <w:tab/>
      </w:r>
      <w:r w:rsidRPr="00DB1CE6">
        <w:tab/>
        <w:t>(paraksts)</w:t>
      </w:r>
    </w:p>
    <w:p w14:paraId="23D0CD3B" w14:textId="77777777" w:rsidR="005E616C" w:rsidRDefault="005E616C" w:rsidP="00BB2E0A">
      <w:pPr>
        <w:rPr>
          <w:color w:val="000000"/>
          <w:sz w:val="18"/>
          <w:szCs w:val="20"/>
        </w:rPr>
      </w:pPr>
    </w:p>
    <w:p w14:paraId="121D1818" w14:textId="77777777" w:rsidR="005E616C" w:rsidRDefault="005E616C" w:rsidP="00BB2E0A">
      <w:pPr>
        <w:rPr>
          <w:color w:val="000000"/>
          <w:sz w:val="18"/>
          <w:szCs w:val="20"/>
        </w:rPr>
      </w:pPr>
    </w:p>
    <w:p w14:paraId="153D7D08" w14:textId="77777777" w:rsidR="005E616C" w:rsidRDefault="005E616C" w:rsidP="00BB2E0A">
      <w:pPr>
        <w:rPr>
          <w:color w:val="000000"/>
          <w:sz w:val="18"/>
          <w:szCs w:val="20"/>
        </w:rPr>
      </w:pPr>
    </w:p>
    <w:p w14:paraId="0644EDC5" w14:textId="540314B0" w:rsidR="00BB2E0A" w:rsidRPr="00DB1CE6" w:rsidRDefault="00BB2E0A" w:rsidP="00BB2E0A">
      <w:pPr>
        <w:rPr>
          <w:color w:val="000000"/>
          <w:sz w:val="18"/>
          <w:szCs w:val="20"/>
        </w:rPr>
      </w:pPr>
      <w:r w:rsidRPr="00DB1CE6">
        <w:rPr>
          <w:color w:val="000000"/>
          <w:sz w:val="18"/>
          <w:szCs w:val="20"/>
        </w:rPr>
        <w:t>Digna Tarvida</w:t>
      </w:r>
    </w:p>
    <w:p w14:paraId="1D625737" w14:textId="77777777" w:rsidR="00BB2E0A" w:rsidRPr="00DB1CE6" w:rsidRDefault="00BB2E0A" w:rsidP="00BB2E0A">
      <w:pPr>
        <w:rPr>
          <w:color w:val="000000"/>
          <w:sz w:val="18"/>
          <w:szCs w:val="20"/>
        </w:rPr>
      </w:pPr>
      <w:r w:rsidRPr="00DB1CE6">
        <w:rPr>
          <w:color w:val="000000"/>
          <w:sz w:val="18"/>
          <w:szCs w:val="20"/>
        </w:rPr>
        <w:t>Valsts ieņēmumu dienesta</w:t>
      </w:r>
    </w:p>
    <w:p w14:paraId="60B898BE" w14:textId="77777777" w:rsidR="00BB2E0A" w:rsidRPr="00DB1CE6" w:rsidRDefault="00BB2E0A" w:rsidP="00BB2E0A">
      <w:pPr>
        <w:rPr>
          <w:color w:val="000000"/>
          <w:sz w:val="18"/>
          <w:szCs w:val="20"/>
        </w:rPr>
      </w:pPr>
      <w:r w:rsidRPr="00DB1CE6">
        <w:rPr>
          <w:color w:val="000000"/>
          <w:sz w:val="18"/>
          <w:szCs w:val="20"/>
        </w:rPr>
        <w:t xml:space="preserve">Nodokļu pārvaldes </w:t>
      </w:r>
    </w:p>
    <w:p w14:paraId="24C8A0F8" w14:textId="77777777" w:rsidR="00BB2E0A" w:rsidRPr="00DB1CE6" w:rsidRDefault="00BB2E0A" w:rsidP="00BB2E0A">
      <w:pPr>
        <w:rPr>
          <w:color w:val="000000"/>
          <w:sz w:val="18"/>
          <w:szCs w:val="20"/>
        </w:rPr>
      </w:pPr>
      <w:r w:rsidRPr="00DB1CE6">
        <w:rPr>
          <w:color w:val="000000"/>
          <w:sz w:val="18"/>
          <w:szCs w:val="20"/>
        </w:rPr>
        <w:t>Fizisko personu nodokļu daļas</w:t>
      </w:r>
    </w:p>
    <w:p w14:paraId="3FD40BCE" w14:textId="77777777" w:rsidR="00BB2E0A" w:rsidRPr="00DB1CE6" w:rsidRDefault="00BB2E0A" w:rsidP="00BB2E0A">
      <w:pPr>
        <w:rPr>
          <w:color w:val="000000"/>
          <w:sz w:val="18"/>
          <w:szCs w:val="20"/>
        </w:rPr>
      </w:pPr>
      <w:r w:rsidRPr="00DB1CE6">
        <w:rPr>
          <w:color w:val="000000"/>
          <w:sz w:val="18"/>
          <w:szCs w:val="20"/>
        </w:rPr>
        <w:t>Pirmās metodiskās nodaļas</w:t>
      </w:r>
    </w:p>
    <w:p w14:paraId="44D5C324" w14:textId="77777777" w:rsidR="00BB2E0A" w:rsidRPr="00DB1CE6" w:rsidRDefault="00BB2E0A" w:rsidP="00BB2E0A">
      <w:pPr>
        <w:rPr>
          <w:color w:val="000000"/>
          <w:sz w:val="18"/>
          <w:szCs w:val="20"/>
        </w:rPr>
      </w:pPr>
      <w:r w:rsidRPr="00DB1CE6">
        <w:rPr>
          <w:color w:val="000000"/>
          <w:sz w:val="18"/>
          <w:szCs w:val="20"/>
        </w:rPr>
        <w:t>galvenā nodokļu inspektore</w:t>
      </w:r>
    </w:p>
    <w:p w14:paraId="57AC05BB" w14:textId="77777777" w:rsidR="00BB2E0A" w:rsidRPr="00DB1CE6" w:rsidRDefault="00BB2E0A" w:rsidP="00BB2E0A">
      <w:pPr>
        <w:rPr>
          <w:color w:val="000000"/>
          <w:sz w:val="18"/>
          <w:szCs w:val="20"/>
        </w:rPr>
      </w:pPr>
    </w:p>
    <w:p w14:paraId="7D64C5F9" w14:textId="77777777" w:rsidR="00BB2E0A" w:rsidRPr="00DB1CE6" w:rsidRDefault="00BB2E0A" w:rsidP="00BB2E0A">
      <w:pPr>
        <w:rPr>
          <w:color w:val="000000"/>
          <w:sz w:val="18"/>
          <w:szCs w:val="20"/>
        </w:rPr>
      </w:pPr>
      <w:r w:rsidRPr="00DB1CE6">
        <w:rPr>
          <w:color w:val="000000"/>
          <w:sz w:val="18"/>
          <w:szCs w:val="20"/>
        </w:rPr>
        <w:t>tālr.67122286</w:t>
      </w:r>
    </w:p>
    <w:p w14:paraId="117A33CC" w14:textId="3E66C037" w:rsidR="00D56B76" w:rsidRDefault="00A87DDA" w:rsidP="00535F89">
      <w:hyperlink r:id="rId23" w:history="1">
        <w:r w:rsidR="00BB2E0A" w:rsidRPr="00DB1CE6">
          <w:rPr>
            <w:rStyle w:val="Hyperlink"/>
            <w:color w:val="0070C0"/>
            <w:sz w:val="18"/>
            <w:szCs w:val="20"/>
          </w:rPr>
          <w:t>digna.tarvida@vid.gov.lv</w:t>
        </w:r>
      </w:hyperlink>
    </w:p>
    <w:p w14:paraId="57B4F5D8" w14:textId="77777777" w:rsidR="00D56B76" w:rsidRPr="00D56B76" w:rsidRDefault="00D56B76" w:rsidP="00D56B76"/>
    <w:p w14:paraId="73CDE638" w14:textId="77777777" w:rsidR="00D56B76" w:rsidRPr="00D56B76" w:rsidRDefault="00D56B76"/>
    <w:p w14:paraId="26D52671" w14:textId="77777777" w:rsidR="00D56B76" w:rsidRPr="00D56B76" w:rsidRDefault="00D56B76"/>
    <w:p w14:paraId="1081CF66" w14:textId="77777777" w:rsidR="00D56B76" w:rsidRPr="00D56B76" w:rsidRDefault="00D56B76"/>
    <w:p w14:paraId="58022B1F" w14:textId="77777777" w:rsidR="00D56B76" w:rsidRPr="00D56B76" w:rsidRDefault="00D56B76"/>
    <w:p w14:paraId="52BE3159" w14:textId="77777777" w:rsidR="00D56B76" w:rsidRPr="00D56B76" w:rsidRDefault="00D56B76"/>
    <w:p w14:paraId="4871A48F" w14:textId="77777777" w:rsidR="00D56B76" w:rsidRPr="00D56B76" w:rsidRDefault="00D56B76"/>
    <w:p w14:paraId="3211B390" w14:textId="77777777" w:rsidR="00D56B76" w:rsidRPr="00D56B76" w:rsidRDefault="00D56B76"/>
    <w:p w14:paraId="7ED0238A" w14:textId="77777777" w:rsidR="00D56B76" w:rsidRPr="00D56B76" w:rsidRDefault="00D56B76"/>
    <w:p w14:paraId="4B980694" w14:textId="77777777" w:rsidR="00D56B76" w:rsidRPr="00D56B76" w:rsidRDefault="00D56B76"/>
    <w:p w14:paraId="06E8CD7C" w14:textId="226F2D54" w:rsidR="00D56B76" w:rsidRDefault="00D56B76" w:rsidP="00D56B76"/>
    <w:p w14:paraId="1E2AB294" w14:textId="53416C45" w:rsidR="007116C7" w:rsidRPr="00D56B76" w:rsidRDefault="00D56B76" w:rsidP="006C519B">
      <w:pPr>
        <w:tabs>
          <w:tab w:val="left" w:pos="1920"/>
        </w:tabs>
      </w:pPr>
      <w:r>
        <w:tab/>
      </w:r>
    </w:p>
    <w:sectPr w:rsidR="007116C7" w:rsidRPr="00D56B76" w:rsidSect="00B11175">
      <w:headerReference w:type="even" r:id="rId24"/>
      <w:headerReference w:type="default" r:id="rId25"/>
      <w:footerReference w:type="default" r:id="rId26"/>
      <w:footerReference w:type="first" r:id="rId27"/>
      <w:pgSz w:w="16838" w:h="11906" w:orient="landscape" w:code="9"/>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8792" w14:textId="77777777" w:rsidR="00F258AC" w:rsidRDefault="00F258AC">
      <w:r>
        <w:separator/>
      </w:r>
    </w:p>
  </w:endnote>
  <w:endnote w:type="continuationSeparator" w:id="0">
    <w:p w14:paraId="5D5504C2" w14:textId="77777777" w:rsidR="00F258AC" w:rsidRDefault="00F2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346C" w14:textId="5129115D" w:rsidR="00561D3C" w:rsidRPr="00744266" w:rsidRDefault="00D56B76" w:rsidP="00744266">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FMIzz_13072021_MK677</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3FFFF" w14:textId="2F8C01A4" w:rsidR="006455E7" w:rsidRPr="00744266" w:rsidRDefault="00744266" w:rsidP="00744266">
    <w:pPr>
      <w:pStyle w:val="Footer"/>
    </w:pPr>
    <w:r>
      <w:rPr>
        <w:sz w:val="20"/>
        <w:szCs w:val="20"/>
      </w:rPr>
      <w:fldChar w:fldCharType="begin"/>
    </w:r>
    <w:r>
      <w:rPr>
        <w:sz w:val="20"/>
        <w:szCs w:val="20"/>
      </w:rPr>
      <w:instrText xml:space="preserve"> FILENAME   \* MERGEFORMAT </w:instrText>
    </w:r>
    <w:r>
      <w:rPr>
        <w:sz w:val="20"/>
        <w:szCs w:val="20"/>
      </w:rPr>
      <w:fldChar w:fldCharType="separate"/>
    </w:r>
    <w:r w:rsidR="00D56B76">
      <w:rPr>
        <w:noProof/>
        <w:sz w:val="20"/>
        <w:szCs w:val="20"/>
      </w:rPr>
      <w:fldChar w:fldCharType="begin"/>
    </w:r>
    <w:r w:rsidR="00D56B76">
      <w:rPr>
        <w:noProof/>
        <w:sz w:val="20"/>
        <w:szCs w:val="20"/>
      </w:rPr>
      <w:instrText xml:space="preserve"> FILENAME   \* MERGEFORMAT </w:instrText>
    </w:r>
    <w:r w:rsidR="00D56B76">
      <w:rPr>
        <w:noProof/>
        <w:sz w:val="20"/>
        <w:szCs w:val="20"/>
      </w:rPr>
      <w:fldChar w:fldCharType="separate"/>
    </w:r>
    <w:r w:rsidR="00D56B76">
      <w:rPr>
        <w:noProof/>
        <w:sz w:val="20"/>
        <w:szCs w:val="20"/>
      </w:rPr>
      <w:t>FMIzz_13072021_MK677</w:t>
    </w:r>
    <w:r w:rsidR="00D56B76">
      <w:rPr>
        <w:noProof/>
        <w:sz w:val="20"/>
        <w:szCs w:val="20"/>
      </w:rPr>
      <w:fldChar w:fldCharType="end"/>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23B2A" w14:textId="77777777" w:rsidR="00F258AC" w:rsidRDefault="00F258AC">
      <w:r>
        <w:separator/>
      </w:r>
    </w:p>
  </w:footnote>
  <w:footnote w:type="continuationSeparator" w:id="0">
    <w:p w14:paraId="367A1250" w14:textId="77777777" w:rsidR="00F258AC" w:rsidRDefault="00F258AC">
      <w:r>
        <w:continuationSeparator/>
      </w:r>
    </w:p>
  </w:footnote>
  <w:footnote w:id="1">
    <w:p w14:paraId="106B4514" w14:textId="77777777" w:rsidR="001B4ABE" w:rsidRPr="00D95E29" w:rsidRDefault="001B4ABE" w:rsidP="001B4ABE">
      <w:pPr>
        <w:pStyle w:val="FootnoteText"/>
      </w:pPr>
      <w:r w:rsidRPr="00D95E29">
        <w:rPr>
          <w:rStyle w:val="FootnoteReference"/>
        </w:rPr>
        <w:footnoteRef/>
      </w:r>
      <w:r w:rsidRPr="00D95E29">
        <w:t xml:space="preserve"> Satversmes tiesas </w:t>
      </w:r>
      <w:r w:rsidRPr="001B4ABE">
        <w:rPr>
          <w:color w:val="000000"/>
        </w:rPr>
        <w:t>2011. gada 11. janvāra sprieduma lietā Nr. </w:t>
      </w:r>
      <w:r w:rsidRPr="00D95E29">
        <w:t xml:space="preserve">2010-40-03 </w:t>
      </w:r>
      <w:r>
        <w:t xml:space="preserve">secinājumu daļas </w:t>
      </w:r>
      <w:r w:rsidRPr="00D95E29">
        <w:t>9.1. apakšpunkts.</w:t>
      </w:r>
    </w:p>
  </w:footnote>
  <w:footnote w:id="2">
    <w:p w14:paraId="7E45C66F" w14:textId="77777777" w:rsidR="00AF1992" w:rsidRDefault="00AF1992" w:rsidP="003758CB">
      <w:pPr>
        <w:pStyle w:val="FootnoteText"/>
      </w:pPr>
      <w:r>
        <w:rPr>
          <w:rStyle w:val="FootnoteReference"/>
        </w:rPr>
        <w:footnoteRef/>
      </w:r>
      <w:r>
        <w:t xml:space="preserve"> </w:t>
      </w:r>
      <w:r w:rsidRPr="00866BAE">
        <w:t>https://mk.gov.lv/content/ministru-kabineta-diskusiju-dokumenti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1B33"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A3997"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7E8B" w14:textId="15727828"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DDA">
      <w:rPr>
        <w:rStyle w:val="PageNumber"/>
        <w:noProof/>
      </w:rPr>
      <w:t>2</w:t>
    </w:r>
    <w:r>
      <w:rPr>
        <w:rStyle w:val="PageNumber"/>
      </w:rPr>
      <w:fldChar w:fldCharType="end"/>
    </w:r>
  </w:p>
  <w:p w14:paraId="1CD978E9"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B21"/>
    <w:multiLevelType w:val="hybridMultilevel"/>
    <w:tmpl w:val="85406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CD0503"/>
    <w:multiLevelType w:val="hybridMultilevel"/>
    <w:tmpl w:val="C7966948"/>
    <w:lvl w:ilvl="0" w:tplc="0A02404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21B2FEB"/>
    <w:multiLevelType w:val="hybridMultilevel"/>
    <w:tmpl w:val="7E2255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E37150"/>
    <w:multiLevelType w:val="hybridMultilevel"/>
    <w:tmpl w:val="5B4CE8B0"/>
    <w:lvl w:ilvl="0" w:tplc="4DDA3DC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5D61550"/>
    <w:multiLevelType w:val="multilevel"/>
    <w:tmpl w:val="8892E12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F95575"/>
    <w:multiLevelType w:val="hybridMultilevel"/>
    <w:tmpl w:val="B950BA76"/>
    <w:lvl w:ilvl="0" w:tplc="ECB6BAF8">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082E25"/>
    <w:multiLevelType w:val="hybridMultilevel"/>
    <w:tmpl w:val="EF7CF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A33EB2"/>
    <w:multiLevelType w:val="hybridMultilevel"/>
    <w:tmpl w:val="8854A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DE71A3"/>
    <w:multiLevelType w:val="hybridMultilevel"/>
    <w:tmpl w:val="7A58E4CC"/>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11" w15:restartNumberingAfterBreak="0">
    <w:nsid w:val="607231FF"/>
    <w:multiLevelType w:val="multilevel"/>
    <w:tmpl w:val="745081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C26F39"/>
    <w:multiLevelType w:val="hybridMultilevel"/>
    <w:tmpl w:val="FB406B5A"/>
    <w:lvl w:ilvl="0" w:tplc="04260011">
      <w:start w:val="1"/>
      <w:numFmt w:val="decimal"/>
      <w:lvlText w:val="%1)"/>
      <w:lvlJc w:val="left"/>
      <w:pPr>
        <w:ind w:left="3904" w:hanging="360"/>
      </w:pPr>
      <w:rPr>
        <w:rFonts w:hint="default"/>
      </w:rPr>
    </w:lvl>
    <w:lvl w:ilvl="1" w:tplc="04260019" w:tentative="1">
      <w:start w:val="1"/>
      <w:numFmt w:val="lowerLetter"/>
      <w:lvlText w:val="%2."/>
      <w:lvlJc w:val="left"/>
      <w:pPr>
        <w:ind w:left="4624" w:hanging="360"/>
      </w:pPr>
    </w:lvl>
    <w:lvl w:ilvl="2" w:tplc="0426001B" w:tentative="1">
      <w:start w:val="1"/>
      <w:numFmt w:val="lowerRoman"/>
      <w:lvlText w:val="%3."/>
      <w:lvlJc w:val="right"/>
      <w:pPr>
        <w:ind w:left="5344" w:hanging="180"/>
      </w:pPr>
    </w:lvl>
    <w:lvl w:ilvl="3" w:tplc="0426000F" w:tentative="1">
      <w:start w:val="1"/>
      <w:numFmt w:val="decimal"/>
      <w:lvlText w:val="%4."/>
      <w:lvlJc w:val="left"/>
      <w:pPr>
        <w:ind w:left="6064" w:hanging="360"/>
      </w:pPr>
    </w:lvl>
    <w:lvl w:ilvl="4" w:tplc="04260019" w:tentative="1">
      <w:start w:val="1"/>
      <w:numFmt w:val="lowerLetter"/>
      <w:lvlText w:val="%5."/>
      <w:lvlJc w:val="left"/>
      <w:pPr>
        <w:ind w:left="6784" w:hanging="360"/>
      </w:pPr>
    </w:lvl>
    <w:lvl w:ilvl="5" w:tplc="0426001B" w:tentative="1">
      <w:start w:val="1"/>
      <w:numFmt w:val="lowerRoman"/>
      <w:lvlText w:val="%6."/>
      <w:lvlJc w:val="right"/>
      <w:pPr>
        <w:ind w:left="7504" w:hanging="180"/>
      </w:pPr>
    </w:lvl>
    <w:lvl w:ilvl="6" w:tplc="0426000F" w:tentative="1">
      <w:start w:val="1"/>
      <w:numFmt w:val="decimal"/>
      <w:lvlText w:val="%7."/>
      <w:lvlJc w:val="left"/>
      <w:pPr>
        <w:ind w:left="8224" w:hanging="360"/>
      </w:pPr>
    </w:lvl>
    <w:lvl w:ilvl="7" w:tplc="04260019" w:tentative="1">
      <w:start w:val="1"/>
      <w:numFmt w:val="lowerLetter"/>
      <w:lvlText w:val="%8."/>
      <w:lvlJc w:val="left"/>
      <w:pPr>
        <w:ind w:left="8944" w:hanging="360"/>
      </w:pPr>
    </w:lvl>
    <w:lvl w:ilvl="8" w:tplc="0426001B" w:tentative="1">
      <w:start w:val="1"/>
      <w:numFmt w:val="lowerRoman"/>
      <w:lvlText w:val="%9."/>
      <w:lvlJc w:val="right"/>
      <w:pPr>
        <w:ind w:left="9664" w:hanging="180"/>
      </w:pPr>
    </w:lvl>
  </w:abstractNum>
  <w:abstractNum w:abstractNumId="13" w15:restartNumberingAfterBreak="0">
    <w:nsid w:val="63B57517"/>
    <w:multiLevelType w:val="hybridMultilevel"/>
    <w:tmpl w:val="6818E6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3D678D"/>
    <w:multiLevelType w:val="hybridMultilevel"/>
    <w:tmpl w:val="601C9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592789"/>
    <w:multiLevelType w:val="hybridMultilevel"/>
    <w:tmpl w:val="8E20E8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821C3F"/>
    <w:multiLevelType w:val="multilevel"/>
    <w:tmpl w:val="E55219F2"/>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14"/>
  </w:num>
  <w:num w:numId="4">
    <w:abstractNumId w:val="9"/>
  </w:num>
  <w:num w:numId="5">
    <w:abstractNumId w:val="6"/>
  </w:num>
  <w:num w:numId="6">
    <w:abstractNumId w:val="15"/>
  </w:num>
  <w:num w:numId="7">
    <w:abstractNumId w:val="5"/>
  </w:num>
  <w:num w:numId="8">
    <w:abstractNumId w:val="2"/>
  </w:num>
  <w:num w:numId="9">
    <w:abstractNumId w:val="12"/>
  </w:num>
  <w:num w:numId="10">
    <w:abstractNumId w:val="11"/>
  </w:num>
  <w:num w:numId="11">
    <w:abstractNumId w:val="13"/>
  </w:num>
  <w:num w:numId="12">
    <w:abstractNumId w:val="19"/>
  </w:num>
  <w:num w:numId="13">
    <w:abstractNumId w:val="4"/>
  </w:num>
  <w:num w:numId="14">
    <w:abstractNumId w:val="7"/>
  </w:num>
  <w:num w:numId="15">
    <w:abstractNumId w:val="0"/>
  </w:num>
  <w:num w:numId="16">
    <w:abstractNumId w:val="3"/>
  </w:num>
  <w:num w:numId="17">
    <w:abstractNumId w:val="8"/>
  </w:num>
  <w:num w:numId="18">
    <w:abstractNumId w:val="10"/>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339"/>
    <w:rsid w:val="0000456E"/>
    <w:rsid w:val="000055EA"/>
    <w:rsid w:val="00006BE1"/>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1E0"/>
    <w:rsid w:val="00023FD6"/>
    <w:rsid w:val="0002416A"/>
    <w:rsid w:val="00024CCD"/>
    <w:rsid w:val="00024D20"/>
    <w:rsid w:val="000253DB"/>
    <w:rsid w:val="000267E7"/>
    <w:rsid w:val="000278E7"/>
    <w:rsid w:val="00027A63"/>
    <w:rsid w:val="00027F9D"/>
    <w:rsid w:val="000307B5"/>
    <w:rsid w:val="00032457"/>
    <w:rsid w:val="0003413A"/>
    <w:rsid w:val="000349CA"/>
    <w:rsid w:val="0003557A"/>
    <w:rsid w:val="00035C06"/>
    <w:rsid w:val="000366DF"/>
    <w:rsid w:val="00036F92"/>
    <w:rsid w:val="000376CD"/>
    <w:rsid w:val="00040A5C"/>
    <w:rsid w:val="00043005"/>
    <w:rsid w:val="0004345F"/>
    <w:rsid w:val="00043A7A"/>
    <w:rsid w:val="00044026"/>
    <w:rsid w:val="00044E82"/>
    <w:rsid w:val="00046075"/>
    <w:rsid w:val="00046CAD"/>
    <w:rsid w:val="00046F5C"/>
    <w:rsid w:val="00047385"/>
    <w:rsid w:val="00050554"/>
    <w:rsid w:val="00053706"/>
    <w:rsid w:val="00053E04"/>
    <w:rsid w:val="000579E6"/>
    <w:rsid w:val="00060E03"/>
    <w:rsid w:val="0006281B"/>
    <w:rsid w:val="000641CE"/>
    <w:rsid w:val="000642D5"/>
    <w:rsid w:val="00065271"/>
    <w:rsid w:val="00066176"/>
    <w:rsid w:val="0006618D"/>
    <w:rsid w:val="00066885"/>
    <w:rsid w:val="0006694E"/>
    <w:rsid w:val="00066A37"/>
    <w:rsid w:val="00066F05"/>
    <w:rsid w:val="000715D8"/>
    <w:rsid w:val="00072628"/>
    <w:rsid w:val="000728ED"/>
    <w:rsid w:val="000733F5"/>
    <w:rsid w:val="000733FF"/>
    <w:rsid w:val="00073D6C"/>
    <w:rsid w:val="0007577A"/>
    <w:rsid w:val="000775D0"/>
    <w:rsid w:val="00081956"/>
    <w:rsid w:val="00081B0F"/>
    <w:rsid w:val="0008283D"/>
    <w:rsid w:val="00083090"/>
    <w:rsid w:val="00083214"/>
    <w:rsid w:val="00083B8F"/>
    <w:rsid w:val="00084B11"/>
    <w:rsid w:val="00084E7B"/>
    <w:rsid w:val="00085322"/>
    <w:rsid w:val="0008656F"/>
    <w:rsid w:val="000868E3"/>
    <w:rsid w:val="00086AB9"/>
    <w:rsid w:val="00086BCE"/>
    <w:rsid w:val="00086F36"/>
    <w:rsid w:val="00087518"/>
    <w:rsid w:val="00090168"/>
    <w:rsid w:val="00090C76"/>
    <w:rsid w:val="00091033"/>
    <w:rsid w:val="00091F10"/>
    <w:rsid w:val="0009302B"/>
    <w:rsid w:val="000930A5"/>
    <w:rsid w:val="00093EC2"/>
    <w:rsid w:val="000958A2"/>
    <w:rsid w:val="000965E7"/>
    <w:rsid w:val="000A0041"/>
    <w:rsid w:val="000A06FC"/>
    <w:rsid w:val="000A1A02"/>
    <w:rsid w:val="000A4035"/>
    <w:rsid w:val="000A483A"/>
    <w:rsid w:val="000A495E"/>
    <w:rsid w:val="000A4DF4"/>
    <w:rsid w:val="000A55D2"/>
    <w:rsid w:val="000A64D3"/>
    <w:rsid w:val="000A77B9"/>
    <w:rsid w:val="000A78E3"/>
    <w:rsid w:val="000A7EA7"/>
    <w:rsid w:val="000B0403"/>
    <w:rsid w:val="000B057B"/>
    <w:rsid w:val="000B06E7"/>
    <w:rsid w:val="000B0C94"/>
    <w:rsid w:val="000B15E5"/>
    <w:rsid w:val="000B2382"/>
    <w:rsid w:val="000B3171"/>
    <w:rsid w:val="000B34A5"/>
    <w:rsid w:val="000B4746"/>
    <w:rsid w:val="000B5D98"/>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1824"/>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0F0F"/>
    <w:rsid w:val="000F1D56"/>
    <w:rsid w:val="000F2534"/>
    <w:rsid w:val="000F28D9"/>
    <w:rsid w:val="000F2D43"/>
    <w:rsid w:val="000F2F9A"/>
    <w:rsid w:val="000F38AC"/>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48"/>
    <w:rsid w:val="00110AA9"/>
    <w:rsid w:val="001113D4"/>
    <w:rsid w:val="0011254D"/>
    <w:rsid w:val="001139C2"/>
    <w:rsid w:val="00114559"/>
    <w:rsid w:val="00114EA9"/>
    <w:rsid w:val="00115ED0"/>
    <w:rsid w:val="0011683C"/>
    <w:rsid w:val="001176D0"/>
    <w:rsid w:val="001179E8"/>
    <w:rsid w:val="0012021B"/>
    <w:rsid w:val="0012222D"/>
    <w:rsid w:val="001255E6"/>
    <w:rsid w:val="0013053A"/>
    <w:rsid w:val="0013066A"/>
    <w:rsid w:val="001307E2"/>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39"/>
    <w:rsid w:val="0016565C"/>
    <w:rsid w:val="00166314"/>
    <w:rsid w:val="00166746"/>
    <w:rsid w:val="00167590"/>
    <w:rsid w:val="00167918"/>
    <w:rsid w:val="00167C1E"/>
    <w:rsid w:val="00167CEE"/>
    <w:rsid w:val="0017043B"/>
    <w:rsid w:val="001706A1"/>
    <w:rsid w:val="00170914"/>
    <w:rsid w:val="00170DF2"/>
    <w:rsid w:val="00174841"/>
    <w:rsid w:val="001761FD"/>
    <w:rsid w:val="00177D61"/>
    <w:rsid w:val="00180125"/>
    <w:rsid w:val="001808CA"/>
    <w:rsid w:val="00180923"/>
    <w:rsid w:val="00180CE5"/>
    <w:rsid w:val="001811FB"/>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B4F"/>
    <w:rsid w:val="001926F2"/>
    <w:rsid w:val="00193BCE"/>
    <w:rsid w:val="00194B87"/>
    <w:rsid w:val="00195040"/>
    <w:rsid w:val="0019569A"/>
    <w:rsid w:val="00195962"/>
    <w:rsid w:val="00196BAC"/>
    <w:rsid w:val="00197533"/>
    <w:rsid w:val="001977E7"/>
    <w:rsid w:val="00197CCA"/>
    <w:rsid w:val="001A0D8A"/>
    <w:rsid w:val="001A192D"/>
    <w:rsid w:val="001A2708"/>
    <w:rsid w:val="001A5C10"/>
    <w:rsid w:val="001A7C72"/>
    <w:rsid w:val="001B084B"/>
    <w:rsid w:val="001B0CEC"/>
    <w:rsid w:val="001B0FFC"/>
    <w:rsid w:val="001B1CF2"/>
    <w:rsid w:val="001B4388"/>
    <w:rsid w:val="001B463E"/>
    <w:rsid w:val="001B49E0"/>
    <w:rsid w:val="001B4ABE"/>
    <w:rsid w:val="001B5377"/>
    <w:rsid w:val="001B6553"/>
    <w:rsid w:val="001B6647"/>
    <w:rsid w:val="001B6A47"/>
    <w:rsid w:val="001B6B0A"/>
    <w:rsid w:val="001B6C3C"/>
    <w:rsid w:val="001C0824"/>
    <w:rsid w:val="001C0B83"/>
    <w:rsid w:val="001C1510"/>
    <w:rsid w:val="001C1989"/>
    <w:rsid w:val="001C28FD"/>
    <w:rsid w:val="001C3349"/>
    <w:rsid w:val="001C4ABA"/>
    <w:rsid w:val="001C4BB1"/>
    <w:rsid w:val="001C5308"/>
    <w:rsid w:val="001C546B"/>
    <w:rsid w:val="001C5EA2"/>
    <w:rsid w:val="001C6608"/>
    <w:rsid w:val="001C6C7D"/>
    <w:rsid w:val="001D1CB1"/>
    <w:rsid w:val="001D2200"/>
    <w:rsid w:val="001D2AC0"/>
    <w:rsid w:val="001D2DBA"/>
    <w:rsid w:val="001D2FD0"/>
    <w:rsid w:val="001D3830"/>
    <w:rsid w:val="001D3BA6"/>
    <w:rsid w:val="001D5564"/>
    <w:rsid w:val="001D6106"/>
    <w:rsid w:val="001D6FAA"/>
    <w:rsid w:val="001D70FA"/>
    <w:rsid w:val="001D7553"/>
    <w:rsid w:val="001D7BA9"/>
    <w:rsid w:val="001E039D"/>
    <w:rsid w:val="001E22E7"/>
    <w:rsid w:val="001E2714"/>
    <w:rsid w:val="001E2747"/>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B9E"/>
    <w:rsid w:val="00204D0F"/>
    <w:rsid w:val="00204DB6"/>
    <w:rsid w:val="002056ED"/>
    <w:rsid w:val="00205C3A"/>
    <w:rsid w:val="0020620F"/>
    <w:rsid w:val="002066B1"/>
    <w:rsid w:val="00206C35"/>
    <w:rsid w:val="00211793"/>
    <w:rsid w:val="00211C11"/>
    <w:rsid w:val="00212345"/>
    <w:rsid w:val="00214809"/>
    <w:rsid w:val="002149A1"/>
    <w:rsid w:val="00214E7A"/>
    <w:rsid w:val="00215ACF"/>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B28"/>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3C3"/>
    <w:rsid w:val="0025469D"/>
    <w:rsid w:val="002552B1"/>
    <w:rsid w:val="00255C62"/>
    <w:rsid w:val="00255D01"/>
    <w:rsid w:val="00256E55"/>
    <w:rsid w:val="00257E0E"/>
    <w:rsid w:val="00257FF4"/>
    <w:rsid w:val="002604F5"/>
    <w:rsid w:val="00260FCB"/>
    <w:rsid w:val="002615F5"/>
    <w:rsid w:val="002616B9"/>
    <w:rsid w:val="0026217B"/>
    <w:rsid w:val="002629E4"/>
    <w:rsid w:val="00263FE3"/>
    <w:rsid w:val="00265593"/>
    <w:rsid w:val="00266E52"/>
    <w:rsid w:val="002675EA"/>
    <w:rsid w:val="00267BC5"/>
    <w:rsid w:val="00267CBE"/>
    <w:rsid w:val="00267E0B"/>
    <w:rsid w:val="00270680"/>
    <w:rsid w:val="00271103"/>
    <w:rsid w:val="002721FA"/>
    <w:rsid w:val="0027230C"/>
    <w:rsid w:val="00272B99"/>
    <w:rsid w:val="0027353B"/>
    <w:rsid w:val="0027380D"/>
    <w:rsid w:val="0027468E"/>
    <w:rsid w:val="00274826"/>
    <w:rsid w:val="00275005"/>
    <w:rsid w:val="002752AB"/>
    <w:rsid w:val="002756D6"/>
    <w:rsid w:val="0027573C"/>
    <w:rsid w:val="002815D0"/>
    <w:rsid w:val="002817F8"/>
    <w:rsid w:val="002820A7"/>
    <w:rsid w:val="00283B82"/>
    <w:rsid w:val="00283E13"/>
    <w:rsid w:val="00286478"/>
    <w:rsid w:val="00287EDD"/>
    <w:rsid w:val="0029141B"/>
    <w:rsid w:val="002927D3"/>
    <w:rsid w:val="00294532"/>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60C"/>
    <w:rsid w:val="002C6D84"/>
    <w:rsid w:val="002C7D21"/>
    <w:rsid w:val="002D0872"/>
    <w:rsid w:val="002D1564"/>
    <w:rsid w:val="002D1CA4"/>
    <w:rsid w:val="002D2C09"/>
    <w:rsid w:val="002D2C45"/>
    <w:rsid w:val="002D4969"/>
    <w:rsid w:val="002D4EE1"/>
    <w:rsid w:val="002D4F49"/>
    <w:rsid w:val="002D7294"/>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6BDB"/>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45"/>
    <w:rsid w:val="00311795"/>
    <w:rsid w:val="003117B1"/>
    <w:rsid w:val="00311B70"/>
    <w:rsid w:val="00311CBE"/>
    <w:rsid w:val="00312280"/>
    <w:rsid w:val="00312CD0"/>
    <w:rsid w:val="00313086"/>
    <w:rsid w:val="00313411"/>
    <w:rsid w:val="0031449F"/>
    <w:rsid w:val="003145A5"/>
    <w:rsid w:val="003148B9"/>
    <w:rsid w:val="00314A2E"/>
    <w:rsid w:val="00315266"/>
    <w:rsid w:val="0031693B"/>
    <w:rsid w:val="003169CE"/>
    <w:rsid w:val="00316F0A"/>
    <w:rsid w:val="00317DC7"/>
    <w:rsid w:val="003200F9"/>
    <w:rsid w:val="00320F38"/>
    <w:rsid w:val="00320F8D"/>
    <w:rsid w:val="00321183"/>
    <w:rsid w:val="00321694"/>
    <w:rsid w:val="00321F0A"/>
    <w:rsid w:val="003223CE"/>
    <w:rsid w:val="00322A2D"/>
    <w:rsid w:val="00322E80"/>
    <w:rsid w:val="00324D5B"/>
    <w:rsid w:val="00325045"/>
    <w:rsid w:val="00325D91"/>
    <w:rsid w:val="00326155"/>
    <w:rsid w:val="003267B4"/>
    <w:rsid w:val="00326ED9"/>
    <w:rsid w:val="00331193"/>
    <w:rsid w:val="003333D4"/>
    <w:rsid w:val="00334951"/>
    <w:rsid w:val="00336411"/>
    <w:rsid w:val="0033678D"/>
    <w:rsid w:val="0033720D"/>
    <w:rsid w:val="003373E8"/>
    <w:rsid w:val="003443DD"/>
    <w:rsid w:val="00344D5A"/>
    <w:rsid w:val="00344FBC"/>
    <w:rsid w:val="00346EB6"/>
    <w:rsid w:val="00347B41"/>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10A9"/>
    <w:rsid w:val="00372221"/>
    <w:rsid w:val="00372CF2"/>
    <w:rsid w:val="0037495F"/>
    <w:rsid w:val="00374C7E"/>
    <w:rsid w:val="003758CB"/>
    <w:rsid w:val="00377353"/>
    <w:rsid w:val="0037736B"/>
    <w:rsid w:val="00381F57"/>
    <w:rsid w:val="0038216E"/>
    <w:rsid w:val="003822E5"/>
    <w:rsid w:val="003830B8"/>
    <w:rsid w:val="00383262"/>
    <w:rsid w:val="003962B6"/>
    <w:rsid w:val="003A157A"/>
    <w:rsid w:val="003A2611"/>
    <w:rsid w:val="003A283F"/>
    <w:rsid w:val="003A2A16"/>
    <w:rsid w:val="003A2FDD"/>
    <w:rsid w:val="003A3C43"/>
    <w:rsid w:val="003A5CCC"/>
    <w:rsid w:val="003A70FF"/>
    <w:rsid w:val="003A74D2"/>
    <w:rsid w:val="003A756B"/>
    <w:rsid w:val="003A7902"/>
    <w:rsid w:val="003B23D7"/>
    <w:rsid w:val="003B34CB"/>
    <w:rsid w:val="003B3AB4"/>
    <w:rsid w:val="003B3CA8"/>
    <w:rsid w:val="003B3EA2"/>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1A9"/>
    <w:rsid w:val="003D17E6"/>
    <w:rsid w:val="003D1A20"/>
    <w:rsid w:val="003D1AC9"/>
    <w:rsid w:val="003D2AC9"/>
    <w:rsid w:val="003D2CD8"/>
    <w:rsid w:val="003D3724"/>
    <w:rsid w:val="003D46A7"/>
    <w:rsid w:val="003D6376"/>
    <w:rsid w:val="003E051B"/>
    <w:rsid w:val="003E1235"/>
    <w:rsid w:val="003E1CC6"/>
    <w:rsid w:val="003E2A35"/>
    <w:rsid w:val="003E2B56"/>
    <w:rsid w:val="003E2CE1"/>
    <w:rsid w:val="003E2DCB"/>
    <w:rsid w:val="003E4C3F"/>
    <w:rsid w:val="003E4D7C"/>
    <w:rsid w:val="003E5FA8"/>
    <w:rsid w:val="003E6252"/>
    <w:rsid w:val="003F1200"/>
    <w:rsid w:val="003F1421"/>
    <w:rsid w:val="003F1844"/>
    <w:rsid w:val="003F241E"/>
    <w:rsid w:val="003F28C0"/>
    <w:rsid w:val="003F392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893"/>
    <w:rsid w:val="004065D6"/>
    <w:rsid w:val="0040687D"/>
    <w:rsid w:val="00406923"/>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2EA5"/>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3DEC"/>
    <w:rsid w:val="00464B48"/>
    <w:rsid w:val="00465231"/>
    <w:rsid w:val="004662AD"/>
    <w:rsid w:val="00466437"/>
    <w:rsid w:val="00466516"/>
    <w:rsid w:val="00467B65"/>
    <w:rsid w:val="00471EA5"/>
    <w:rsid w:val="004720C9"/>
    <w:rsid w:val="00472257"/>
    <w:rsid w:val="00472E49"/>
    <w:rsid w:val="004732BB"/>
    <w:rsid w:val="00474C60"/>
    <w:rsid w:val="00475944"/>
    <w:rsid w:val="00475DF0"/>
    <w:rsid w:val="00476525"/>
    <w:rsid w:val="004772E2"/>
    <w:rsid w:val="0047739F"/>
    <w:rsid w:val="00477DDC"/>
    <w:rsid w:val="00477F97"/>
    <w:rsid w:val="00480A2D"/>
    <w:rsid w:val="00480AFB"/>
    <w:rsid w:val="00481247"/>
    <w:rsid w:val="004828DC"/>
    <w:rsid w:val="00482FF7"/>
    <w:rsid w:val="00483098"/>
    <w:rsid w:val="00483AFB"/>
    <w:rsid w:val="0048402B"/>
    <w:rsid w:val="0048414A"/>
    <w:rsid w:val="00484827"/>
    <w:rsid w:val="004858DB"/>
    <w:rsid w:val="00485C56"/>
    <w:rsid w:val="00486139"/>
    <w:rsid w:val="00486B79"/>
    <w:rsid w:val="00486CA2"/>
    <w:rsid w:val="00490B25"/>
    <w:rsid w:val="00490FD6"/>
    <w:rsid w:val="00491153"/>
    <w:rsid w:val="004911C4"/>
    <w:rsid w:val="00494CC8"/>
    <w:rsid w:val="004955E7"/>
    <w:rsid w:val="0049589C"/>
    <w:rsid w:val="00495EF1"/>
    <w:rsid w:val="00496BC5"/>
    <w:rsid w:val="00496ED4"/>
    <w:rsid w:val="00497D4A"/>
    <w:rsid w:val="004A0441"/>
    <w:rsid w:val="004A084C"/>
    <w:rsid w:val="004A15B3"/>
    <w:rsid w:val="004A1D01"/>
    <w:rsid w:val="004A2A54"/>
    <w:rsid w:val="004A2EF3"/>
    <w:rsid w:val="004A3B0D"/>
    <w:rsid w:val="004A52F5"/>
    <w:rsid w:val="004A5A1F"/>
    <w:rsid w:val="004A5D3A"/>
    <w:rsid w:val="004A6897"/>
    <w:rsid w:val="004A692B"/>
    <w:rsid w:val="004A6EB6"/>
    <w:rsid w:val="004A794C"/>
    <w:rsid w:val="004B3EC7"/>
    <w:rsid w:val="004B5664"/>
    <w:rsid w:val="004C2107"/>
    <w:rsid w:val="004C2F8F"/>
    <w:rsid w:val="004C526A"/>
    <w:rsid w:val="004C5FC6"/>
    <w:rsid w:val="004C6435"/>
    <w:rsid w:val="004C649B"/>
    <w:rsid w:val="004C7B9C"/>
    <w:rsid w:val="004C7D55"/>
    <w:rsid w:val="004D089A"/>
    <w:rsid w:val="004D3184"/>
    <w:rsid w:val="004D5030"/>
    <w:rsid w:val="004D6045"/>
    <w:rsid w:val="004D7546"/>
    <w:rsid w:val="004D7EC5"/>
    <w:rsid w:val="004D7F16"/>
    <w:rsid w:val="004E02B0"/>
    <w:rsid w:val="004E0B29"/>
    <w:rsid w:val="004E0E11"/>
    <w:rsid w:val="004E0F08"/>
    <w:rsid w:val="004E1546"/>
    <w:rsid w:val="004E19DC"/>
    <w:rsid w:val="004E35E8"/>
    <w:rsid w:val="004E4212"/>
    <w:rsid w:val="004E50F0"/>
    <w:rsid w:val="004E61C3"/>
    <w:rsid w:val="004E6A03"/>
    <w:rsid w:val="004F0070"/>
    <w:rsid w:val="004F0468"/>
    <w:rsid w:val="004F0C51"/>
    <w:rsid w:val="004F263C"/>
    <w:rsid w:val="004F2BB1"/>
    <w:rsid w:val="004F2EC7"/>
    <w:rsid w:val="004F3CE8"/>
    <w:rsid w:val="004F5E72"/>
    <w:rsid w:val="004F6BFB"/>
    <w:rsid w:val="004F7E4A"/>
    <w:rsid w:val="0050147C"/>
    <w:rsid w:val="0050182B"/>
    <w:rsid w:val="0050195F"/>
    <w:rsid w:val="00502579"/>
    <w:rsid w:val="005026D4"/>
    <w:rsid w:val="005029F7"/>
    <w:rsid w:val="00503D4C"/>
    <w:rsid w:val="00504C0C"/>
    <w:rsid w:val="00504E48"/>
    <w:rsid w:val="005070FF"/>
    <w:rsid w:val="00510D4A"/>
    <w:rsid w:val="00512BBC"/>
    <w:rsid w:val="00512E14"/>
    <w:rsid w:val="005134FB"/>
    <w:rsid w:val="005135FD"/>
    <w:rsid w:val="0051366C"/>
    <w:rsid w:val="0051684F"/>
    <w:rsid w:val="00516A92"/>
    <w:rsid w:val="00516B9F"/>
    <w:rsid w:val="00517693"/>
    <w:rsid w:val="005205AB"/>
    <w:rsid w:val="00523378"/>
    <w:rsid w:val="00525260"/>
    <w:rsid w:val="0052550F"/>
    <w:rsid w:val="00526C0F"/>
    <w:rsid w:val="0052702A"/>
    <w:rsid w:val="00530397"/>
    <w:rsid w:val="00530F73"/>
    <w:rsid w:val="00533B8E"/>
    <w:rsid w:val="00534DA7"/>
    <w:rsid w:val="00535417"/>
    <w:rsid w:val="00535833"/>
    <w:rsid w:val="00535F89"/>
    <w:rsid w:val="00536D28"/>
    <w:rsid w:val="005372C5"/>
    <w:rsid w:val="00537A26"/>
    <w:rsid w:val="00540E47"/>
    <w:rsid w:val="00542C7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77F96"/>
    <w:rsid w:val="0058121A"/>
    <w:rsid w:val="00581863"/>
    <w:rsid w:val="00581E33"/>
    <w:rsid w:val="00581EA3"/>
    <w:rsid w:val="0058205A"/>
    <w:rsid w:val="0058260B"/>
    <w:rsid w:val="00584D1E"/>
    <w:rsid w:val="00586795"/>
    <w:rsid w:val="00586B82"/>
    <w:rsid w:val="00587E13"/>
    <w:rsid w:val="0059214B"/>
    <w:rsid w:val="005933AA"/>
    <w:rsid w:val="005940AA"/>
    <w:rsid w:val="00594614"/>
    <w:rsid w:val="00594E10"/>
    <w:rsid w:val="00596306"/>
    <w:rsid w:val="00596487"/>
    <w:rsid w:val="005A0809"/>
    <w:rsid w:val="005A0B91"/>
    <w:rsid w:val="005A1101"/>
    <w:rsid w:val="005A1494"/>
    <w:rsid w:val="005A3590"/>
    <w:rsid w:val="005A4A1C"/>
    <w:rsid w:val="005A502F"/>
    <w:rsid w:val="005A5BD8"/>
    <w:rsid w:val="005A692A"/>
    <w:rsid w:val="005A6AB8"/>
    <w:rsid w:val="005A7092"/>
    <w:rsid w:val="005B0CFE"/>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C7FAB"/>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16C"/>
    <w:rsid w:val="005E676C"/>
    <w:rsid w:val="005E6CB9"/>
    <w:rsid w:val="005E7535"/>
    <w:rsid w:val="005E7612"/>
    <w:rsid w:val="005E7F14"/>
    <w:rsid w:val="005F0154"/>
    <w:rsid w:val="005F0176"/>
    <w:rsid w:val="005F021D"/>
    <w:rsid w:val="005F0441"/>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1766C"/>
    <w:rsid w:val="006200A9"/>
    <w:rsid w:val="00622225"/>
    <w:rsid w:val="00622D03"/>
    <w:rsid w:val="00622DCD"/>
    <w:rsid w:val="00622F57"/>
    <w:rsid w:val="00623DD5"/>
    <w:rsid w:val="00624269"/>
    <w:rsid w:val="00624573"/>
    <w:rsid w:val="00624A34"/>
    <w:rsid w:val="0062568D"/>
    <w:rsid w:val="006256D3"/>
    <w:rsid w:val="00626502"/>
    <w:rsid w:val="006267F5"/>
    <w:rsid w:val="00627337"/>
    <w:rsid w:val="00630069"/>
    <w:rsid w:val="00630583"/>
    <w:rsid w:val="00630D2E"/>
    <w:rsid w:val="00630D39"/>
    <w:rsid w:val="00631E19"/>
    <w:rsid w:val="00633524"/>
    <w:rsid w:val="00633529"/>
    <w:rsid w:val="00633E76"/>
    <w:rsid w:val="00633EC9"/>
    <w:rsid w:val="006340F5"/>
    <w:rsid w:val="00634542"/>
    <w:rsid w:val="00635E4D"/>
    <w:rsid w:val="0063620C"/>
    <w:rsid w:val="0063785A"/>
    <w:rsid w:val="00637E18"/>
    <w:rsid w:val="00637E89"/>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67E24"/>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AD1"/>
    <w:rsid w:val="00684C95"/>
    <w:rsid w:val="006850D3"/>
    <w:rsid w:val="00685249"/>
    <w:rsid w:val="006856B9"/>
    <w:rsid w:val="00685BDE"/>
    <w:rsid w:val="00686085"/>
    <w:rsid w:val="00687C0D"/>
    <w:rsid w:val="00691237"/>
    <w:rsid w:val="006920E6"/>
    <w:rsid w:val="00692555"/>
    <w:rsid w:val="00693F14"/>
    <w:rsid w:val="00696390"/>
    <w:rsid w:val="00696566"/>
    <w:rsid w:val="006966BA"/>
    <w:rsid w:val="0069722D"/>
    <w:rsid w:val="006A0052"/>
    <w:rsid w:val="006A0A9E"/>
    <w:rsid w:val="006A1F1C"/>
    <w:rsid w:val="006A3836"/>
    <w:rsid w:val="006A3DD3"/>
    <w:rsid w:val="006A4126"/>
    <w:rsid w:val="006A4625"/>
    <w:rsid w:val="006A47AE"/>
    <w:rsid w:val="006A5B5E"/>
    <w:rsid w:val="006A67CB"/>
    <w:rsid w:val="006B0368"/>
    <w:rsid w:val="006B0F6E"/>
    <w:rsid w:val="006B16A9"/>
    <w:rsid w:val="006B1D7B"/>
    <w:rsid w:val="006B1E97"/>
    <w:rsid w:val="006B27D4"/>
    <w:rsid w:val="006B2C9C"/>
    <w:rsid w:val="006B4884"/>
    <w:rsid w:val="006B48EB"/>
    <w:rsid w:val="006B4C00"/>
    <w:rsid w:val="006B56FC"/>
    <w:rsid w:val="006B6DDA"/>
    <w:rsid w:val="006B73D9"/>
    <w:rsid w:val="006B7DF0"/>
    <w:rsid w:val="006B7E74"/>
    <w:rsid w:val="006C0D75"/>
    <w:rsid w:val="006C1797"/>
    <w:rsid w:val="006C1C48"/>
    <w:rsid w:val="006C2713"/>
    <w:rsid w:val="006C3C1D"/>
    <w:rsid w:val="006C41FF"/>
    <w:rsid w:val="006C5145"/>
    <w:rsid w:val="006C519B"/>
    <w:rsid w:val="006C58C1"/>
    <w:rsid w:val="006C65A8"/>
    <w:rsid w:val="006D05AD"/>
    <w:rsid w:val="006D0742"/>
    <w:rsid w:val="006D0EC1"/>
    <w:rsid w:val="006D16F8"/>
    <w:rsid w:val="006D1813"/>
    <w:rsid w:val="006D24A9"/>
    <w:rsid w:val="006D2AF3"/>
    <w:rsid w:val="006D3316"/>
    <w:rsid w:val="006D4D79"/>
    <w:rsid w:val="006D4FBD"/>
    <w:rsid w:val="006D5879"/>
    <w:rsid w:val="006D63FD"/>
    <w:rsid w:val="006D65B4"/>
    <w:rsid w:val="006D716E"/>
    <w:rsid w:val="006D754A"/>
    <w:rsid w:val="006D7593"/>
    <w:rsid w:val="006D7B9C"/>
    <w:rsid w:val="006E04C6"/>
    <w:rsid w:val="006E0A65"/>
    <w:rsid w:val="006E1B01"/>
    <w:rsid w:val="006E2E3C"/>
    <w:rsid w:val="006E360B"/>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1D3"/>
    <w:rsid w:val="00704BAE"/>
    <w:rsid w:val="00705807"/>
    <w:rsid w:val="00705C74"/>
    <w:rsid w:val="00705C78"/>
    <w:rsid w:val="00705CFF"/>
    <w:rsid w:val="007060E1"/>
    <w:rsid w:val="00706824"/>
    <w:rsid w:val="00706B85"/>
    <w:rsid w:val="007071FC"/>
    <w:rsid w:val="00707C84"/>
    <w:rsid w:val="00710A59"/>
    <w:rsid w:val="00710FDE"/>
    <w:rsid w:val="007116C7"/>
    <w:rsid w:val="00711C5A"/>
    <w:rsid w:val="00712B66"/>
    <w:rsid w:val="00712E45"/>
    <w:rsid w:val="00713C31"/>
    <w:rsid w:val="0071428D"/>
    <w:rsid w:val="007144C9"/>
    <w:rsid w:val="00714F26"/>
    <w:rsid w:val="00716B3C"/>
    <w:rsid w:val="007170C2"/>
    <w:rsid w:val="00717EE4"/>
    <w:rsid w:val="00717F2D"/>
    <w:rsid w:val="00720453"/>
    <w:rsid w:val="00720853"/>
    <w:rsid w:val="0072090A"/>
    <w:rsid w:val="00720EE8"/>
    <w:rsid w:val="00722129"/>
    <w:rsid w:val="007224E3"/>
    <w:rsid w:val="00724173"/>
    <w:rsid w:val="00726730"/>
    <w:rsid w:val="00730598"/>
    <w:rsid w:val="00731C24"/>
    <w:rsid w:val="0073257E"/>
    <w:rsid w:val="00732A32"/>
    <w:rsid w:val="00733066"/>
    <w:rsid w:val="00733469"/>
    <w:rsid w:val="00733539"/>
    <w:rsid w:val="00735557"/>
    <w:rsid w:val="007365D9"/>
    <w:rsid w:val="00737108"/>
    <w:rsid w:val="007379CE"/>
    <w:rsid w:val="007419A7"/>
    <w:rsid w:val="00741B21"/>
    <w:rsid w:val="00741DD8"/>
    <w:rsid w:val="00741E49"/>
    <w:rsid w:val="0074250D"/>
    <w:rsid w:val="00744266"/>
    <w:rsid w:val="007443CC"/>
    <w:rsid w:val="007445E2"/>
    <w:rsid w:val="007452F9"/>
    <w:rsid w:val="00745496"/>
    <w:rsid w:val="007460DA"/>
    <w:rsid w:val="0074705B"/>
    <w:rsid w:val="007470EC"/>
    <w:rsid w:val="0075020B"/>
    <w:rsid w:val="00751017"/>
    <w:rsid w:val="00751960"/>
    <w:rsid w:val="007535C7"/>
    <w:rsid w:val="00755B40"/>
    <w:rsid w:val="00756551"/>
    <w:rsid w:val="00757769"/>
    <w:rsid w:val="0076067E"/>
    <w:rsid w:val="007618F0"/>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336"/>
    <w:rsid w:val="0078556C"/>
    <w:rsid w:val="007855C5"/>
    <w:rsid w:val="007856D3"/>
    <w:rsid w:val="00785ABD"/>
    <w:rsid w:val="007860C6"/>
    <w:rsid w:val="00786254"/>
    <w:rsid w:val="00786DB0"/>
    <w:rsid w:val="00787404"/>
    <w:rsid w:val="007877A0"/>
    <w:rsid w:val="007878D1"/>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1B4"/>
    <w:rsid w:val="007B4C0F"/>
    <w:rsid w:val="007B5E25"/>
    <w:rsid w:val="007B6E0E"/>
    <w:rsid w:val="007C27FB"/>
    <w:rsid w:val="007C2CBB"/>
    <w:rsid w:val="007C309C"/>
    <w:rsid w:val="007C4209"/>
    <w:rsid w:val="007C5EB9"/>
    <w:rsid w:val="007C7449"/>
    <w:rsid w:val="007C7EA5"/>
    <w:rsid w:val="007C7F82"/>
    <w:rsid w:val="007D00B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87E"/>
    <w:rsid w:val="007E5C4A"/>
    <w:rsid w:val="007E6408"/>
    <w:rsid w:val="007E6915"/>
    <w:rsid w:val="007E74CA"/>
    <w:rsid w:val="007E7AD3"/>
    <w:rsid w:val="007E7D78"/>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365"/>
    <w:rsid w:val="00804BCF"/>
    <w:rsid w:val="00804FA4"/>
    <w:rsid w:val="00805275"/>
    <w:rsid w:val="0080579B"/>
    <w:rsid w:val="00806A62"/>
    <w:rsid w:val="00806E55"/>
    <w:rsid w:val="008075CE"/>
    <w:rsid w:val="00811C1A"/>
    <w:rsid w:val="00812179"/>
    <w:rsid w:val="008123A4"/>
    <w:rsid w:val="008124E2"/>
    <w:rsid w:val="00813928"/>
    <w:rsid w:val="00815321"/>
    <w:rsid w:val="008166DB"/>
    <w:rsid w:val="008173E0"/>
    <w:rsid w:val="0081756D"/>
    <w:rsid w:val="008175C1"/>
    <w:rsid w:val="008200D4"/>
    <w:rsid w:val="00820370"/>
    <w:rsid w:val="00820CC6"/>
    <w:rsid w:val="00822C41"/>
    <w:rsid w:val="00825043"/>
    <w:rsid w:val="00825267"/>
    <w:rsid w:val="00826003"/>
    <w:rsid w:val="008264EC"/>
    <w:rsid w:val="00827C0D"/>
    <w:rsid w:val="00830642"/>
    <w:rsid w:val="00831250"/>
    <w:rsid w:val="00831D8D"/>
    <w:rsid w:val="00832FD4"/>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0E3"/>
    <w:rsid w:val="00851605"/>
    <w:rsid w:val="008522D2"/>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C7F"/>
    <w:rsid w:val="00867EB8"/>
    <w:rsid w:val="00870335"/>
    <w:rsid w:val="00870AA2"/>
    <w:rsid w:val="008724D7"/>
    <w:rsid w:val="00873D88"/>
    <w:rsid w:val="0087433B"/>
    <w:rsid w:val="00874E31"/>
    <w:rsid w:val="0087621E"/>
    <w:rsid w:val="008767B2"/>
    <w:rsid w:val="00877328"/>
    <w:rsid w:val="0087787A"/>
    <w:rsid w:val="008802F0"/>
    <w:rsid w:val="00880992"/>
    <w:rsid w:val="00881692"/>
    <w:rsid w:val="00883143"/>
    <w:rsid w:val="00884EC8"/>
    <w:rsid w:val="00885402"/>
    <w:rsid w:val="00886154"/>
    <w:rsid w:val="00890277"/>
    <w:rsid w:val="0089061A"/>
    <w:rsid w:val="008915C6"/>
    <w:rsid w:val="00891677"/>
    <w:rsid w:val="00891C0C"/>
    <w:rsid w:val="00892DB5"/>
    <w:rsid w:val="00894B61"/>
    <w:rsid w:val="00895255"/>
    <w:rsid w:val="00895DF1"/>
    <w:rsid w:val="00896033"/>
    <w:rsid w:val="008960B0"/>
    <w:rsid w:val="00896645"/>
    <w:rsid w:val="008975D2"/>
    <w:rsid w:val="008A035B"/>
    <w:rsid w:val="008A0459"/>
    <w:rsid w:val="008A1218"/>
    <w:rsid w:val="008A15B6"/>
    <w:rsid w:val="008A1A6E"/>
    <w:rsid w:val="008A202A"/>
    <w:rsid w:val="008A36C9"/>
    <w:rsid w:val="008A5AF9"/>
    <w:rsid w:val="008A5C3A"/>
    <w:rsid w:val="008B16DE"/>
    <w:rsid w:val="008B251F"/>
    <w:rsid w:val="008B2602"/>
    <w:rsid w:val="008B2727"/>
    <w:rsid w:val="008B316B"/>
    <w:rsid w:val="008B5059"/>
    <w:rsid w:val="008B5BF2"/>
    <w:rsid w:val="008B6934"/>
    <w:rsid w:val="008B6CF8"/>
    <w:rsid w:val="008B72F6"/>
    <w:rsid w:val="008B753B"/>
    <w:rsid w:val="008C04BD"/>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2461"/>
    <w:rsid w:val="008D3235"/>
    <w:rsid w:val="008D33C8"/>
    <w:rsid w:val="008D352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3A9"/>
    <w:rsid w:val="008F57DD"/>
    <w:rsid w:val="008F5AEE"/>
    <w:rsid w:val="008F6EAA"/>
    <w:rsid w:val="008F7800"/>
    <w:rsid w:val="008F7BCA"/>
    <w:rsid w:val="00900BAF"/>
    <w:rsid w:val="00900F4D"/>
    <w:rsid w:val="0090167B"/>
    <w:rsid w:val="00902381"/>
    <w:rsid w:val="00902DEC"/>
    <w:rsid w:val="0090342E"/>
    <w:rsid w:val="00903D3A"/>
    <w:rsid w:val="009044B9"/>
    <w:rsid w:val="009047B1"/>
    <w:rsid w:val="00904C86"/>
    <w:rsid w:val="0090524D"/>
    <w:rsid w:val="009054AA"/>
    <w:rsid w:val="0090680D"/>
    <w:rsid w:val="009071D6"/>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E22"/>
    <w:rsid w:val="00930F4A"/>
    <w:rsid w:val="0093375E"/>
    <w:rsid w:val="00933BEF"/>
    <w:rsid w:val="0093787E"/>
    <w:rsid w:val="009412CC"/>
    <w:rsid w:val="0094388B"/>
    <w:rsid w:val="00943D09"/>
    <w:rsid w:val="00944826"/>
    <w:rsid w:val="009457A1"/>
    <w:rsid w:val="009459E7"/>
    <w:rsid w:val="00947C5D"/>
    <w:rsid w:val="00947CA9"/>
    <w:rsid w:val="00950478"/>
    <w:rsid w:val="00950888"/>
    <w:rsid w:val="00950AF9"/>
    <w:rsid w:val="00950B5F"/>
    <w:rsid w:val="00950D35"/>
    <w:rsid w:val="0095144C"/>
    <w:rsid w:val="0095165B"/>
    <w:rsid w:val="00951B17"/>
    <w:rsid w:val="00951B8D"/>
    <w:rsid w:val="0095324A"/>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87BDF"/>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7281"/>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062"/>
    <w:rsid w:val="009D1589"/>
    <w:rsid w:val="009D2003"/>
    <w:rsid w:val="009D23D4"/>
    <w:rsid w:val="009D38C2"/>
    <w:rsid w:val="009D417F"/>
    <w:rsid w:val="009D45E5"/>
    <w:rsid w:val="009D4B85"/>
    <w:rsid w:val="009D5303"/>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1E55"/>
    <w:rsid w:val="00A02F9D"/>
    <w:rsid w:val="00A03767"/>
    <w:rsid w:val="00A04834"/>
    <w:rsid w:val="00A05628"/>
    <w:rsid w:val="00A07DCF"/>
    <w:rsid w:val="00A07F4E"/>
    <w:rsid w:val="00A125C1"/>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477"/>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6A7D"/>
    <w:rsid w:val="00A8728F"/>
    <w:rsid w:val="00A8756A"/>
    <w:rsid w:val="00A87861"/>
    <w:rsid w:val="00A87DDA"/>
    <w:rsid w:val="00A87F7D"/>
    <w:rsid w:val="00A900A5"/>
    <w:rsid w:val="00A906B7"/>
    <w:rsid w:val="00A9070E"/>
    <w:rsid w:val="00A92DD4"/>
    <w:rsid w:val="00A94B50"/>
    <w:rsid w:val="00A94D0F"/>
    <w:rsid w:val="00A94F13"/>
    <w:rsid w:val="00A9519C"/>
    <w:rsid w:val="00A9568C"/>
    <w:rsid w:val="00A95BED"/>
    <w:rsid w:val="00A95EA2"/>
    <w:rsid w:val="00A9787E"/>
    <w:rsid w:val="00A97AF9"/>
    <w:rsid w:val="00AA08E8"/>
    <w:rsid w:val="00AA0DB4"/>
    <w:rsid w:val="00AA11C5"/>
    <w:rsid w:val="00AA17E2"/>
    <w:rsid w:val="00AA21B7"/>
    <w:rsid w:val="00AA3827"/>
    <w:rsid w:val="00AA382D"/>
    <w:rsid w:val="00AA4A2C"/>
    <w:rsid w:val="00AA5873"/>
    <w:rsid w:val="00AA59A6"/>
    <w:rsid w:val="00AA6299"/>
    <w:rsid w:val="00AA6E05"/>
    <w:rsid w:val="00AA7DA8"/>
    <w:rsid w:val="00AB0262"/>
    <w:rsid w:val="00AB14A1"/>
    <w:rsid w:val="00AB1977"/>
    <w:rsid w:val="00AB202A"/>
    <w:rsid w:val="00AB5555"/>
    <w:rsid w:val="00AB55AD"/>
    <w:rsid w:val="00AB5D1B"/>
    <w:rsid w:val="00AB620E"/>
    <w:rsid w:val="00AB68AA"/>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992"/>
    <w:rsid w:val="00AF1B2E"/>
    <w:rsid w:val="00AF2EC7"/>
    <w:rsid w:val="00AF3AC0"/>
    <w:rsid w:val="00AF4F4A"/>
    <w:rsid w:val="00B00C24"/>
    <w:rsid w:val="00B00F93"/>
    <w:rsid w:val="00B01BBE"/>
    <w:rsid w:val="00B03F92"/>
    <w:rsid w:val="00B055D8"/>
    <w:rsid w:val="00B06CD6"/>
    <w:rsid w:val="00B06EBC"/>
    <w:rsid w:val="00B11175"/>
    <w:rsid w:val="00B11D2D"/>
    <w:rsid w:val="00B123F0"/>
    <w:rsid w:val="00B12891"/>
    <w:rsid w:val="00B13A83"/>
    <w:rsid w:val="00B146C1"/>
    <w:rsid w:val="00B146E7"/>
    <w:rsid w:val="00B156DF"/>
    <w:rsid w:val="00B15ABB"/>
    <w:rsid w:val="00B16973"/>
    <w:rsid w:val="00B2036A"/>
    <w:rsid w:val="00B21057"/>
    <w:rsid w:val="00B21DB5"/>
    <w:rsid w:val="00B2202B"/>
    <w:rsid w:val="00B23422"/>
    <w:rsid w:val="00B24948"/>
    <w:rsid w:val="00B24CBD"/>
    <w:rsid w:val="00B25CA3"/>
    <w:rsid w:val="00B2668B"/>
    <w:rsid w:val="00B30028"/>
    <w:rsid w:val="00B31E8D"/>
    <w:rsid w:val="00B32032"/>
    <w:rsid w:val="00B3313B"/>
    <w:rsid w:val="00B331E8"/>
    <w:rsid w:val="00B331EA"/>
    <w:rsid w:val="00B340FC"/>
    <w:rsid w:val="00B34732"/>
    <w:rsid w:val="00B353B8"/>
    <w:rsid w:val="00B35C56"/>
    <w:rsid w:val="00B35CF1"/>
    <w:rsid w:val="00B36F17"/>
    <w:rsid w:val="00B372ED"/>
    <w:rsid w:val="00B40603"/>
    <w:rsid w:val="00B40AF6"/>
    <w:rsid w:val="00B41071"/>
    <w:rsid w:val="00B425C0"/>
    <w:rsid w:val="00B42DB6"/>
    <w:rsid w:val="00B43BB4"/>
    <w:rsid w:val="00B43D14"/>
    <w:rsid w:val="00B46957"/>
    <w:rsid w:val="00B47B54"/>
    <w:rsid w:val="00B47BBB"/>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4A16"/>
    <w:rsid w:val="00BA556C"/>
    <w:rsid w:val="00BA5CD9"/>
    <w:rsid w:val="00BA7FB5"/>
    <w:rsid w:val="00BB0F31"/>
    <w:rsid w:val="00BB15AB"/>
    <w:rsid w:val="00BB189B"/>
    <w:rsid w:val="00BB1D21"/>
    <w:rsid w:val="00BB2E0A"/>
    <w:rsid w:val="00BB2E51"/>
    <w:rsid w:val="00BB4BEA"/>
    <w:rsid w:val="00BB4C1A"/>
    <w:rsid w:val="00BB50AB"/>
    <w:rsid w:val="00BB6664"/>
    <w:rsid w:val="00BC01FC"/>
    <w:rsid w:val="00BC1F79"/>
    <w:rsid w:val="00BC2201"/>
    <w:rsid w:val="00BC284E"/>
    <w:rsid w:val="00BC2F53"/>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A5F"/>
    <w:rsid w:val="00BF1C07"/>
    <w:rsid w:val="00BF237F"/>
    <w:rsid w:val="00BF3DEE"/>
    <w:rsid w:val="00BF54AC"/>
    <w:rsid w:val="00BF54BD"/>
    <w:rsid w:val="00BF680F"/>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2BD2"/>
    <w:rsid w:val="00C2325C"/>
    <w:rsid w:val="00C239ED"/>
    <w:rsid w:val="00C24D5A"/>
    <w:rsid w:val="00C24D9D"/>
    <w:rsid w:val="00C25CF3"/>
    <w:rsid w:val="00C263E9"/>
    <w:rsid w:val="00C2775A"/>
    <w:rsid w:val="00C3063A"/>
    <w:rsid w:val="00C30BAD"/>
    <w:rsid w:val="00C31E8F"/>
    <w:rsid w:val="00C335DA"/>
    <w:rsid w:val="00C33D3E"/>
    <w:rsid w:val="00C362E0"/>
    <w:rsid w:val="00C36E85"/>
    <w:rsid w:val="00C36ED4"/>
    <w:rsid w:val="00C376CC"/>
    <w:rsid w:val="00C400F7"/>
    <w:rsid w:val="00C40EC6"/>
    <w:rsid w:val="00C419AD"/>
    <w:rsid w:val="00C41B5F"/>
    <w:rsid w:val="00C4317F"/>
    <w:rsid w:val="00C437BA"/>
    <w:rsid w:val="00C44395"/>
    <w:rsid w:val="00C443B3"/>
    <w:rsid w:val="00C45CE8"/>
    <w:rsid w:val="00C46F06"/>
    <w:rsid w:val="00C47DA6"/>
    <w:rsid w:val="00C47E37"/>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745"/>
    <w:rsid w:val="00C657B5"/>
    <w:rsid w:val="00C661E1"/>
    <w:rsid w:val="00C66686"/>
    <w:rsid w:val="00C678C4"/>
    <w:rsid w:val="00C70344"/>
    <w:rsid w:val="00C71215"/>
    <w:rsid w:val="00C7216B"/>
    <w:rsid w:val="00C727BE"/>
    <w:rsid w:val="00C732A9"/>
    <w:rsid w:val="00C73448"/>
    <w:rsid w:val="00C73977"/>
    <w:rsid w:val="00C73E2E"/>
    <w:rsid w:val="00C74546"/>
    <w:rsid w:val="00C748E2"/>
    <w:rsid w:val="00C7776C"/>
    <w:rsid w:val="00C80FA7"/>
    <w:rsid w:val="00C8398D"/>
    <w:rsid w:val="00C83B71"/>
    <w:rsid w:val="00C84BC2"/>
    <w:rsid w:val="00C85139"/>
    <w:rsid w:val="00C85657"/>
    <w:rsid w:val="00C85ED4"/>
    <w:rsid w:val="00C90625"/>
    <w:rsid w:val="00C91C88"/>
    <w:rsid w:val="00C932BD"/>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487E"/>
    <w:rsid w:val="00CC7D0A"/>
    <w:rsid w:val="00CD02D5"/>
    <w:rsid w:val="00CD0E6E"/>
    <w:rsid w:val="00CD1739"/>
    <w:rsid w:val="00CD23AE"/>
    <w:rsid w:val="00CD27DF"/>
    <w:rsid w:val="00CD2D8A"/>
    <w:rsid w:val="00CD3BAC"/>
    <w:rsid w:val="00CD3FF2"/>
    <w:rsid w:val="00CD4A65"/>
    <w:rsid w:val="00CD531F"/>
    <w:rsid w:val="00CD6FA3"/>
    <w:rsid w:val="00CE2184"/>
    <w:rsid w:val="00CE3B7F"/>
    <w:rsid w:val="00CE3FA2"/>
    <w:rsid w:val="00CE41A0"/>
    <w:rsid w:val="00CE46E6"/>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309"/>
    <w:rsid w:val="00D06776"/>
    <w:rsid w:val="00D06E46"/>
    <w:rsid w:val="00D06F95"/>
    <w:rsid w:val="00D1158C"/>
    <w:rsid w:val="00D11600"/>
    <w:rsid w:val="00D1168F"/>
    <w:rsid w:val="00D119A2"/>
    <w:rsid w:val="00D11DBC"/>
    <w:rsid w:val="00D12656"/>
    <w:rsid w:val="00D12E31"/>
    <w:rsid w:val="00D137F9"/>
    <w:rsid w:val="00D1458C"/>
    <w:rsid w:val="00D1620E"/>
    <w:rsid w:val="00D16867"/>
    <w:rsid w:val="00D16C07"/>
    <w:rsid w:val="00D16EEC"/>
    <w:rsid w:val="00D1782F"/>
    <w:rsid w:val="00D2047A"/>
    <w:rsid w:val="00D20631"/>
    <w:rsid w:val="00D207FC"/>
    <w:rsid w:val="00D2169D"/>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5B7"/>
    <w:rsid w:val="00D379EB"/>
    <w:rsid w:val="00D400B8"/>
    <w:rsid w:val="00D4022C"/>
    <w:rsid w:val="00D4069F"/>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5E4"/>
    <w:rsid w:val="00D564DF"/>
    <w:rsid w:val="00D56B76"/>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310"/>
    <w:rsid w:val="00D70C1B"/>
    <w:rsid w:val="00D70E5C"/>
    <w:rsid w:val="00D7146C"/>
    <w:rsid w:val="00D718CD"/>
    <w:rsid w:val="00D7416F"/>
    <w:rsid w:val="00D755F2"/>
    <w:rsid w:val="00D762AC"/>
    <w:rsid w:val="00D775E7"/>
    <w:rsid w:val="00D77B9E"/>
    <w:rsid w:val="00D81CA9"/>
    <w:rsid w:val="00D82865"/>
    <w:rsid w:val="00D82C82"/>
    <w:rsid w:val="00D839D8"/>
    <w:rsid w:val="00D83F9E"/>
    <w:rsid w:val="00D840C2"/>
    <w:rsid w:val="00D84562"/>
    <w:rsid w:val="00D85C16"/>
    <w:rsid w:val="00D86169"/>
    <w:rsid w:val="00D8732E"/>
    <w:rsid w:val="00D91294"/>
    <w:rsid w:val="00D9186A"/>
    <w:rsid w:val="00D91C4D"/>
    <w:rsid w:val="00D92D47"/>
    <w:rsid w:val="00D94213"/>
    <w:rsid w:val="00D94BEB"/>
    <w:rsid w:val="00D94EA5"/>
    <w:rsid w:val="00D95F32"/>
    <w:rsid w:val="00D96CC7"/>
    <w:rsid w:val="00DA024A"/>
    <w:rsid w:val="00DA07EE"/>
    <w:rsid w:val="00DA0A58"/>
    <w:rsid w:val="00DA1C85"/>
    <w:rsid w:val="00DA1CC9"/>
    <w:rsid w:val="00DA2C3B"/>
    <w:rsid w:val="00DA2E58"/>
    <w:rsid w:val="00DA328E"/>
    <w:rsid w:val="00DA3AA6"/>
    <w:rsid w:val="00DA46C1"/>
    <w:rsid w:val="00DA70DD"/>
    <w:rsid w:val="00DB088F"/>
    <w:rsid w:val="00DB0B4A"/>
    <w:rsid w:val="00DB1487"/>
    <w:rsid w:val="00DB19B4"/>
    <w:rsid w:val="00DB19F1"/>
    <w:rsid w:val="00DB1CE6"/>
    <w:rsid w:val="00DB26AE"/>
    <w:rsid w:val="00DB4411"/>
    <w:rsid w:val="00DB466D"/>
    <w:rsid w:val="00DB5FD0"/>
    <w:rsid w:val="00DB7395"/>
    <w:rsid w:val="00DB75C2"/>
    <w:rsid w:val="00DB7E2C"/>
    <w:rsid w:val="00DC027B"/>
    <w:rsid w:val="00DC0933"/>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77F"/>
    <w:rsid w:val="00DD686C"/>
    <w:rsid w:val="00DD6E86"/>
    <w:rsid w:val="00DE0E5D"/>
    <w:rsid w:val="00DE447F"/>
    <w:rsid w:val="00DE48F0"/>
    <w:rsid w:val="00DE4A77"/>
    <w:rsid w:val="00DE68EE"/>
    <w:rsid w:val="00DE6D24"/>
    <w:rsid w:val="00DE7285"/>
    <w:rsid w:val="00DE7B26"/>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7F4"/>
    <w:rsid w:val="00E14D83"/>
    <w:rsid w:val="00E14FA6"/>
    <w:rsid w:val="00E15A0D"/>
    <w:rsid w:val="00E16640"/>
    <w:rsid w:val="00E1740F"/>
    <w:rsid w:val="00E200CF"/>
    <w:rsid w:val="00E24287"/>
    <w:rsid w:val="00E24FF6"/>
    <w:rsid w:val="00E27F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5A87"/>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3BC"/>
    <w:rsid w:val="00E76E91"/>
    <w:rsid w:val="00E774B4"/>
    <w:rsid w:val="00E778F5"/>
    <w:rsid w:val="00E80E7C"/>
    <w:rsid w:val="00E81779"/>
    <w:rsid w:val="00E8205B"/>
    <w:rsid w:val="00E82444"/>
    <w:rsid w:val="00E8341C"/>
    <w:rsid w:val="00E8602B"/>
    <w:rsid w:val="00E86B5F"/>
    <w:rsid w:val="00E87D05"/>
    <w:rsid w:val="00E91F96"/>
    <w:rsid w:val="00E92E99"/>
    <w:rsid w:val="00E9534C"/>
    <w:rsid w:val="00E968FD"/>
    <w:rsid w:val="00E96D55"/>
    <w:rsid w:val="00E97993"/>
    <w:rsid w:val="00EA0D5D"/>
    <w:rsid w:val="00EA1192"/>
    <w:rsid w:val="00EA153F"/>
    <w:rsid w:val="00EA2788"/>
    <w:rsid w:val="00EA2C6E"/>
    <w:rsid w:val="00EA4878"/>
    <w:rsid w:val="00EA4964"/>
    <w:rsid w:val="00EA4F1A"/>
    <w:rsid w:val="00EB02DE"/>
    <w:rsid w:val="00EB0A07"/>
    <w:rsid w:val="00EB1B69"/>
    <w:rsid w:val="00EB1C78"/>
    <w:rsid w:val="00EB3B46"/>
    <w:rsid w:val="00EB4F08"/>
    <w:rsid w:val="00EC16AD"/>
    <w:rsid w:val="00EC2E07"/>
    <w:rsid w:val="00EC43C7"/>
    <w:rsid w:val="00EC465D"/>
    <w:rsid w:val="00EC48AF"/>
    <w:rsid w:val="00EC495A"/>
    <w:rsid w:val="00EC5C89"/>
    <w:rsid w:val="00EC66D2"/>
    <w:rsid w:val="00EC67E7"/>
    <w:rsid w:val="00ED0A1B"/>
    <w:rsid w:val="00ED21BC"/>
    <w:rsid w:val="00ED2FEC"/>
    <w:rsid w:val="00ED3F67"/>
    <w:rsid w:val="00ED440A"/>
    <w:rsid w:val="00ED6415"/>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60AD"/>
    <w:rsid w:val="00EF7A15"/>
    <w:rsid w:val="00EF7DE8"/>
    <w:rsid w:val="00F01F8C"/>
    <w:rsid w:val="00F03411"/>
    <w:rsid w:val="00F035A6"/>
    <w:rsid w:val="00F04AD0"/>
    <w:rsid w:val="00F055D6"/>
    <w:rsid w:val="00F0736F"/>
    <w:rsid w:val="00F10033"/>
    <w:rsid w:val="00F10848"/>
    <w:rsid w:val="00F10B68"/>
    <w:rsid w:val="00F11F55"/>
    <w:rsid w:val="00F12DEC"/>
    <w:rsid w:val="00F13151"/>
    <w:rsid w:val="00F15523"/>
    <w:rsid w:val="00F16391"/>
    <w:rsid w:val="00F2062B"/>
    <w:rsid w:val="00F21A18"/>
    <w:rsid w:val="00F21E61"/>
    <w:rsid w:val="00F220EA"/>
    <w:rsid w:val="00F22205"/>
    <w:rsid w:val="00F222CD"/>
    <w:rsid w:val="00F24EA4"/>
    <w:rsid w:val="00F258AC"/>
    <w:rsid w:val="00F25BE5"/>
    <w:rsid w:val="00F2625A"/>
    <w:rsid w:val="00F30FA2"/>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1EB"/>
    <w:rsid w:val="00F47A2B"/>
    <w:rsid w:val="00F47F3E"/>
    <w:rsid w:val="00F523D7"/>
    <w:rsid w:val="00F530E6"/>
    <w:rsid w:val="00F532C7"/>
    <w:rsid w:val="00F54EE5"/>
    <w:rsid w:val="00F55358"/>
    <w:rsid w:val="00F55EFC"/>
    <w:rsid w:val="00F5603C"/>
    <w:rsid w:val="00F5605C"/>
    <w:rsid w:val="00F564B9"/>
    <w:rsid w:val="00F57909"/>
    <w:rsid w:val="00F612D6"/>
    <w:rsid w:val="00F63400"/>
    <w:rsid w:val="00F636C6"/>
    <w:rsid w:val="00F6433D"/>
    <w:rsid w:val="00F6573E"/>
    <w:rsid w:val="00F662EB"/>
    <w:rsid w:val="00F662F8"/>
    <w:rsid w:val="00F67606"/>
    <w:rsid w:val="00F70327"/>
    <w:rsid w:val="00F70FEF"/>
    <w:rsid w:val="00F722A4"/>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87C7A"/>
    <w:rsid w:val="00F90217"/>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06E"/>
    <w:rsid w:val="00FC0263"/>
    <w:rsid w:val="00FC0348"/>
    <w:rsid w:val="00FC0FB5"/>
    <w:rsid w:val="00FC102A"/>
    <w:rsid w:val="00FC14D7"/>
    <w:rsid w:val="00FC154C"/>
    <w:rsid w:val="00FC1DBC"/>
    <w:rsid w:val="00FC2637"/>
    <w:rsid w:val="00FC33BB"/>
    <w:rsid w:val="00FC33C2"/>
    <w:rsid w:val="00FC393B"/>
    <w:rsid w:val="00FC4052"/>
    <w:rsid w:val="00FC5252"/>
    <w:rsid w:val="00FC6356"/>
    <w:rsid w:val="00FC7D01"/>
    <w:rsid w:val="00FD0130"/>
    <w:rsid w:val="00FD0373"/>
    <w:rsid w:val="00FD0427"/>
    <w:rsid w:val="00FD0582"/>
    <w:rsid w:val="00FD0C93"/>
    <w:rsid w:val="00FD1062"/>
    <w:rsid w:val="00FD23D3"/>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0752"/>
    <w:rsid w:val="00FF0E9F"/>
    <w:rsid w:val="00FF1070"/>
    <w:rsid w:val="00FF13E2"/>
    <w:rsid w:val="00FF2237"/>
    <w:rsid w:val="00FF2D9D"/>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1855B"/>
  <w15:chartTrackingRefBased/>
  <w15:docId w15:val="{602E8E4C-2E6E-4EB3-933B-295E1FFD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1B4ABE"/>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1B4ABE"/>
    <w:rPr>
      <w:rFonts w:eastAsia="Calibri"/>
      <w:lang w:eastAsia="en-US"/>
    </w:rPr>
  </w:style>
  <w:style w:type="character" w:styleId="FootnoteReference">
    <w:name w:val="footnote reference"/>
    <w:uiPriority w:val="99"/>
    <w:semiHidden/>
    <w:unhideWhenUsed/>
    <w:rsid w:val="001B4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9376">
      <w:bodyDiv w:val="1"/>
      <w:marLeft w:val="0"/>
      <w:marRight w:val="0"/>
      <w:marTop w:val="0"/>
      <w:marBottom w:val="0"/>
      <w:divBdr>
        <w:top w:val="none" w:sz="0" w:space="0" w:color="auto"/>
        <w:left w:val="none" w:sz="0" w:space="0" w:color="auto"/>
        <w:bottom w:val="none" w:sz="0" w:space="0" w:color="auto"/>
        <w:right w:val="none" w:sz="0" w:space="0" w:color="auto"/>
      </w:divBdr>
    </w:div>
    <w:div w:id="113446062">
      <w:bodyDiv w:val="1"/>
      <w:marLeft w:val="0"/>
      <w:marRight w:val="0"/>
      <w:marTop w:val="0"/>
      <w:marBottom w:val="0"/>
      <w:divBdr>
        <w:top w:val="none" w:sz="0" w:space="0" w:color="auto"/>
        <w:left w:val="none" w:sz="0" w:space="0" w:color="auto"/>
        <w:bottom w:val="none" w:sz="0" w:space="0" w:color="auto"/>
        <w:right w:val="none" w:sz="0" w:space="0" w:color="auto"/>
      </w:divBdr>
    </w:div>
    <w:div w:id="175192939">
      <w:bodyDiv w:val="1"/>
      <w:marLeft w:val="0"/>
      <w:marRight w:val="0"/>
      <w:marTop w:val="0"/>
      <w:marBottom w:val="0"/>
      <w:divBdr>
        <w:top w:val="none" w:sz="0" w:space="0" w:color="auto"/>
        <w:left w:val="none" w:sz="0" w:space="0" w:color="auto"/>
        <w:bottom w:val="none" w:sz="0" w:space="0" w:color="auto"/>
        <w:right w:val="none" w:sz="0" w:space="0" w:color="auto"/>
      </w:divBdr>
    </w:div>
    <w:div w:id="289672223">
      <w:bodyDiv w:val="1"/>
      <w:marLeft w:val="0"/>
      <w:marRight w:val="0"/>
      <w:marTop w:val="0"/>
      <w:marBottom w:val="0"/>
      <w:divBdr>
        <w:top w:val="none" w:sz="0" w:space="0" w:color="auto"/>
        <w:left w:val="none" w:sz="0" w:space="0" w:color="auto"/>
        <w:bottom w:val="none" w:sz="0" w:space="0" w:color="auto"/>
        <w:right w:val="none" w:sz="0" w:space="0" w:color="auto"/>
      </w:divBdr>
    </w:div>
    <w:div w:id="31322013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0894215">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8129358">
      <w:bodyDiv w:val="1"/>
      <w:marLeft w:val="0"/>
      <w:marRight w:val="0"/>
      <w:marTop w:val="0"/>
      <w:marBottom w:val="0"/>
      <w:divBdr>
        <w:top w:val="none" w:sz="0" w:space="0" w:color="auto"/>
        <w:left w:val="none" w:sz="0" w:space="0" w:color="auto"/>
        <w:bottom w:val="none" w:sz="0" w:space="0" w:color="auto"/>
        <w:right w:val="none" w:sz="0" w:space="0" w:color="auto"/>
      </w:divBdr>
    </w:div>
    <w:div w:id="61213523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5979888">
      <w:bodyDiv w:val="1"/>
      <w:marLeft w:val="0"/>
      <w:marRight w:val="0"/>
      <w:marTop w:val="0"/>
      <w:marBottom w:val="0"/>
      <w:divBdr>
        <w:top w:val="none" w:sz="0" w:space="0" w:color="auto"/>
        <w:left w:val="none" w:sz="0" w:space="0" w:color="auto"/>
        <w:bottom w:val="none" w:sz="0" w:space="0" w:color="auto"/>
        <w:right w:val="none" w:sz="0" w:space="0" w:color="auto"/>
      </w:divBdr>
    </w:div>
    <w:div w:id="92099319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866934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41544705">
      <w:bodyDiv w:val="1"/>
      <w:marLeft w:val="0"/>
      <w:marRight w:val="0"/>
      <w:marTop w:val="0"/>
      <w:marBottom w:val="0"/>
      <w:divBdr>
        <w:top w:val="none" w:sz="0" w:space="0" w:color="auto"/>
        <w:left w:val="none" w:sz="0" w:space="0" w:color="auto"/>
        <w:bottom w:val="none" w:sz="0" w:space="0" w:color="auto"/>
        <w:right w:val="none" w:sz="0" w:space="0" w:color="auto"/>
      </w:divBdr>
    </w:div>
    <w:div w:id="1414862116">
      <w:bodyDiv w:val="1"/>
      <w:marLeft w:val="0"/>
      <w:marRight w:val="0"/>
      <w:marTop w:val="0"/>
      <w:marBottom w:val="0"/>
      <w:divBdr>
        <w:top w:val="none" w:sz="0" w:space="0" w:color="auto"/>
        <w:left w:val="none" w:sz="0" w:space="0" w:color="auto"/>
        <w:bottom w:val="none" w:sz="0" w:space="0" w:color="auto"/>
        <w:right w:val="none" w:sz="0" w:space="0" w:color="auto"/>
      </w:divBdr>
    </w:div>
    <w:div w:id="151429502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116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yperlink" Target="https://likumi.lv/ta/id/203061" TargetMode="External"/><Relationship Id="rId18" Type="http://schemas.openxmlformats.org/officeDocument/2006/relationships/hyperlink" Target="http://likumi.lv/doc.php?id=19703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203061" TargetMode="External"/><Relationship Id="rId7" Type="http://schemas.openxmlformats.org/officeDocument/2006/relationships/endnotes" Target="endnotes.xml"/><Relationship Id="rId12" Type="http://schemas.openxmlformats.org/officeDocument/2006/relationships/hyperlink" Target="https://likumi.lv/ta/id/203061" TargetMode="External"/><Relationship Id="rId17" Type="http://schemas.openxmlformats.org/officeDocument/2006/relationships/hyperlink" Target="https://likumi.lv/ta/id/20306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203061" TargetMode="External"/><Relationship Id="rId20" Type="http://schemas.openxmlformats.org/officeDocument/2006/relationships/hyperlink" Target="https://mk.gov.lv/content/ministru-kabineta-diskusiju-dokument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306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203061" TargetMode="External"/><Relationship Id="rId23" Type="http://schemas.openxmlformats.org/officeDocument/2006/relationships/hyperlink" Target="mailto:digna.tarvida@vid.gov.lv" TargetMode="External"/><Relationship Id="rId28" Type="http://schemas.openxmlformats.org/officeDocument/2006/relationships/fontTable" Target="fontTable.xml"/><Relationship Id="rId10" Type="http://schemas.openxmlformats.org/officeDocument/2006/relationships/hyperlink" Target="https://likumi.lv/ta/id/203061" TargetMode="External"/><Relationship Id="rId19" Type="http://schemas.openxmlformats.org/officeDocument/2006/relationships/hyperlink" Target="https://www.fm.gov.lv/lv/uzzina-par-ministru-kabineta-noteikumu-projektu-grozijumi-ministru-kabineta-2008-gada-25-augusta-noteikumos-nr-677-noteikumi-par-iedzivotaju-ienakuma-nodokla-pazinojumiem"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hyperlink" Target="https://likumi.lv/ta/id/203061" TargetMode="External"/><Relationship Id="rId22" Type="http://schemas.openxmlformats.org/officeDocument/2006/relationships/hyperlink" Target="https://likumi.lv/ta/id/20306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5A63-05E0-4E08-817B-329DCBFD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3431</Words>
  <Characters>25149</Characters>
  <Application>Microsoft Office Word</Application>
  <DocSecurity>4</DocSecurity>
  <Lines>209</Lines>
  <Paragraphs>57</Paragraphs>
  <ScaleCrop>false</ScaleCrop>
  <HeadingPairs>
    <vt:vector size="2" baseType="variant">
      <vt:variant>
        <vt:lpstr>Title</vt:lpstr>
      </vt:variant>
      <vt:variant>
        <vt:i4>1</vt:i4>
      </vt:variant>
    </vt:vector>
  </HeadingPairs>
  <TitlesOfParts>
    <vt:vector size="1" baseType="lpstr">
      <vt:lpstr>Ministru kabineta noteikumu projekts „“Noteikumi par paziņojumā par fiziskajai personai izmaksātajām summām iekļaujamo informāciju”</vt:lpstr>
    </vt:vector>
  </TitlesOfParts>
  <Company>Finanšu ministrija</Company>
  <LinksUpToDate>false</LinksUpToDate>
  <CharactersWithSpaces>28523</CharactersWithSpaces>
  <SharedDoc>false</SharedDoc>
  <HLinks>
    <vt:vector size="66" baseType="variant">
      <vt:variant>
        <vt:i4>6357078</vt:i4>
      </vt:variant>
      <vt:variant>
        <vt:i4>30</vt:i4>
      </vt:variant>
      <vt:variant>
        <vt:i4>0</vt:i4>
      </vt:variant>
      <vt:variant>
        <vt:i4>5</vt:i4>
      </vt:variant>
      <vt:variant>
        <vt:lpwstr>mailto:digna.tarvida@vid.gov.lv</vt:lpwstr>
      </vt:variant>
      <vt:variant>
        <vt:lpwstr/>
      </vt:variant>
      <vt:variant>
        <vt:i4>7340153</vt:i4>
      </vt:variant>
      <vt:variant>
        <vt:i4>27</vt:i4>
      </vt:variant>
      <vt:variant>
        <vt:i4>0</vt:i4>
      </vt:variant>
      <vt:variant>
        <vt:i4>5</vt:i4>
      </vt:variant>
      <vt:variant>
        <vt:lpwstr>https://mk.gov.lv/content/ministru-kabineta-diskusiju-dokumenti</vt:lpwstr>
      </vt:variant>
      <vt:variant>
        <vt:lpwstr/>
      </vt:variant>
      <vt:variant>
        <vt:i4>5767232</vt:i4>
      </vt:variant>
      <vt:variant>
        <vt:i4>24</vt:i4>
      </vt:variant>
      <vt:variant>
        <vt:i4>0</vt:i4>
      </vt:variant>
      <vt:variant>
        <vt:i4>5</vt:i4>
      </vt:variant>
      <vt:variant>
        <vt:lpwstr>https://fm.gov.lv/lv/sabiedribas_lidzdaliba/tiesibu_aktu_projekti/nodoklu_politika</vt:lpwstr>
      </vt:variant>
      <vt:variant>
        <vt:lpwstr>project591</vt:lpwstr>
      </vt:variant>
      <vt:variant>
        <vt:i4>131082</vt:i4>
      </vt:variant>
      <vt:variant>
        <vt:i4>21</vt:i4>
      </vt:variant>
      <vt:variant>
        <vt:i4>0</vt:i4>
      </vt:variant>
      <vt:variant>
        <vt:i4>5</vt:i4>
      </vt:variant>
      <vt:variant>
        <vt:lpwstr>https://likumi.lv/ta/id/203061</vt:lpwstr>
      </vt:variant>
      <vt:variant>
        <vt:lpwstr>p3</vt:lpwstr>
      </vt:variant>
      <vt:variant>
        <vt:i4>458772</vt:i4>
      </vt:variant>
      <vt:variant>
        <vt:i4>18</vt:i4>
      </vt:variant>
      <vt:variant>
        <vt:i4>0</vt:i4>
      </vt:variant>
      <vt:variant>
        <vt:i4>5</vt:i4>
      </vt:variant>
      <vt:variant>
        <vt:lpwstr>https://likumi.lv/ta/id/203061</vt:lpwstr>
      </vt:variant>
      <vt:variant>
        <vt:lpwstr>n6</vt:lpwstr>
      </vt:variant>
      <vt:variant>
        <vt:i4>196618</vt:i4>
      </vt:variant>
      <vt:variant>
        <vt:i4>15</vt:i4>
      </vt:variant>
      <vt:variant>
        <vt:i4>0</vt:i4>
      </vt:variant>
      <vt:variant>
        <vt:i4>5</vt:i4>
      </vt:variant>
      <vt:variant>
        <vt:lpwstr>https://likumi.lv/ta/id/203061</vt:lpwstr>
      </vt:variant>
      <vt:variant>
        <vt:lpwstr>p2</vt:lpwstr>
      </vt:variant>
      <vt:variant>
        <vt:i4>458772</vt:i4>
      </vt:variant>
      <vt:variant>
        <vt:i4>12</vt:i4>
      </vt:variant>
      <vt:variant>
        <vt:i4>0</vt:i4>
      </vt:variant>
      <vt:variant>
        <vt:i4>5</vt:i4>
      </vt:variant>
      <vt:variant>
        <vt:lpwstr>https://likumi.lv/ta/id/203061</vt:lpwstr>
      </vt:variant>
      <vt:variant>
        <vt:lpwstr>n6</vt:lpwstr>
      </vt:variant>
      <vt:variant>
        <vt:i4>131082</vt:i4>
      </vt:variant>
      <vt:variant>
        <vt:i4>9</vt:i4>
      </vt:variant>
      <vt:variant>
        <vt:i4>0</vt:i4>
      </vt:variant>
      <vt:variant>
        <vt:i4>5</vt:i4>
      </vt:variant>
      <vt:variant>
        <vt:lpwstr>https://likumi.lv/ta/id/203061</vt:lpwstr>
      </vt:variant>
      <vt:variant>
        <vt:lpwstr>p3</vt:lpwstr>
      </vt:variant>
      <vt:variant>
        <vt:i4>458772</vt:i4>
      </vt:variant>
      <vt:variant>
        <vt:i4>6</vt:i4>
      </vt:variant>
      <vt:variant>
        <vt:i4>0</vt:i4>
      </vt:variant>
      <vt:variant>
        <vt:i4>5</vt:i4>
      </vt:variant>
      <vt:variant>
        <vt:lpwstr>https://likumi.lv/ta/id/203061</vt:lpwstr>
      </vt:variant>
      <vt:variant>
        <vt:lpwstr>n6</vt:lpwstr>
      </vt:variant>
      <vt:variant>
        <vt:i4>196618</vt:i4>
      </vt:variant>
      <vt:variant>
        <vt:i4>3</vt:i4>
      </vt:variant>
      <vt:variant>
        <vt:i4>0</vt:i4>
      </vt:variant>
      <vt:variant>
        <vt:i4>5</vt:i4>
      </vt:variant>
      <vt:variant>
        <vt:lpwstr>https://likumi.lv/ta/id/203061</vt:lpwstr>
      </vt:variant>
      <vt:variant>
        <vt:lpwstr>p2</vt:lpwstr>
      </vt:variant>
      <vt:variant>
        <vt:i4>458772</vt:i4>
      </vt:variant>
      <vt:variant>
        <vt:i4>0</vt:i4>
      </vt:variant>
      <vt:variant>
        <vt:i4>0</vt:i4>
      </vt:variant>
      <vt:variant>
        <vt:i4>5</vt:i4>
      </vt:variant>
      <vt:variant>
        <vt:lpwstr>https://likumi.lv/ta/id/203061</vt:lpwstr>
      </vt:variant>
      <vt:variant>
        <vt:lpwstr>n6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paziņojumā par fiziskajai personai izmaksātajām summām iekļaujamo informāciju”</dc:title>
  <dc:subject>Izziņa par atzinumos sniegtajiem iebildumiem</dc:subject>
  <dc:creator>Digna Tarvida</dc:creator>
  <cp:keywords/>
  <dc:description>tālr.67122286
digna.tarvida@vid.gov.lv</dc:description>
  <cp:lastModifiedBy>Digna Tarvida</cp:lastModifiedBy>
  <cp:revision>2</cp:revision>
  <cp:lastPrinted>2019-09-25T11:54:00Z</cp:lastPrinted>
  <dcterms:created xsi:type="dcterms:W3CDTF">2021-07-15T13:27:00Z</dcterms:created>
  <dcterms:modified xsi:type="dcterms:W3CDTF">2021-07-15T13:27:00Z</dcterms:modified>
</cp:coreProperties>
</file>