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9A53" w14:textId="77777777" w:rsidR="000F32D0" w:rsidRPr="00E43527" w:rsidRDefault="000F32D0" w:rsidP="000F32D0">
      <w:pPr>
        <w:pStyle w:val="naislab"/>
        <w:spacing w:before="0" w:after="0"/>
        <w:jc w:val="left"/>
        <w:rPr>
          <w:color w:val="000000" w:themeColor="text1"/>
        </w:rPr>
      </w:pPr>
    </w:p>
    <w:p w14:paraId="488D2D3B" w14:textId="77777777" w:rsidR="000F32D0" w:rsidRPr="00E43527" w:rsidRDefault="000F32D0" w:rsidP="000F32D0">
      <w:pPr>
        <w:pStyle w:val="naisnod"/>
        <w:spacing w:before="0" w:after="0"/>
        <w:ind w:firstLine="720"/>
        <w:rPr>
          <w:color w:val="000000" w:themeColor="text1"/>
        </w:rPr>
      </w:pPr>
      <w:r w:rsidRPr="00E43527">
        <w:rPr>
          <w:color w:val="000000" w:themeColor="text1"/>
        </w:rPr>
        <w:t>Izziņa par atzinumos sniegtajiem iebildumiem</w:t>
      </w:r>
    </w:p>
    <w:p w14:paraId="6B0D0A6C" w14:textId="77777777" w:rsidR="000F32D0" w:rsidRPr="00E43527" w:rsidRDefault="000F32D0" w:rsidP="000F32D0">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FB164A" w:rsidRPr="00E43527" w14:paraId="686E1F9D" w14:textId="77777777" w:rsidTr="00647C6A">
        <w:trPr>
          <w:jc w:val="center"/>
        </w:trPr>
        <w:tc>
          <w:tcPr>
            <w:tcW w:w="10188" w:type="dxa"/>
            <w:tcBorders>
              <w:bottom w:val="single" w:sz="6" w:space="0" w:color="000000"/>
            </w:tcBorders>
          </w:tcPr>
          <w:p w14:paraId="6E55B0D7" w14:textId="58A4845F" w:rsidR="00EC5DED" w:rsidRPr="00E43527" w:rsidRDefault="000F32D0" w:rsidP="00647C6A">
            <w:pPr>
              <w:ind w:firstLine="720"/>
              <w:jc w:val="center"/>
              <w:rPr>
                <w:b/>
                <w:bCs/>
                <w:color w:val="000000" w:themeColor="text1"/>
              </w:rPr>
            </w:pPr>
            <w:r w:rsidRPr="00E43527">
              <w:rPr>
                <w:b/>
                <w:color w:val="000000" w:themeColor="text1"/>
              </w:rPr>
              <w:t xml:space="preserve">par </w:t>
            </w:r>
            <w:r w:rsidR="00D86E91" w:rsidRPr="00D86E91">
              <w:rPr>
                <w:b/>
                <w:bCs/>
                <w:color w:val="000000" w:themeColor="text1"/>
              </w:rPr>
              <w:t>informatīv</w:t>
            </w:r>
            <w:r w:rsidR="00D86E91">
              <w:rPr>
                <w:b/>
                <w:bCs/>
                <w:color w:val="000000" w:themeColor="text1"/>
              </w:rPr>
              <w:t>ā</w:t>
            </w:r>
            <w:r w:rsidR="00D86E91" w:rsidRPr="00D86E91">
              <w:rPr>
                <w:b/>
                <w:bCs/>
                <w:color w:val="000000" w:themeColor="text1"/>
              </w:rPr>
              <w:t xml:space="preserve"> ziņojum</w:t>
            </w:r>
            <w:r w:rsidR="00D86E91">
              <w:rPr>
                <w:b/>
                <w:bCs/>
                <w:color w:val="000000" w:themeColor="text1"/>
              </w:rPr>
              <w:t>a projektu</w:t>
            </w:r>
            <w:r w:rsidR="00D86E91" w:rsidRPr="00D86E91">
              <w:rPr>
                <w:b/>
                <w:bCs/>
                <w:color w:val="000000" w:themeColor="text1"/>
              </w:rPr>
              <w:t xml:space="preserve"> “Par Sauszemes transportlīdzekļu īpašnieku civiltiesiskās atbildības obligātās apdrošināšanas likuma 14.pantā noteiktā tiesiskā regulējuma </w:t>
            </w:r>
            <w:proofErr w:type="spellStart"/>
            <w:r w:rsidR="00D86E91" w:rsidRPr="00D86E91">
              <w:rPr>
                <w:b/>
                <w:bCs/>
                <w:color w:val="000000" w:themeColor="text1"/>
              </w:rPr>
              <w:t>izvērtējumu</w:t>
            </w:r>
            <w:proofErr w:type="spellEnd"/>
            <w:r w:rsidR="00D86E91" w:rsidRPr="00D86E91">
              <w:rPr>
                <w:b/>
                <w:bCs/>
                <w:color w:val="000000" w:themeColor="text1"/>
              </w:rPr>
              <w:t>”</w:t>
            </w:r>
          </w:p>
        </w:tc>
      </w:tr>
    </w:tbl>
    <w:p w14:paraId="63BFBF72" w14:textId="77777777" w:rsidR="000F32D0" w:rsidRPr="00E43527" w:rsidRDefault="000F32D0" w:rsidP="000F32D0">
      <w:pPr>
        <w:pStyle w:val="naisc"/>
        <w:spacing w:before="0" w:after="0"/>
        <w:ind w:firstLine="1080"/>
        <w:rPr>
          <w:color w:val="000000" w:themeColor="text1"/>
        </w:rPr>
      </w:pPr>
      <w:r w:rsidRPr="00E43527">
        <w:rPr>
          <w:color w:val="000000" w:themeColor="text1"/>
        </w:rPr>
        <w:t>(dokumenta veids un nosaukums)</w:t>
      </w:r>
    </w:p>
    <w:p w14:paraId="4E206A74" w14:textId="77777777" w:rsidR="000F32D0" w:rsidRPr="00E43527" w:rsidRDefault="000F32D0" w:rsidP="000F32D0">
      <w:pPr>
        <w:pStyle w:val="naisf"/>
        <w:spacing w:before="0" w:after="0"/>
        <w:ind w:firstLine="720"/>
        <w:rPr>
          <w:color w:val="000000" w:themeColor="text1"/>
        </w:rPr>
      </w:pPr>
    </w:p>
    <w:p w14:paraId="4CA0CF83" w14:textId="77777777" w:rsidR="000F32D0" w:rsidRPr="00E43527" w:rsidRDefault="000F32D0" w:rsidP="000F32D0">
      <w:pPr>
        <w:pStyle w:val="naisf"/>
        <w:spacing w:before="0" w:after="0"/>
        <w:ind w:firstLine="0"/>
        <w:jc w:val="center"/>
        <w:rPr>
          <w:b/>
          <w:color w:val="000000" w:themeColor="text1"/>
        </w:rPr>
      </w:pPr>
      <w:r w:rsidRPr="00E43527">
        <w:rPr>
          <w:b/>
          <w:color w:val="000000" w:themeColor="text1"/>
        </w:rPr>
        <w:t>I. Jautājumi, par kuriem saskaņošanā vienošanās nav panākta</w:t>
      </w:r>
    </w:p>
    <w:p w14:paraId="5045B998" w14:textId="77777777" w:rsidR="000F32D0" w:rsidRPr="00E43527" w:rsidRDefault="000F32D0" w:rsidP="000F32D0">
      <w:pPr>
        <w:pStyle w:val="naisf"/>
        <w:spacing w:before="0" w:after="0"/>
        <w:ind w:firstLine="720"/>
        <w:rPr>
          <w:color w:val="000000" w:themeColor="text1"/>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3"/>
        <w:gridCol w:w="3086"/>
        <w:gridCol w:w="3118"/>
        <w:gridCol w:w="26"/>
        <w:gridCol w:w="2951"/>
        <w:gridCol w:w="26"/>
        <w:gridCol w:w="2410"/>
        <w:gridCol w:w="23"/>
        <w:gridCol w:w="1961"/>
        <w:gridCol w:w="426"/>
        <w:gridCol w:w="257"/>
      </w:tblGrid>
      <w:tr w:rsidR="00FB164A" w:rsidRPr="00E43527" w14:paraId="759B141E" w14:textId="77777777" w:rsidTr="00B314C1">
        <w:trPr>
          <w:gridAfter w:val="2"/>
          <w:wAfter w:w="683" w:type="dxa"/>
        </w:trPr>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1DEDD05E" w14:textId="77777777" w:rsidR="000F32D0" w:rsidRPr="00E43527" w:rsidRDefault="000F32D0" w:rsidP="00647C6A">
            <w:pPr>
              <w:pStyle w:val="naisc"/>
              <w:spacing w:before="0" w:after="0"/>
              <w:rPr>
                <w:color w:val="000000" w:themeColor="text1"/>
              </w:rPr>
            </w:pPr>
            <w:r w:rsidRPr="00E43527">
              <w:rPr>
                <w:color w:val="000000" w:themeColor="text1"/>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75F58F3" w14:textId="77777777" w:rsidR="000F32D0" w:rsidRPr="00E43527" w:rsidRDefault="000F32D0" w:rsidP="00647C6A">
            <w:pPr>
              <w:pStyle w:val="naisc"/>
              <w:spacing w:before="0" w:after="0"/>
              <w:ind w:firstLine="12"/>
              <w:rPr>
                <w:color w:val="000000" w:themeColor="text1"/>
              </w:rPr>
            </w:pPr>
            <w:r w:rsidRPr="00E43527">
              <w:rPr>
                <w:color w:val="000000" w:themeColor="text1"/>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FE441F6" w14:textId="77777777" w:rsidR="000F32D0" w:rsidRPr="00E43527" w:rsidRDefault="000F32D0" w:rsidP="00647C6A">
            <w:pPr>
              <w:pStyle w:val="naisc"/>
              <w:spacing w:before="0" w:after="0"/>
              <w:ind w:right="3"/>
              <w:rPr>
                <w:color w:val="000000" w:themeColor="text1"/>
              </w:rPr>
            </w:pPr>
            <w:r w:rsidRPr="00E43527">
              <w:rPr>
                <w:color w:val="000000" w:themeColor="text1"/>
              </w:rPr>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62C3527B" w14:textId="77777777" w:rsidR="000F32D0" w:rsidRPr="00E43527" w:rsidRDefault="000F32D0" w:rsidP="00647C6A">
            <w:pPr>
              <w:pStyle w:val="naisc"/>
              <w:spacing w:before="0" w:after="0"/>
              <w:ind w:firstLine="21"/>
              <w:rPr>
                <w:color w:val="000000" w:themeColor="text1"/>
              </w:rPr>
            </w:pPr>
            <w:r w:rsidRPr="00E43527">
              <w:rPr>
                <w:color w:val="000000" w:themeColor="text1"/>
              </w:rPr>
              <w:t>Atbildīgās ministrijas pamatojums iebilduma noraidījumam</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7A4029E6" w14:textId="77777777" w:rsidR="000F32D0" w:rsidRPr="00E43527" w:rsidRDefault="000F32D0" w:rsidP="00647C6A">
            <w:pPr>
              <w:jc w:val="center"/>
              <w:rPr>
                <w:color w:val="000000" w:themeColor="text1"/>
              </w:rPr>
            </w:pPr>
            <w:r w:rsidRPr="00E43527">
              <w:rPr>
                <w:color w:val="000000" w:themeColor="text1"/>
              </w:rPr>
              <w:t>Atzinuma sniedzēja uzturētais iebildums, ja tas atšķiras no atzinumā norādītā iebilduma pamatojuma</w:t>
            </w:r>
          </w:p>
        </w:tc>
        <w:tc>
          <w:tcPr>
            <w:tcW w:w="1961" w:type="dxa"/>
            <w:tcBorders>
              <w:top w:val="single" w:sz="4" w:space="0" w:color="auto"/>
              <w:left w:val="single" w:sz="4" w:space="0" w:color="auto"/>
              <w:bottom w:val="single" w:sz="4" w:space="0" w:color="auto"/>
            </w:tcBorders>
            <w:vAlign w:val="center"/>
          </w:tcPr>
          <w:p w14:paraId="0A944801" w14:textId="77777777" w:rsidR="000F32D0" w:rsidRPr="00E43527" w:rsidRDefault="000F32D0" w:rsidP="00647C6A">
            <w:pPr>
              <w:jc w:val="center"/>
              <w:rPr>
                <w:color w:val="000000" w:themeColor="text1"/>
              </w:rPr>
            </w:pPr>
            <w:r w:rsidRPr="00E43527">
              <w:rPr>
                <w:color w:val="000000" w:themeColor="text1"/>
              </w:rPr>
              <w:t>Projekta attiecīgā punkta (panta) galīgā redakcija</w:t>
            </w:r>
          </w:p>
        </w:tc>
      </w:tr>
      <w:tr w:rsidR="00FB164A" w:rsidRPr="00E43527" w14:paraId="39BF4DEE" w14:textId="77777777" w:rsidTr="00B314C1">
        <w:trPr>
          <w:gridAfter w:val="2"/>
          <w:wAfter w:w="683" w:type="dxa"/>
        </w:trPr>
        <w:tc>
          <w:tcPr>
            <w:tcW w:w="708" w:type="dxa"/>
            <w:gridSpan w:val="2"/>
            <w:tcBorders>
              <w:top w:val="single" w:sz="6" w:space="0" w:color="000000"/>
              <w:left w:val="single" w:sz="6" w:space="0" w:color="000000"/>
              <w:bottom w:val="single" w:sz="6" w:space="0" w:color="000000"/>
              <w:right w:val="single" w:sz="6" w:space="0" w:color="000000"/>
            </w:tcBorders>
          </w:tcPr>
          <w:p w14:paraId="595FC738" w14:textId="77777777" w:rsidR="000F32D0" w:rsidRPr="00E43527" w:rsidRDefault="000F32D0" w:rsidP="00647C6A">
            <w:pPr>
              <w:pStyle w:val="naisc"/>
              <w:spacing w:before="0" w:after="0"/>
              <w:rPr>
                <w:color w:val="000000" w:themeColor="text1"/>
              </w:rPr>
            </w:pPr>
            <w:r w:rsidRPr="00E43527">
              <w:rPr>
                <w:color w:val="000000" w:themeColor="text1"/>
              </w:rPr>
              <w:t>1</w:t>
            </w:r>
          </w:p>
        </w:tc>
        <w:tc>
          <w:tcPr>
            <w:tcW w:w="3086" w:type="dxa"/>
            <w:tcBorders>
              <w:top w:val="single" w:sz="6" w:space="0" w:color="000000"/>
              <w:left w:val="single" w:sz="6" w:space="0" w:color="000000"/>
              <w:bottom w:val="single" w:sz="6" w:space="0" w:color="000000"/>
              <w:right w:val="single" w:sz="6" w:space="0" w:color="000000"/>
            </w:tcBorders>
          </w:tcPr>
          <w:p w14:paraId="4A6AA727" w14:textId="77777777" w:rsidR="000F32D0" w:rsidRPr="00E43527" w:rsidRDefault="000F32D0" w:rsidP="00647C6A">
            <w:pPr>
              <w:pStyle w:val="naisc"/>
              <w:spacing w:before="0" w:after="0"/>
              <w:ind w:firstLine="720"/>
              <w:rPr>
                <w:color w:val="000000" w:themeColor="text1"/>
              </w:rPr>
            </w:pPr>
            <w:r w:rsidRPr="00E43527">
              <w:rPr>
                <w:color w:val="000000" w:themeColor="text1"/>
              </w:rPr>
              <w:t>2</w:t>
            </w:r>
          </w:p>
        </w:tc>
        <w:tc>
          <w:tcPr>
            <w:tcW w:w="3118" w:type="dxa"/>
            <w:tcBorders>
              <w:top w:val="single" w:sz="6" w:space="0" w:color="000000"/>
              <w:left w:val="single" w:sz="6" w:space="0" w:color="000000"/>
              <w:bottom w:val="single" w:sz="6" w:space="0" w:color="000000"/>
              <w:right w:val="single" w:sz="6" w:space="0" w:color="000000"/>
            </w:tcBorders>
          </w:tcPr>
          <w:p w14:paraId="789B6E03" w14:textId="77777777" w:rsidR="000F32D0" w:rsidRPr="00E43527" w:rsidRDefault="000F32D0" w:rsidP="00647C6A">
            <w:pPr>
              <w:pStyle w:val="naisc"/>
              <w:spacing w:before="0" w:after="0"/>
              <w:ind w:firstLine="720"/>
              <w:rPr>
                <w:color w:val="000000" w:themeColor="text1"/>
              </w:rPr>
            </w:pPr>
            <w:r w:rsidRPr="00E43527">
              <w:rPr>
                <w:color w:val="000000" w:themeColor="text1"/>
              </w:rPr>
              <w:t>3</w:t>
            </w:r>
          </w:p>
        </w:tc>
        <w:tc>
          <w:tcPr>
            <w:tcW w:w="2977" w:type="dxa"/>
            <w:gridSpan w:val="2"/>
            <w:tcBorders>
              <w:top w:val="single" w:sz="6" w:space="0" w:color="000000"/>
              <w:left w:val="single" w:sz="6" w:space="0" w:color="000000"/>
              <w:bottom w:val="single" w:sz="6" w:space="0" w:color="000000"/>
              <w:right w:val="single" w:sz="6" w:space="0" w:color="000000"/>
            </w:tcBorders>
          </w:tcPr>
          <w:p w14:paraId="7DD86A0A" w14:textId="77777777" w:rsidR="000F32D0" w:rsidRPr="00E43527" w:rsidRDefault="000F32D0" w:rsidP="00647C6A">
            <w:pPr>
              <w:pStyle w:val="naisc"/>
              <w:spacing w:before="0" w:after="0"/>
              <w:ind w:firstLine="720"/>
              <w:rPr>
                <w:color w:val="000000" w:themeColor="text1"/>
              </w:rPr>
            </w:pPr>
            <w:r w:rsidRPr="00E43527">
              <w:rPr>
                <w:color w:val="000000" w:themeColor="text1"/>
              </w:rPr>
              <w:t>4</w:t>
            </w:r>
          </w:p>
        </w:tc>
        <w:tc>
          <w:tcPr>
            <w:tcW w:w="2459" w:type="dxa"/>
            <w:gridSpan w:val="3"/>
            <w:tcBorders>
              <w:top w:val="single" w:sz="4" w:space="0" w:color="auto"/>
              <w:left w:val="single" w:sz="4" w:space="0" w:color="auto"/>
              <w:bottom w:val="single" w:sz="4" w:space="0" w:color="auto"/>
              <w:right w:val="single" w:sz="4" w:space="0" w:color="auto"/>
            </w:tcBorders>
          </w:tcPr>
          <w:p w14:paraId="7268F2B2" w14:textId="77777777" w:rsidR="000F32D0" w:rsidRPr="00E43527" w:rsidRDefault="000F32D0" w:rsidP="00647C6A">
            <w:pPr>
              <w:jc w:val="center"/>
              <w:rPr>
                <w:color w:val="000000" w:themeColor="text1"/>
              </w:rPr>
            </w:pPr>
            <w:r w:rsidRPr="00E43527">
              <w:rPr>
                <w:color w:val="000000" w:themeColor="text1"/>
              </w:rPr>
              <w:t>5</w:t>
            </w:r>
          </w:p>
        </w:tc>
        <w:tc>
          <w:tcPr>
            <w:tcW w:w="1961" w:type="dxa"/>
            <w:tcBorders>
              <w:top w:val="single" w:sz="4" w:space="0" w:color="auto"/>
              <w:left w:val="single" w:sz="4" w:space="0" w:color="auto"/>
              <w:bottom w:val="single" w:sz="4" w:space="0" w:color="auto"/>
            </w:tcBorders>
          </w:tcPr>
          <w:p w14:paraId="3F339A9D" w14:textId="77777777" w:rsidR="000F32D0" w:rsidRPr="00E43527" w:rsidRDefault="000F32D0" w:rsidP="00647C6A">
            <w:pPr>
              <w:jc w:val="center"/>
              <w:rPr>
                <w:color w:val="000000" w:themeColor="text1"/>
              </w:rPr>
            </w:pPr>
            <w:r w:rsidRPr="00E43527">
              <w:rPr>
                <w:color w:val="000000" w:themeColor="text1"/>
              </w:rPr>
              <w:t>6</w:t>
            </w:r>
          </w:p>
        </w:tc>
      </w:tr>
      <w:tr w:rsidR="000C04F1" w:rsidRPr="00E43527" w14:paraId="4EE44A8C" w14:textId="77777777" w:rsidTr="00B314C1">
        <w:trPr>
          <w:gridAfter w:val="2"/>
          <w:wAfter w:w="683" w:type="dxa"/>
        </w:trPr>
        <w:tc>
          <w:tcPr>
            <w:tcW w:w="14309" w:type="dxa"/>
            <w:gridSpan w:val="10"/>
            <w:tcBorders>
              <w:top w:val="single" w:sz="6" w:space="0" w:color="000000"/>
              <w:left w:val="single" w:sz="6" w:space="0" w:color="000000"/>
              <w:bottom w:val="single" w:sz="6" w:space="0" w:color="000000"/>
            </w:tcBorders>
            <w:shd w:val="clear" w:color="auto" w:fill="E7E6E6" w:themeFill="background2"/>
          </w:tcPr>
          <w:p w14:paraId="49661428" w14:textId="77777777" w:rsidR="000C04F1" w:rsidRPr="000C04F1" w:rsidRDefault="000C04F1" w:rsidP="000C04F1">
            <w:pPr>
              <w:pStyle w:val="naisc"/>
              <w:jc w:val="left"/>
              <w:rPr>
                <w:color w:val="000000" w:themeColor="text1"/>
              </w:rPr>
            </w:pPr>
          </w:p>
          <w:p w14:paraId="6C202DAD" w14:textId="77777777" w:rsidR="000C04F1" w:rsidRPr="000C04F1" w:rsidRDefault="000C04F1" w:rsidP="000C04F1">
            <w:pPr>
              <w:pStyle w:val="naisc"/>
              <w:jc w:val="left"/>
              <w:rPr>
                <w:color w:val="000000" w:themeColor="text1"/>
              </w:rPr>
            </w:pPr>
            <w:r w:rsidRPr="000C04F1">
              <w:rPr>
                <w:color w:val="000000" w:themeColor="text1"/>
              </w:rPr>
              <w:t>Labklājības ministrija</w:t>
            </w:r>
          </w:p>
          <w:p w14:paraId="05C0C222" w14:textId="77777777" w:rsidR="000C04F1" w:rsidRPr="00E43527" w:rsidRDefault="000C04F1" w:rsidP="000C04F1">
            <w:pPr>
              <w:rPr>
                <w:color w:val="000000" w:themeColor="text1"/>
              </w:rPr>
            </w:pPr>
          </w:p>
        </w:tc>
      </w:tr>
      <w:tr w:rsidR="000C04F1" w:rsidRPr="00E43527" w14:paraId="7CBD2574" w14:textId="074DD1F7" w:rsidTr="00B314C1">
        <w:trPr>
          <w:gridAfter w:val="2"/>
          <w:wAfter w:w="683" w:type="dxa"/>
        </w:trPr>
        <w:tc>
          <w:tcPr>
            <w:tcW w:w="675" w:type="dxa"/>
            <w:tcBorders>
              <w:top w:val="single" w:sz="4" w:space="0" w:color="auto"/>
              <w:left w:val="single" w:sz="4" w:space="0" w:color="auto"/>
              <w:bottom w:val="single" w:sz="4" w:space="0" w:color="auto"/>
              <w:right w:val="single" w:sz="4" w:space="0" w:color="auto"/>
            </w:tcBorders>
          </w:tcPr>
          <w:p w14:paraId="22F4053A" w14:textId="77777777" w:rsidR="000C04F1" w:rsidRPr="00E43527" w:rsidRDefault="000C04F1" w:rsidP="00596EE9">
            <w:pPr>
              <w:pStyle w:val="naisc"/>
              <w:spacing w:before="0" w:after="0"/>
              <w:jc w:val="left"/>
              <w:rPr>
                <w:color w:val="000000" w:themeColor="text1"/>
              </w:rPr>
            </w:pPr>
            <w:r w:rsidRPr="00E43527">
              <w:rPr>
                <w:color w:val="000000" w:themeColor="text1"/>
              </w:rPr>
              <w:t>3.</w:t>
            </w:r>
          </w:p>
        </w:tc>
        <w:tc>
          <w:tcPr>
            <w:tcW w:w="3119" w:type="dxa"/>
            <w:gridSpan w:val="2"/>
            <w:tcBorders>
              <w:top w:val="single" w:sz="4" w:space="0" w:color="auto"/>
              <w:left w:val="single" w:sz="4" w:space="0" w:color="auto"/>
              <w:bottom w:val="single" w:sz="4" w:space="0" w:color="auto"/>
              <w:right w:val="single" w:sz="4" w:space="0" w:color="auto"/>
            </w:tcBorders>
          </w:tcPr>
          <w:p w14:paraId="06795518" w14:textId="77777777" w:rsidR="000C04F1" w:rsidRPr="00E43527" w:rsidRDefault="000C04F1" w:rsidP="00596EE9">
            <w:pPr>
              <w:jc w:val="both"/>
              <w:rPr>
                <w:color w:val="000000" w:themeColor="text1"/>
              </w:rPr>
            </w:pPr>
            <w:r>
              <w:rPr>
                <w:color w:val="000000" w:themeColor="text1"/>
              </w:rPr>
              <w:t>I</w:t>
            </w:r>
            <w:r w:rsidRPr="004920BF">
              <w:rPr>
                <w:color w:val="000000" w:themeColor="text1"/>
              </w:rPr>
              <w:t xml:space="preserve">nformatīvā </w:t>
            </w:r>
            <w:r>
              <w:rPr>
                <w:color w:val="000000" w:themeColor="text1"/>
              </w:rPr>
              <w:t>z</w:t>
            </w:r>
            <w:r w:rsidRPr="002C1FCC">
              <w:rPr>
                <w:color w:val="000000" w:themeColor="text1"/>
              </w:rPr>
              <w:t>iņojuma 4.punkt</w:t>
            </w:r>
            <w:r>
              <w:rPr>
                <w:color w:val="000000" w:themeColor="text1"/>
              </w:rPr>
              <w:t>s</w:t>
            </w:r>
          </w:p>
        </w:tc>
        <w:tc>
          <w:tcPr>
            <w:tcW w:w="3144" w:type="dxa"/>
            <w:gridSpan w:val="2"/>
            <w:tcBorders>
              <w:top w:val="single" w:sz="4" w:space="0" w:color="auto"/>
              <w:left w:val="single" w:sz="4" w:space="0" w:color="auto"/>
              <w:bottom w:val="single" w:sz="4" w:space="0" w:color="auto"/>
              <w:right w:val="single" w:sz="4" w:space="0" w:color="auto"/>
            </w:tcBorders>
          </w:tcPr>
          <w:p w14:paraId="2EB3CDAC" w14:textId="77777777" w:rsidR="000C04F1" w:rsidRDefault="000C04F1" w:rsidP="00596EE9">
            <w:pPr>
              <w:pStyle w:val="NormalWeb"/>
              <w:ind w:right="13" w:firstLine="720"/>
              <w:jc w:val="both"/>
              <w:rPr>
                <w:color w:val="000000" w:themeColor="text1"/>
              </w:rPr>
            </w:pPr>
            <w:r w:rsidRPr="002C1FCC">
              <w:rPr>
                <w:color w:val="000000" w:themeColor="text1"/>
              </w:rPr>
              <w:t xml:space="preserve">Ziņojuma 4.punktā Garantijas fonda darbība un finansēšanas kārtība sniegtā informācija par apdrošinātāju Garantijas fondā veicamajām iemaksām no apdrošināšanas polisēm ir papildināma ar </w:t>
            </w:r>
            <w:proofErr w:type="spellStart"/>
            <w:r w:rsidRPr="002C1FCC">
              <w:rPr>
                <w:color w:val="000000" w:themeColor="text1"/>
              </w:rPr>
              <w:t>izvērtējumu</w:t>
            </w:r>
            <w:proofErr w:type="spellEnd"/>
            <w:r w:rsidRPr="002C1FCC">
              <w:rPr>
                <w:color w:val="000000" w:themeColor="text1"/>
              </w:rPr>
              <w:t xml:space="preserve"> par atteikšanos no Ministru kabineta 2005.gada 22.marta noteikumu Nr. 195 </w:t>
            </w:r>
            <w:r w:rsidRPr="002C1FCC">
              <w:rPr>
                <w:color w:val="000000" w:themeColor="text1"/>
              </w:rPr>
              <w:lastRenderedPageBreak/>
              <w:t xml:space="preserve">“Sauszemes transportlīdzekļu īpašnieku civiltiesiskās atbildības obligātās apdrošināšanas garantijas fonda izveidošanas, uzkrāšanas un administrēšanas kārtība” (turpmāk – MK noteikumi Nr.195), sākotnējās redakcijas piemērošanas, proti, MK noteikumu Nr.195 pielikuma 2.punkta redakcija, kura bija spēkā no šo noteikumu spēkā stāšanās līdz 2008.gada 1.aprīlim, paredzēja, ka apdrošinātājiem par OCTA polisi Garantijas fondam veicamo atskaitījumu aprēķina formulā tiek ņemts vērā arī katru gadu noteiktais patēriņa cenu indekss, kas Latvijā tiek lietots kā galvenais inflācijas rādītājs, un no Garantijas fonda izmaksāto atlīdzību apmēra izmaiņas. Tādējādi regulējums noteica apdrošinātāju Garantijas fondā veicamo iemaksu mainīgumu atbilstoši tirgū pastāvošajām cenām. Ar MK noteikumu Nr.195 </w:t>
            </w:r>
            <w:r w:rsidRPr="002C1FCC">
              <w:rPr>
                <w:color w:val="000000" w:themeColor="text1"/>
              </w:rPr>
              <w:lastRenderedPageBreak/>
              <w:t>grozījumiem, kuri stājās spēkā 2008.gada 2.aprīlī, tika svītrots pielikuma 2.punkts, nosakot, ka apdrošinātājiem Garantijas fondā veicamo atskaitījumu apmērs par OCTA līguma prēmiju ir atkarīgs tikai no transportlīdzekļa veida un līguma termiņa. Ar pēdējiem grozījumiem MK noteikumos Nr.195, kuri stājās spēkā 2020.gada 1.aprīlī, tiek paredzēts, ka Latvijas Transportlīdzekļu apdrošinātāju birojam reizi gadā jāpārskata ikmēneša atskaitījumu apmērs, piemērojot Centrālās statistikas pārvaldes oficiāli noteikto iepriekšējā gada patēriņa cenu indeksu. Tāpat Labklājības ministrija nevar piekrist, ka Garantijas fondā veicamās iemaksas apmēra noteikšana, ņemot vērā patēriņa cenu indeksu, ir jauna papildu kārtība apdrošinātājiem.</w:t>
            </w:r>
          </w:p>
          <w:p w14:paraId="47448CD9" w14:textId="37B17A76" w:rsidR="003B2904" w:rsidRPr="003B2904" w:rsidRDefault="003B2904" w:rsidP="00596EE9">
            <w:pPr>
              <w:pStyle w:val="NormalWeb"/>
              <w:ind w:right="13" w:firstLine="720"/>
              <w:jc w:val="both"/>
              <w:rPr>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tcPr>
          <w:p w14:paraId="2BDC4829" w14:textId="77777777" w:rsidR="000C04F1" w:rsidRPr="00BF1C91" w:rsidRDefault="000C04F1" w:rsidP="00596EE9">
            <w:pPr>
              <w:pStyle w:val="ListParagraph"/>
              <w:spacing w:after="0" w:line="240" w:lineRule="auto"/>
              <w:ind w:left="0"/>
              <w:jc w:val="both"/>
              <w:rPr>
                <w:rFonts w:ascii="Times New Roman" w:hAnsi="Times New Roman"/>
                <w:color w:val="000000" w:themeColor="text1"/>
                <w:sz w:val="24"/>
                <w:szCs w:val="24"/>
              </w:rPr>
            </w:pPr>
            <w:r w:rsidRPr="00BF1C91">
              <w:rPr>
                <w:rFonts w:ascii="Times New Roman" w:hAnsi="Times New Roman"/>
                <w:b/>
                <w:bCs/>
                <w:color w:val="000000" w:themeColor="text1"/>
                <w:sz w:val="24"/>
                <w:szCs w:val="24"/>
              </w:rPr>
              <w:lastRenderedPageBreak/>
              <w:t>Nav ņemts vērā</w:t>
            </w:r>
            <w:r w:rsidRPr="00BF1C91">
              <w:rPr>
                <w:rFonts w:ascii="Times New Roman" w:hAnsi="Times New Roman"/>
                <w:color w:val="000000" w:themeColor="text1"/>
                <w:sz w:val="24"/>
                <w:szCs w:val="24"/>
              </w:rPr>
              <w:t>.</w:t>
            </w:r>
          </w:p>
          <w:p w14:paraId="3CC912E1" w14:textId="77777777" w:rsidR="000C04F1" w:rsidRPr="00E43527" w:rsidRDefault="000C04F1" w:rsidP="00596EE9">
            <w:pPr>
              <w:pStyle w:val="ListParagraph"/>
              <w:spacing w:after="0" w:line="240" w:lineRule="auto"/>
              <w:ind w:left="0"/>
              <w:jc w:val="both"/>
              <w:rPr>
                <w:color w:val="000000" w:themeColor="text1"/>
              </w:rPr>
            </w:pPr>
            <w:r w:rsidRPr="00BF1C91">
              <w:rPr>
                <w:rFonts w:ascii="Times New Roman" w:hAnsi="Times New Roman"/>
                <w:color w:val="000000" w:themeColor="text1"/>
                <w:sz w:val="24"/>
                <w:szCs w:val="24"/>
              </w:rPr>
              <w:t>Patēriņa cenu indeksa piemērošanai Garantijas fondā veicamajām iemaksām nav izšķiroša ietekme jautājumā par izmaksu pieaugumu no Garantijas fonda saistībā ar prēmiju samazinājumu piemērošanu.</w:t>
            </w:r>
          </w:p>
        </w:tc>
        <w:tc>
          <w:tcPr>
            <w:tcW w:w="2410" w:type="dxa"/>
            <w:tcBorders>
              <w:top w:val="single" w:sz="4" w:space="0" w:color="auto"/>
              <w:left w:val="single" w:sz="4" w:space="0" w:color="auto"/>
              <w:bottom w:val="single" w:sz="4" w:space="0" w:color="auto"/>
            </w:tcBorders>
          </w:tcPr>
          <w:p w14:paraId="08E60E3E" w14:textId="77777777" w:rsidR="000C04F1" w:rsidRPr="00E43527" w:rsidRDefault="000C04F1" w:rsidP="00596EE9">
            <w:pPr>
              <w:jc w:val="both"/>
              <w:rPr>
                <w:color w:val="000000" w:themeColor="text1"/>
              </w:rPr>
            </w:pPr>
          </w:p>
        </w:tc>
        <w:tc>
          <w:tcPr>
            <w:tcW w:w="1984" w:type="dxa"/>
            <w:gridSpan w:val="2"/>
            <w:tcBorders>
              <w:top w:val="single" w:sz="4" w:space="0" w:color="auto"/>
              <w:left w:val="single" w:sz="4" w:space="0" w:color="auto"/>
              <w:bottom w:val="single" w:sz="4" w:space="0" w:color="auto"/>
            </w:tcBorders>
          </w:tcPr>
          <w:p w14:paraId="4F7CAD59" w14:textId="19C63798" w:rsidR="000C04F1" w:rsidRPr="00E43527" w:rsidRDefault="000C04F1" w:rsidP="00596EE9">
            <w:pPr>
              <w:jc w:val="both"/>
              <w:rPr>
                <w:color w:val="000000" w:themeColor="text1"/>
              </w:rPr>
            </w:pPr>
          </w:p>
        </w:tc>
      </w:tr>
      <w:tr w:rsidR="00B314C1" w:rsidRPr="00E43527" w14:paraId="3C530F7D" w14:textId="77777777" w:rsidTr="00B314C1">
        <w:tc>
          <w:tcPr>
            <w:tcW w:w="14992" w:type="dxa"/>
            <w:gridSpan w:val="12"/>
            <w:tcBorders>
              <w:top w:val="single" w:sz="4" w:space="0" w:color="auto"/>
              <w:left w:val="single" w:sz="4" w:space="0" w:color="auto"/>
              <w:bottom w:val="single" w:sz="4" w:space="0" w:color="auto"/>
            </w:tcBorders>
            <w:shd w:val="clear" w:color="auto" w:fill="E7E6E6" w:themeFill="background2"/>
          </w:tcPr>
          <w:p w14:paraId="33D019CE" w14:textId="77777777" w:rsidR="00B314C1" w:rsidRPr="00E43527" w:rsidRDefault="00B314C1" w:rsidP="00596EE9">
            <w:pPr>
              <w:jc w:val="both"/>
              <w:rPr>
                <w:color w:val="000000" w:themeColor="text1"/>
              </w:rPr>
            </w:pPr>
          </w:p>
          <w:p w14:paraId="517AD29F" w14:textId="77777777" w:rsidR="00B314C1" w:rsidRPr="00E43527" w:rsidRDefault="00B314C1" w:rsidP="00596EE9">
            <w:pPr>
              <w:jc w:val="both"/>
              <w:rPr>
                <w:b/>
                <w:bCs/>
                <w:color w:val="000000" w:themeColor="text1"/>
              </w:rPr>
            </w:pPr>
            <w:r w:rsidRPr="00E43527">
              <w:rPr>
                <w:b/>
                <w:bCs/>
                <w:color w:val="000000" w:themeColor="text1"/>
              </w:rPr>
              <w:t>Biedrība “Latvijas Transportlīdzekļu apdrošinātāju birojs”</w:t>
            </w:r>
            <w:r>
              <w:rPr>
                <w:b/>
                <w:bCs/>
                <w:color w:val="000000" w:themeColor="text1"/>
              </w:rPr>
              <w:t xml:space="preserve"> (turpmāk - LTAB)</w:t>
            </w:r>
          </w:p>
          <w:p w14:paraId="6FEEEEFB" w14:textId="77777777" w:rsidR="00B314C1" w:rsidRPr="00E43527" w:rsidRDefault="00B314C1" w:rsidP="00596EE9">
            <w:pPr>
              <w:jc w:val="both"/>
              <w:rPr>
                <w:b/>
                <w:bCs/>
                <w:color w:val="000000" w:themeColor="text1"/>
              </w:rPr>
            </w:pPr>
          </w:p>
        </w:tc>
      </w:tr>
      <w:tr w:rsidR="003B2904" w:rsidRPr="00E43527" w14:paraId="34E55B05" w14:textId="14FEE0DA" w:rsidTr="00DD45F5">
        <w:trPr>
          <w:gridAfter w:val="1"/>
          <w:wAfter w:w="257" w:type="dxa"/>
        </w:trPr>
        <w:tc>
          <w:tcPr>
            <w:tcW w:w="675" w:type="dxa"/>
            <w:tcBorders>
              <w:top w:val="single" w:sz="4" w:space="0" w:color="auto"/>
              <w:left w:val="single" w:sz="4" w:space="0" w:color="auto"/>
              <w:bottom w:val="single" w:sz="4" w:space="0" w:color="auto"/>
              <w:right w:val="single" w:sz="4" w:space="0" w:color="auto"/>
            </w:tcBorders>
          </w:tcPr>
          <w:p w14:paraId="1CD5A7CE" w14:textId="77777777" w:rsidR="003B2904" w:rsidRPr="00E43527" w:rsidRDefault="003B2904" w:rsidP="00596EE9">
            <w:pPr>
              <w:pStyle w:val="naisc"/>
              <w:spacing w:before="0" w:after="0"/>
              <w:jc w:val="left"/>
              <w:rPr>
                <w:color w:val="000000" w:themeColor="text1"/>
              </w:rPr>
            </w:pPr>
            <w:r w:rsidRPr="00E43527">
              <w:rPr>
                <w:color w:val="000000" w:themeColor="text1"/>
              </w:rPr>
              <w:t>4.</w:t>
            </w:r>
          </w:p>
        </w:tc>
        <w:tc>
          <w:tcPr>
            <w:tcW w:w="3119" w:type="dxa"/>
            <w:gridSpan w:val="2"/>
            <w:tcBorders>
              <w:top w:val="single" w:sz="4" w:space="0" w:color="auto"/>
              <w:left w:val="single" w:sz="4" w:space="0" w:color="auto"/>
              <w:bottom w:val="single" w:sz="4" w:space="0" w:color="auto"/>
              <w:right w:val="single" w:sz="4" w:space="0" w:color="auto"/>
            </w:tcBorders>
          </w:tcPr>
          <w:p w14:paraId="4B933E10" w14:textId="77777777" w:rsidR="003B2904" w:rsidRPr="00E43527" w:rsidRDefault="003B2904" w:rsidP="00596EE9">
            <w:pPr>
              <w:jc w:val="both"/>
              <w:rPr>
                <w:color w:val="000000" w:themeColor="text1"/>
              </w:rPr>
            </w:pPr>
            <w:r>
              <w:rPr>
                <w:color w:val="000000" w:themeColor="text1"/>
              </w:rPr>
              <w:t>I</w:t>
            </w:r>
            <w:r w:rsidRPr="004920BF">
              <w:rPr>
                <w:color w:val="000000" w:themeColor="text1"/>
              </w:rPr>
              <w:t>nformatīvā ziņojuma 11. lapa</w:t>
            </w:r>
          </w:p>
        </w:tc>
        <w:tc>
          <w:tcPr>
            <w:tcW w:w="3144" w:type="dxa"/>
            <w:gridSpan w:val="2"/>
            <w:tcBorders>
              <w:top w:val="single" w:sz="4" w:space="0" w:color="auto"/>
              <w:left w:val="single" w:sz="4" w:space="0" w:color="auto"/>
              <w:bottom w:val="single" w:sz="4" w:space="0" w:color="auto"/>
              <w:right w:val="single" w:sz="4" w:space="0" w:color="auto"/>
            </w:tcBorders>
          </w:tcPr>
          <w:p w14:paraId="6AC0B670" w14:textId="77777777" w:rsidR="003B2904" w:rsidRPr="004920BF" w:rsidRDefault="003B2904" w:rsidP="00596EE9">
            <w:pPr>
              <w:pStyle w:val="NormalWeb"/>
              <w:ind w:right="13" w:firstLine="720"/>
              <w:jc w:val="both"/>
              <w:rPr>
                <w:color w:val="000000" w:themeColor="text1"/>
              </w:rPr>
            </w:pPr>
            <w:r w:rsidRPr="004920BF">
              <w:rPr>
                <w:color w:val="000000" w:themeColor="text1"/>
              </w:rPr>
              <w:t xml:space="preserve">LTAB noteikti nepiekrīt, informatīvajā ziņojumā izdarītajam secinājumam (informatīvā ziņojuma 11. lapa), ka ņemot vērā 2021.gada  (10.janvārī un 1.jūlijā) spēkā stājušās izmaiņas OCTA likuma 14.panta regulējumā, kas vienlaikus gan nosaka ierobežojumus, gan paplašina apdrošināšanas prēmijas samazinājuma saņēmēju loku, pašreizējā brīdī var sniegt tikai </w:t>
            </w:r>
            <w:proofErr w:type="spellStart"/>
            <w:r w:rsidRPr="004920BF">
              <w:rPr>
                <w:color w:val="000000" w:themeColor="text1"/>
              </w:rPr>
              <w:t>pirmsšķietamu</w:t>
            </w:r>
            <w:proofErr w:type="spellEnd"/>
            <w:r w:rsidRPr="004920BF">
              <w:rPr>
                <w:color w:val="000000" w:themeColor="text1"/>
              </w:rPr>
              <w:t xml:space="preserve"> šo grozījumu ietekmes novērtējumu, līdz ar to apdrošināšanas prēmijas samazinājuma pārskatīšana pašreizējā brīdī ir pāragra, jo būtu lietderīgi izvērtēt nesen spēkā stājušā regulējuma ietekmi ilgākā termiņā pirms atkārtotu grozījumu veikšanas. </w:t>
            </w:r>
          </w:p>
          <w:p w14:paraId="7E23E397" w14:textId="77777777" w:rsidR="003B2904" w:rsidRPr="004920BF" w:rsidRDefault="003B2904" w:rsidP="00596EE9">
            <w:pPr>
              <w:pStyle w:val="NormalWeb"/>
              <w:ind w:right="13" w:firstLine="720"/>
              <w:jc w:val="both"/>
              <w:rPr>
                <w:color w:val="000000" w:themeColor="text1"/>
              </w:rPr>
            </w:pPr>
            <w:r w:rsidRPr="004920BF">
              <w:rPr>
                <w:color w:val="000000" w:themeColor="text1"/>
              </w:rPr>
              <w:t xml:space="preserve">Pamatojums: Vēlamies uzsvērt, ka saskaņā ar OCTA likumu apdrošinātāji </w:t>
            </w:r>
            <w:r w:rsidRPr="004920BF">
              <w:rPr>
                <w:color w:val="000000" w:themeColor="text1"/>
              </w:rPr>
              <w:lastRenderedPageBreak/>
              <w:t xml:space="preserve">izveido un LTAB administrē Garantijas fondu, un tā izveides mērķis ir veikt zaudējumu atlīdzības izmaksu ceļu satiksmes negadījumā cietušajām personām, ja zaudējumus nodarījis neapdrošināts vai nenoskaidrots transportlīdzeklis, t.sk., gadījumā, kad ceļu satiksmes negadījums noticis ārpus Latvijas), vai ir iestājusies apdrošināšanas sabiedrības maksātnespēja (OCTA likuma  51. pants). Minētais regulējums īsteno Eiropas Parlamenta un Padomes 2009.gada 16.septembra direktīvā Nr.2009/103/EK par civiltiesiskās atbildības apdrošināšanu saistībā ar mehānisko transportlīdzekļu izmantošanu un kontroli saistībā ar pienākumu apdrošināt šādu atbildību noteikto dalībvalsts pienākumu un Zaļās kartes sistēmas dokumentos noteikto dalībvalsts pienākumu izveidot šādu fondu un </w:t>
            </w:r>
            <w:r w:rsidRPr="004920BF">
              <w:rPr>
                <w:color w:val="000000" w:themeColor="text1"/>
              </w:rPr>
              <w:lastRenderedPageBreak/>
              <w:t>nodrošināt tā darbību. Garantijas fonda izmantošana OCTA prēmijas samazinājuma (atlaižu) finansēšanai ir pretēja Garantijas fonda mērķim, turklāt, kā norādīts pašā informatīvā ziņojuma tekstā: “pieņemot lēmumu par tālāko rīcību ar OCTA likuma 14.pantā noteikto regulējumu, būtu jāvērtē arī ietekme uz visu sauszemes transportlīdzekļu īpašnieku interesēm.” (informatīvā ziņojuma 9. lapa).</w:t>
            </w:r>
          </w:p>
          <w:p w14:paraId="41DF1031" w14:textId="77777777" w:rsidR="003B2904" w:rsidRPr="004920BF" w:rsidRDefault="003B2904" w:rsidP="00596EE9">
            <w:pPr>
              <w:pStyle w:val="NormalWeb"/>
              <w:ind w:right="13" w:firstLine="720"/>
              <w:jc w:val="both"/>
              <w:rPr>
                <w:color w:val="000000" w:themeColor="text1"/>
              </w:rPr>
            </w:pPr>
            <w:r w:rsidRPr="004920BF">
              <w:rPr>
                <w:color w:val="000000" w:themeColor="text1"/>
              </w:rPr>
              <w:t xml:space="preserve"> Līdz ar to </w:t>
            </w:r>
            <w:proofErr w:type="spellStart"/>
            <w:r w:rsidRPr="004920BF">
              <w:rPr>
                <w:color w:val="000000" w:themeColor="text1"/>
              </w:rPr>
              <w:t>izvērtējums</w:t>
            </w:r>
            <w:proofErr w:type="spellEnd"/>
            <w:r w:rsidRPr="004920BF">
              <w:rPr>
                <w:color w:val="000000" w:themeColor="text1"/>
              </w:rPr>
              <w:t xml:space="preserve"> par OCTA likuma 14.pantā noteikto tiesisko regulējumu attiecībā uz apdrošināšanas prēmijas maksājuma samazinājumu un iespējamo šā maksājuma samazinājuma pakāpenisku atcelšanu un turpmāko risinājumu nav atkarīgs no 2021. gada grozījumu finansiālās ietekmes </w:t>
            </w:r>
            <w:proofErr w:type="spellStart"/>
            <w:r w:rsidRPr="004920BF">
              <w:rPr>
                <w:color w:val="000000" w:themeColor="text1"/>
              </w:rPr>
              <w:t>izvērtējuma</w:t>
            </w:r>
            <w:proofErr w:type="spellEnd"/>
            <w:r w:rsidRPr="004920BF">
              <w:rPr>
                <w:color w:val="000000" w:themeColor="text1"/>
              </w:rPr>
              <w:t xml:space="preserve"> uz Garantijas fondu.  Turklāt arī pašā informatīvā ziņojuma </w:t>
            </w:r>
            <w:r w:rsidRPr="004920BF">
              <w:rPr>
                <w:color w:val="000000" w:themeColor="text1"/>
              </w:rPr>
              <w:lastRenderedPageBreak/>
              <w:t xml:space="preserve">tekstā ir atrodamas norādes, ka 2021. gada grozījumu ietekme uz Garantijas fonda </w:t>
            </w:r>
            <w:proofErr w:type="spellStart"/>
            <w:r w:rsidRPr="004920BF">
              <w:rPr>
                <w:color w:val="000000" w:themeColor="text1"/>
              </w:rPr>
              <w:t>pirmšķietami</w:t>
            </w:r>
            <w:proofErr w:type="spellEnd"/>
            <w:r w:rsidRPr="004920BF">
              <w:rPr>
                <w:color w:val="000000" w:themeColor="text1"/>
              </w:rPr>
              <w:t xml:space="preserve"> vērtējama kā neitrāla. </w:t>
            </w:r>
          </w:p>
          <w:p w14:paraId="257CF6DA" w14:textId="77777777" w:rsidR="003B2904" w:rsidRPr="004920BF" w:rsidRDefault="003B2904" w:rsidP="00596EE9">
            <w:pPr>
              <w:pStyle w:val="NormalWeb"/>
              <w:ind w:right="13" w:firstLine="720"/>
              <w:jc w:val="both"/>
              <w:rPr>
                <w:color w:val="000000" w:themeColor="text1"/>
              </w:rPr>
            </w:pPr>
            <w:r w:rsidRPr="004920BF">
              <w:rPr>
                <w:color w:val="000000" w:themeColor="text1"/>
              </w:rPr>
              <w:t xml:space="preserve">Vienlaikus jāpiebilst, ka saskaņā ar OCTA direktīvas gaidāmajiem grozījumiem, kas šobrīd ir finiša taisnē un kuri dalībvalstīm būs jāievieš 24 mēnešu laikā pēc to publicēšanas (https://eur-lex.europa.eu/procedure/EN/2018_168), izriet, ka Garantijas fondam var tikt uzlikts papildus finansiālais slogs. Ar plānotajiem OCTA direktīvas grozījumiem tiks ieviests jauns regulējums apdrošinātāja maksātnespējas gadījumā. Dalībvalstīm būs jāizveido vai jāpilnvaro iestāde, kas segs zaudējumus apdrošinātāja maksātnespējas/likvidācijas gadījumā. Līdz ar to būs jādomā par jaunu mehānismu – institūciju, kas Latvijas gadījumā būs šī </w:t>
            </w:r>
            <w:r w:rsidRPr="004920BF">
              <w:rPr>
                <w:color w:val="000000" w:themeColor="text1"/>
              </w:rPr>
              <w:lastRenderedPageBreak/>
              <w:t xml:space="preserve">kompensācijas iestāde – jauna institūcija vai jau esošais Garantijas fonds (visticamāk, ka tas būs jau esošais Garantijas fonds). Ja tiks noteikts, ka kompensācija cietušajiem jāmaksā no Garantijas fonda arī pārrobežu lietās kā gala maksātājam, tad būs jādomā, kā nodrošināt Garantijas fonda finansiālo stabilitāti, iespējams, paredzot arī </w:t>
            </w:r>
            <w:proofErr w:type="spellStart"/>
            <w:r w:rsidRPr="004920BF">
              <w:rPr>
                <w:color w:val="000000" w:themeColor="text1"/>
              </w:rPr>
              <w:t>atkaitījumus</w:t>
            </w:r>
            <w:proofErr w:type="spellEnd"/>
            <w:r w:rsidRPr="004920BF">
              <w:rPr>
                <w:color w:val="000000" w:themeColor="text1"/>
              </w:rPr>
              <w:t xml:space="preserve"> no OCTA polisēm, kas izdotas ārpus Latvijas, no Latvijā reģistrētiem apdrošinātājiem, kas sniedz OCTA pakalpojumus ārpus Latvijas un kas šobrīd nav LTAB (Garantijas fonda) biedri vai kas ir LTAB biedri, bet sniedz OCTA pakalpojumus ne tikai Latvijā.  </w:t>
            </w:r>
          </w:p>
          <w:p w14:paraId="4616D4DF" w14:textId="77777777" w:rsidR="003B2904" w:rsidRPr="00E43527" w:rsidRDefault="003B2904" w:rsidP="00596EE9">
            <w:pPr>
              <w:pStyle w:val="NormalWeb"/>
              <w:ind w:right="13" w:firstLine="720"/>
              <w:jc w:val="both"/>
              <w:rPr>
                <w:color w:val="000000" w:themeColor="text1"/>
              </w:rPr>
            </w:pPr>
            <w:r w:rsidRPr="004920BF">
              <w:rPr>
                <w:color w:val="000000" w:themeColor="text1"/>
              </w:rPr>
              <w:t xml:space="preserve">Ņemot vērā norādīto LTAB aicina Finanšu ministriju kā risinājumu virzīt scenāriju, kas paredz grozījumus OCTA likumā, kas noteiktu OCTA likuma 14.panta otrajā un trešajā daļā </w:t>
            </w:r>
            <w:r w:rsidRPr="004920BF">
              <w:rPr>
                <w:color w:val="000000" w:themeColor="text1"/>
              </w:rPr>
              <w:lastRenderedPageBreak/>
              <w:t>noteiktā apdrošināšanas prēmijas samazinājuma pakāpenisku atcelšanu līdz 2025.gada 1.janvārim, proti, laika periodā no 2023.gada 1.jūlija līdz 2024.gada 31.decembrim prēmijas samazinājumu noteikt attiecīgi 20 un 15 procentu apmērā un atcelt to 2025.gada 1.janvārī. Šis rīcības scenārijs jau iepriekš ir padziļināti analizēts un apspriests, secinot, ka tā īstenošanas gadījumā tiktu rasts sabalansēts risinājums, nodrošinot pakāpenisku atteikšanos no novecojoša un Satversmei neatbilstoša regulējuma, vienlaikus paredzot pārejas periodu, lai rastu risinājumu  mazāk aizsargātu sabiedrības grupu interešu nodrošināšanai un aizsardzībai.</w:t>
            </w:r>
          </w:p>
        </w:tc>
        <w:tc>
          <w:tcPr>
            <w:tcW w:w="2977" w:type="dxa"/>
            <w:gridSpan w:val="2"/>
            <w:tcBorders>
              <w:top w:val="single" w:sz="4" w:space="0" w:color="auto"/>
              <w:left w:val="single" w:sz="4" w:space="0" w:color="auto"/>
              <w:bottom w:val="single" w:sz="4" w:space="0" w:color="auto"/>
              <w:right w:val="single" w:sz="4" w:space="0" w:color="auto"/>
            </w:tcBorders>
          </w:tcPr>
          <w:p w14:paraId="74F15A62" w14:textId="77777777" w:rsidR="003B2904" w:rsidRDefault="003B2904" w:rsidP="00596EE9">
            <w:pPr>
              <w:pStyle w:val="ListParagraph"/>
              <w:spacing w:after="0" w:line="24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xml:space="preserve">Nav </w:t>
            </w:r>
            <w:r w:rsidRPr="00FB2323">
              <w:rPr>
                <w:rFonts w:ascii="Times New Roman" w:hAnsi="Times New Roman"/>
                <w:b/>
                <w:bCs/>
                <w:color w:val="000000" w:themeColor="text1"/>
                <w:sz w:val="24"/>
                <w:szCs w:val="24"/>
              </w:rPr>
              <w:t>ņemts vērā.</w:t>
            </w:r>
          </w:p>
          <w:p w14:paraId="6A25469A" w14:textId="77777777" w:rsidR="003B2904" w:rsidRPr="000C04F1" w:rsidRDefault="003B2904" w:rsidP="00596EE9">
            <w:pPr>
              <w:pStyle w:val="ListParagraph"/>
              <w:spacing w:after="0" w:line="240" w:lineRule="auto"/>
              <w:ind w:left="0"/>
              <w:jc w:val="both"/>
              <w:rPr>
                <w:rFonts w:ascii="Times New Roman" w:hAnsi="Times New Roman"/>
                <w:color w:val="000000" w:themeColor="text1"/>
                <w:sz w:val="24"/>
                <w:szCs w:val="24"/>
              </w:rPr>
            </w:pPr>
            <w:r w:rsidRPr="000C04F1">
              <w:rPr>
                <w:rFonts w:ascii="Times New Roman" w:hAnsi="Times New Roman"/>
                <w:color w:val="000000" w:themeColor="text1"/>
                <w:sz w:val="24"/>
                <w:szCs w:val="24"/>
              </w:rPr>
              <w:t xml:space="preserve">Saskaņošanas procesā ar </w:t>
            </w:r>
            <w:r>
              <w:rPr>
                <w:rFonts w:ascii="Times New Roman" w:hAnsi="Times New Roman"/>
                <w:color w:val="000000" w:themeColor="text1"/>
                <w:sz w:val="24"/>
                <w:szCs w:val="24"/>
              </w:rPr>
              <w:t xml:space="preserve">pārējām </w:t>
            </w:r>
            <w:r w:rsidRPr="000C04F1">
              <w:rPr>
                <w:rFonts w:ascii="Times New Roman" w:hAnsi="Times New Roman"/>
                <w:color w:val="000000" w:themeColor="text1"/>
                <w:sz w:val="24"/>
                <w:szCs w:val="24"/>
              </w:rPr>
              <w:t>iesaistītajām institūcijām minētais risinājums un secinājums (informatīvā ziņojuma 11. lapa) tika noteikts kā atbilstošākais.</w:t>
            </w:r>
          </w:p>
        </w:tc>
        <w:tc>
          <w:tcPr>
            <w:tcW w:w="2410" w:type="dxa"/>
            <w:tcBorders>
              <w:top w:val="single" w:sz="4" w:space="0" w:color="auto"/>
              <w:left w:val="single" w:sz="4" w:space="0" w:color="auto"/>
              <w:bottom w:val="single" w:sz="4" w:space="0" w:color="auto"/>
            </w:tcBorders>
          </w:tcPr>
          <w:p w14:paraId="673D474E" w14:textId="423D172F" w:rsidR="003B2904" w:rsidRPr="00E43527" w:rsidRDefault="007867F3" w:rsidP="007867F3">
            <w:pPr>
              <w:jc w:val="center"/>
              <w:rPr>
                <w:color w:val="000000" w:themeColor="text1"/>
              </w:rPr>
            </w:pPr>
            <w:r>
              <w:rPr>
                <w:color w:val="000000" w:themeColor="text1"/>
              </w:rPr>
              <w:t>Sk. pielikumu.</w:t>
            </w:r>
          </w:p>
        </w:tc>
        <w:tc>
          <w:tcPr>
            <w:tcW w:w="2410" w:type="dxa"/>
            <w:gridSpan w:val="3"/>
            <w:tcBorders>
              <w:top w:val="single" w:sz="4" w:space="0" w:color="auto"/>
              <w:left w:val="single" w:sz="4" w:space="0" w:color="auto"/>
              <w:bottom w:val="single" w:sz="4" w:space="0" w:color="auto"/>
            </w:tcBorders>
          </w:tcPr>
          <w:p w14:paraId="1104D90D" w14:textId="1D27A011" w:rsidR="003B2904" w:rsidRPr="00E43527" w:rsidRDefault="007867F3" w:rsidP="00596EE9">
            <w:pPr>
              <w:jc w:val="both"/>
              <w:rPr>
                <w:color w:val="000000" w:themeColor="text1"/>
              </w:rPr>
            </w:pPr>
            <w:r>
              <w:rPr>
                <w:color w:val="000000" w:themeColor="text1"/>
              </w:rPr>
              <w:t>I</w:t>
            </w:r>
            <w:r w:rsidRPr="004920BF">
              <w:rPr>
                <w:color w:val="000000" w:themeColor="text1"/>
              </w:rPr>
              <w:t>nformatīvā ziņojuma 11. lapa</w:t>
            </w:r>
          </w:p>
        </w:tc>
      </w:tr>
    </w:tbl>
    <w:p w14:paraId="3109DC49" w14:textId="020770A3" w:rsidR="000F32D0" w:rsidRDefault="000F32D0" w:rsidP="000F32D0">
      <w:pPr>
        <w:pStyle w:val="naisf"/>
        <w:spacing w:before="0" w:after="0"/>
        <w:ind w:firstLine="0"/>
        <w:rPr>
          <w:color w:val="000000" w:themeColor="text1"/>
        </w:rPr>
      </w:pPr>
    </w:p>
    <w:p w14:paraId="7278D76E" w14:textId="20ED9C56" w:rsidR="003B2904" w:rsidRDefault="003B2904" w:rsidP="000F32D0">
      <w:pPr>
        <w:pStyle w:val="naisf"/>
        <w:spacing w:before="0" w:after="0"/>
        <w:ind w:firstLine="0"/>
        <w:rPr>
          <w:color w:val="000000" w:themeColor="text1"/>
        </w:rPr>
      </w:pPr>
    </w:p>
    <w:p w14:paraId="56936615" w14:textId="6FC02179" w:rsidR="003B2904" w:rsidRDefault="003B2904" w:rsidP="000F32D0">
      <w:pPr>
        <w:pStyle w:val="naisf"/>
        <w:spacing w:before="0" w:after="0"/>
        <w:ind w:firstLine="0"/>
        <w:rPr>
          <w:color w:val="000000" w:themeColor="text1"/>
        </w:rPr>
      </w:pPr>
    </w:p>
    <w:p w14:paraId="38D103BD" w14:textId="458928F9" w:rsidR="003B2904" w:rsidRDefault="003B2904" w:rsidP="000F32D0">
      <w:pPr>
        <w:pStyle w:val="naisf"/>
        <w:spacing w:before="0" w:after="0"/>
        <w:ind w:firstLine="0"/>
        <w:rPr>
          <w:color w:val="000000" w:themeColor="text1"/>
        </w:rPr>
      </w:pPr>
    </w:p>
    <w:p w14:paraId="39F5C4F4" w14:textId="24919F15" w:rsidR="003B2904" w:rsidRDefault="003B2904" w:rsidP="000F32D0">
      <w:pPr>
        <w:pStyle w:val="naisf"/>
        <w:spacing w:before="0" w:after="0"/>
        <w:ind w:firstLine="0"/>
        <w:rPr>
          <w:color w:val="000000" w:themeColor="text1"/>
        </w:rPr>
      </w:pPr>
    </w:p>
    <w:p w14:paraId="0190A553" w14:textId="77777777" w:rsidR="003B2904" w:rsidRPr="00E43527" w:rsidRDefault="003B2904" w:rsidP="000F32D0">
      <w:pPr>
        <w:pStyle w:val="naisf"/>
        <w:spacing w:before="0" w:after="0"/>
        <w:ind w:firstLine="0"/>
        <w:rPr>
          <w:color w:val="000000" w:themeColor="text1"/>
        </w:rPr>
      </w:pPr>
    </w:p>
    <w:p w14:paraId="6254A067" w14:textId="77777777" w:rsidR="000F32D0" w:rsidRPr="00E43527" w:rsidRDefault="000F32D0" w:rsidP="000F32D0">
      <w:pPr>
        <w:pStyle w:val="naisf"/>
        <w:spacing w:before="0" w:after="0"/>
        <w:ind w:firstLine="0"/>
        <w:rPr>
          <w:b/>
          <w:color w:val="000000" w:themeColor="text1"/>
        </w:rPr>
      </w:pPr>
      <w:r w:rsidRPr="00E43527">
        <w:rPr>
          <w:b/>
          <w:color w:val="000000" w:themeColor="text1"/>
        </w:rPr>
        <w:lastRenderedPageBreak/>
        <w:t xml:space="preserve">Informācija par </w:t>
      </w:r>
      <w:proofErr w:type="spellStart"/>
      <w:r w:rsidRPr="00E43527">
        <w:rPr>
          <w:b/>
          <w:color w:val="000000" w:themeColor="text1"/>
        </w:rPr>
        <w:t>starpministriju</w:t>
      </w:r>
      <w:proofErr w:type="spellEnd"/>
      <w:r w:rsidRPr="00E43527">
        <w:rPr>
          <w:b/>
          <w:color w:val="000000" w:themeColor="text1"/>
        </w:rPr>
        <w:t xml:space="preserve"> (starpinstitūciju) sanāksmi vai elektronisko saskaņošanu</w:t>
      </w:r>
    </w:p>
    <w:p w14:paraId="639A7EFC" w14:textId="77777777" w:rsidR="000F32D0" w:rsidRPr="00E43527" w:rsidRDefault="000F32D0" w:rsidP="000F32D0">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FB164A" w:rsidRPr="00E43527" w14:paraId="0045B4B2" w14:textId="77777777" w:rsidTr="00647C6A">
        <w:tc>
          <w:tcPr>
            <w:tcW w:w="6345" w:type="dxa"/>
          </w:tcPr>
          <w:p w14:paraId="39067525" w14:textId="77777777" w:rsidR="000F32D0" w:rsidRPr="003264EF" w:rsidRDefault="000F32D0" w:rsidP="00647C6A">
            <w:pPr>
              <w:pStyle w:val="naisf"/>
              <w:spacing w:before="0" w:after="0"/>
              <w:ind w:firstLine="0"/>
              <w:rPr>
                <w:color w:val="000000" w:themeColor="text1"/>
              </w:rPr>
            </w:pPr>
            <w:r w:rsidRPr="003264EF">
              <w:rPr>
                <w:color w:val="000000" w:themeColor="text1"/>
              </w:rPr>
              <w:t>Datums</w:t>
            </w:r>
          </w:p>
        </w:tc>
        <w:tc>
          <w:tcPr>
            <w:tcW w:w="6237" w:type="dxa"/>
            <w:tcBorders>
              <w:bottom w:val="single" w:sz="4" w:space="0" w:color="auto"/>
            </w:tcBorders>
          </w:tcPr>
          <w:p w14:paraId="47C8DFFC" w14:textId="62A398BD" w:rsidR="000F32D0" w:rsidRPr="003264EF" w:rsidRDefault="003264EF" w:rsidP="00647C6A">
            <w:pPr>
              <w:pStyle w:val="NormalWeb"/>
              <w:spacing w:before="0" w:beforeAutospacing="0" w:after="0" w:afterAutospacing="0"/>
              <w:rPr>
                <w:color w:val="000000" w:themeColor="text1"/>
              </w:rPr>
            </w:pPr>
            <w:r w:rsidRPr="003264EF">
              <w:rPr>
                <w:szCs w:val="20"/>
              </w:rPr>
              <w:t>18.08.2021</w:t>
            </w:r>
          </w:p>
        </w:tc>
      </w:tr>
      <w:tr w:rsidR="00FB164A" w:rsidRPr="00E43527" w14:paraId="1038AADD" w14:textId="77777777" w:rsidTr="00647C6A">
        <w:tc>
          <w:tcPr>
            <w:tcW w:w="6345" w:type="dxa"/>
          </w:tcPr>
          <w:p w14:paraId="0D31C498" w14:textId="77777777" w:rsidR="000F32D0" w:rsidRPr="00E43527" w:rsidRDefault="000F32D0" w:rsidP="00647C6A">
            <w:pPr>
              <w:pStyle w:val="naisf"/>
              <w:spacing w:before="0" w:after="0"/>
              <w:ind w:firstLine="0"/>
              <w:rPr>
                <w:color w:val="000000" w:themeColor="text1"/>
              </w:rPr>
            </w:pPr>
          </w:p>
        </w:tc>
        <w:tc>
          <w:tcPr>
            <w:tcW w:w="6237" w:type="dxa"/>
            <w:tcBorders>
              <w:top w:val="single" w:sz="4" w:space="0" w:color="auto"/>
            </w:tcBorders>
          </w:tcPr>
          <w:p w14:paraId="494FA9FA" w14:textId="77777777" w:rsidR="000F32D0" w:rsidRPr="00E43527" w:rsidRDefault="000F32D0" w:rsidP="00647C6A">
            <w:pPr>
              <w:pStyle w:val="NormalWeb"/>
              <w:spacing w:before="0" w:beforeAutospacing="0" w:after="0" w:afterAutospacing="0"/>
              <w:ind w:firstLine="720"/>
              <w:rPr>
                <w:color w:val="000000" w:themeColor="text1"/>
                <w:highlight w:val="yellow"/>
              </w:rPr>
            </w:pPr>
          </w:p>
        </w:tc>
      </w:tr>
      <w:tr w:rsidR="00FB164A" w:rsidRPr="00E43527" w14:paraId="46CEC0F8" w14:textId="77777777" w:rsidTr="00647C6A">
        <w:tc>
          <w:tcPr>
            <w:tcW w:w="6345" w:type="dxa"/>
          </w:tcPr>
          <w:p w14:paraId="68FF9CAD" w14:textId="77777777" w:rsidR="000F32D0" w:rsidRPr="00E43527" w:rsidRDefault="000F32D0" w:rsidP="00647C6A">
            <w:pPr>
              <w:pStyle w:val="naiskr"/>
              <w:spacing w:before="0" w:after="0"/>
              <w:rPr>
                <w:color w:val="000000" w:themeColor="text1"/>
              </w:rPr>
            </w:pPr>
            <w:r w:rsidRPr="00E43527">
              <w:rPr>
                <w:color w:val="000000" w:themeColor="text1"/>
              </w:rPr>
              <w:t>Saskaņošanas dalībnieki</w:t>
            </w:r>
          </w:p>
        </w:tc>
        <w:tc>
          <w:tcPr>
            <w:tcW w:w="6237" w:type="dxa"/>
          </w:tcPr>
          <w:p w14:paraId="312A8220" w14:textId="70D41D97" w:rsidR="003D4BBE" w:rsidRPr="00E43527" w:rsidRDefault="00D86E91" w:rsidP="00D86E91">
            <w:pPr>
              <w:pStyle w:val="NormalWeb"/>
              <w:jc w:val="both"/>
              <w:rPr>
                <w:color w:val="000000" w:themeColor="text1"/>
              </w:rPr>
            </w:pPr>
            <w:r w:rsidRPr="00D86E91">
              <w:rPr>
                <w:color w:val="000000" w:themeColor="text1"/>
              </w:rPr>
              <w:t>Tieslietu ministrija</w:t>
            </w:r>
            <w:r>
              <w:rPr>
                <w:color w:val="000000" w:themeColor="text1"/>
              </w:rPr>
              <w:t xml:space="preserve">, </w:t>
            </w:r>
            <w:r w:rsidRPr="00D86E91">
              <w:rPr>
                <w:color w:val="000000" w:themeColor="text1"/>
              </w:rPr>
              <w:t>Labklājības ministrija</w:t>
            </w:r>
            <w:r>
              <w:rPr>
                <w:color w:val="000000" w:themeColor="text1"/>
              </w:rPr>
              <w:t xml:space="preserve">, </w:t>
            </w:r>
            <w:r w:rsidRPr="00D86E91">
              <w:rPr>
                <w:color w:val="000000" w:themeColor="text1"/>
              </w:rPr>
              <w:t>Zemkopības ministrija</w:t>
            </w:r>
            <w:r>
              <w:rPr>
                <w:color w:val="000000" w:themeColor="text1"/>
              </w:rPr>
              <w:t xml:space="preserve">, </w:t>
            </w:r>
            <w:r w:rsidRPr="00D86E91">
              <w:rPr>
                <w:color w:val="000000" w:themeColor="text1"/>
              </w:rPr>
              <w:t>Biedrība “Lauksaimniecības organizāciju sadarbības padome”</w:t>
            </w:r>
            <w:r>
              <w:rPr>
                <w:color w:val="000000" w:themeColor="text1"/>
              </w:rPr>
              <w:t xml:space="preserve">, </w:t>
            </w:r>
            <w:r w:rsidRPr="00D86E91">
              <w:rPr>
                <w:color w:val="000000" w:themeColor="text1"/>
              </w:rPr>
              <w:t>Biedrība “Zemnieku saeima”</w:t>
            </w:r>
            <w:r>
              <w:rPr>
                <w:color w:val="000000" w:themeColor="text1"/>
              </w:rPr>
              <w:t xml:space="preserve">, </w:t>
            </w:r>
            <w:r w:rsidRPr="00D86E91">
              <w:rPr>
                <w:color w:val="000000" w:themeColor="text1"/>
              </w:rPr>
              <w:t>Nodibinājums “Invalīdu un viņu draugu apvienība “Apeirons””</w:t>
            </w:r>
            <w:r>
              <w:rPr>
                <w:color w:val="000000" w:themeColor="text1"/>
              </w:rPr>
              <w:t xml:space="preserve">, </w:t>
            </w:r>
            <w:r w:rsidRPr="00D86E91">
              <w:rPr>
                <w:color w:val="000000" w:themeColor="text1"/>
              </w:rPr>
              <w:t>Biedrība “Latvijas Transportlīdzekļu apdrošinātāju birojs”</w:t>
            </w:r>
          </w:p>
        </w:tc>
      </w:tr>
    </w:tbl>
    <w:p w14:paraId="49075491" w14:textId="77777777" w:rsidR="000F32D0" w:rsidRPr="00E43527" w:rsidRDefault="000F32D0" w:rsidP="000F32D0">
      <w:pPr>
        <w:tabs>
          <w:tab w:val="left" w:pos="995"/>
        </w:tabs>
        <w:rPr>
          <w:color w:val="000000" w:themeColor="text1"/>
        </w:rPr>
      </w:pPr>
    </w:p>
    <w:tbl>
      <w:tblPr>
        <w:tblW w:w="12582" w:type="dxa"/>
        <w:tblLook w:val="00A0" w:firstRow="1" w:lastRow="0" w:firstColumn="1" w:lastColumn="0" w:noHBand="0" w:noVBand="0"/>
      </w:tblPr>
      <w:tblGrid>
        <w:gridCol w:w="6708"/>
        <w:gridCol w:w="239"/>
        <w:gridCol w:w="5635"/>
      </w:tblGrid>
      <w:tr w:rsidR="00FB164A" w:rsidRPr="00E43527" w14:paraId="62D5335B" w14:textId="77777777" w:rsidTr="003D4BBE">
        <w:trPr>
          <w:trHeight w:val="285"/>
        </w:trPr>
        <w:tc>
          <w:tcPr>
            <w:tcW w:w="6708" w:type="dxa"/>
          </w:tcPr>
          <w:p w14:paraId="2237C561" w14:textId="77777777" w:rsidR="003D4BBE" w:rsidRPr="00E43527" w:rsidRDefault="000F32D0" w:rsidP="00647C6A">
            <w:pPr>
              <w:pStyle w:val="naiskr"/>
              <w:spacing w:before="0" w:after="0"/>
              <w:rPr>
                <w:color w:val="000000" w:themeColor="text1"/>
              </w:rPr>
            </w:pPr>
            <w:r w:rsidRPr="00E43527">
              <w:rPr>
                <w:color w:val="000000" w:themeColor="text1"/>
              </w:rPr>
              <w:t xml:space="preserve">Saskaņošanas dalībnieki izskatīja šādu </w:t>
            </w:r>
          </w:p>
          <w:p w14:paraId="39441D63" w14:textId="658E614D" w:rsidR="000F32D0" w:rsidRPr="00E43527" w:rsidRDefault="000F32D0" w:rsidP="00647C6A">
            <w:pPr>
              <w:pStyle w:val="naiskr"/>
              <w:spacing w:before="0" w:after="0"/>
              <w:rPr>
                <w:color w:val="000000" w:themeColor="text1"/>
              </w:rPr>
            </w:pPr>
            <w:r w:rsidRPr="00E43527">
              <w:rPr>
                <w:color w:val="000000" w:themeColor="text1"/>
              </w:rPr>
              <w:t>ministriju (citu institūciju) iebildumus</w:t>
            </w:r>
          </w:p>
        </w:tc>
        <w:tc>
          <w:tcPr>
            <w:tcW w:w="239" w:type="dxa"/>
          </w:tcPr>
          <w:p w14:paraId="05282939" w14:textId="77777777" w:rsidR="000F32D0" w:rsidRPr="00E43527" w:rsidRDefault="000F32D0" w:rsidP="00647C6A">
            <w:pPr>
              <w:pStyle w:val="naiskr"/>
              <w:spacing w:before="0" w:after="0"/>
              <w:ind w:firstLine="720"/>
              <w:rPr>
                <w:color w:val="000000" w:themeColor="text1"/>
              </w:rPr>
            </w:pPr>
          </w:p>
        </w:tc>
        <w:tc>
          <w:tcPr>
            <w:tcW w:w="5635" w:type="dxa"/>
          </w:tcPr>
          <w:p w14:paraId="70C22368" w14:textId="5E85DA40" w:rsidR="000F32D0" w:rsidRPr="00E43527" w:rsidRDefault="00D86E91" w:rsidP="00647C6A">
            <w:pPr>
              <w:pStyle w:val="naiskr"/>
              <w:spacing w:before="0" w:after="0"/>
              <w:ind w:firstLine="12"/>
              <w:rPr>
                <w:color w:val="000000" w:themeColor="text1"/>
              </w:rPr>
            </w:pPr>
            <w:r>
              <w:rPr>
                <w:color w:val="000000" w:themeColor="text1"/>
              </w:rPr>
              <w:t>Labklājības</w:t>
            </w:r>
            <w:r w:rsidRPr="00E43527">
              <w:rPr>
                <w:color w:val="000000" w:themeColor="text1"/>
              </w:rPr>
              <w:t xml:space="preserve"> ministrijas</w:t>
            </w:r>
            <w:r>
              <w:rPr>
                <w:color w:val="000000" w:themeColor="text1"/>
              </w:rPr>
              <w:t xml:space="preserve">, </w:t>
            </w:r>
            <w:r w:rsidR="003D4BBE" w:rsidRPr="00E43527">
              <w:rPr>
                <w:color w:val="000000" w:themeColor="text1"/>
              </w:rPr>
              <w:t>biedrības “Latvijas Transportlīdzekļu apdrošinātāju birojs”</w:t>
            </w:r>
            <w:r>
              <w:rPr>
                <w:color w:val="000000" w:themeColor="text1"/>
              </w:rPr>
              <w:t xml:space="preserve"> </w:t>
            </w:r>
            <w:r w:rsidR="000F32D0" w:rsidRPr="00E43527">
              <w:rPr>
                <w:color w:val="000000" w:themeColor="text1"/>
              </w:rPr>
              <w:t>iebildumus</w:t>
            </w:r>
          </w:p>
        </w:tc>
      </w:tr>
      <w:tr w:rsidR="00FB164A" w:rsidRPr="00E43527" w14:paraId="3283E111" w14:textId="77777777" w:rsidTr="00647C6A">
        <w:trPr>
          <w:trHeight w:val="465"/>
        </w:trPr>
        <w:tc>
          <w:tcPr>
            <w:tcW w:w="6708" w:type="dxa"/>
          </w:tcPr>
          <w:p w14:paraId="28201D8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top w:val="single" w:sz="6" w:space="0" w:color="000000"/>
              <w:bottom w:val="single" w:sz="6" w:space="0" w:color="000000"/>
            </w:tcBorders>
          </w:tcPr>
          <w:p w14:paraId="731973FF" w14:textId="77777777" w:rsidR="000F32D0" w:rsidRPr="00E43527" w:rsidRDefault="000F32D0" w:rsidP="00647C6A">
            <w:pPr>
              <w:pStyle w:val="NormalWeb"/>
              <w:spacing w:before="0" w:beforeAutospacing="0" w:after="0" w:afterAutospacing="0"/>
              <w:ind w:firstLine="720"/>
              <w:rPr>
                <w:color w:val="000000" w:themeColor="text1"/>
              </w:rPr>
            </w:pPr>
          </w:p>
        </w:tc>
      </w:tr>
      <w:tr w:rsidR="00FB164A" w:rsidRPr="00E43527" w14:paraId="1EAB9F8A" w14:textId="77777777" w:rsidTr="00647C6A">
        <w:trPr>
          <w:trHeight w:val="465"/>
        </w:trPr>
        <w:tc>
          <w:tcPr>
            <w:tcW w:w="12582" w:type="dxa"/>
            <w:gridSpan w:val="3"/>
          </w:tcPr>
          <w:p w14:paraId="085E2484" w14:textId="77777777" w:rsidR="000F32D0" w:rsidRPr="00E43527" w:rsidRDefault="000F32D0" w:rsidP="00647C6A">
            <w:pPr>
              <w:pStyle w:val="naisc"/>
              <w:spacing w:before="0" w:after="0"/>
              <w:ind w:left="4820" w:firstLine="720"/>
              <w:rPr>
                <w:color w:val="000000" w:themeColor="text1"/>
              </w:rPr>
            </w:pPr>
          </w:p>
        </w:tc>
      </w:tr>
      <w:tr w:rsidR="00FB164A" w:rsidRPr="00E43527" w14:paraId="1C565459" w14:textId="77777777" w:rsidTr="00647C6A">
        <w:tc>
          <w:tcPr>
            <w:tcW w:w="6708" w:type="dxa"/>
          </w:tcPr>
          <w:p w14:paraId="06A53AD5" w14:textId="77777777" w:rsidR="003D4BBE" w:rsidRPr="00E43527" w:rsidRDefault="000F32D0" w:rsidP="00647C6A">
            <w:pPr>
              <w:pStyle w:val="naiskr"/>
              <w:spacing w:before="0" w:after="0"/>
              <w:rPr>
                <w:color w:val="000000" w:themeColor="text1"/>
              </w:rPr>
            </w:pPr>
            <w:r w:rsidRPr="00E43527">
              <w:rPr>
                <w:color w:val="000000" w:themeColor="text1"/>
              </w:rPr>
              <w:t xml:space="preserve">Ministrijas (citas institūcijas), kuras nav ieradušās uz </w:t>
            </w:r>
          </w:p>
          <w:p w14:paraId="160CD495" w14:textId="77777777" w:rsidR="003D4BBE" w:rsidRPr="00E43527" w:rsidRDefault="000F32D0" w:rsidP="00647C6A">
            <w:pPr>
              <w:pStyle w:val="naiskr"/>
              <w:spacing w:before="0" w:after="0"/>
              <w:rPr>
                <w:color w:val="000000" w:themeColor="text1"/>
              </w:rPr>
            </w:pPr>
            <w:r w:rsidRPr="00E43527">
              <w:rPr>
                <w:color w:val="000000" w:themeColor="text1"/>
              </w:rPr>
              <w:t xml:space="preserve">sanāksmi vai kuras nav atbildējušas uz uzaicinājumu </w:t>
            </w:r>
          </w:p>
          <w:p w14:paraId="391444D4" w14:textId="0BCEC29E" w:rsidR="000F32D0" w:rsidRPr="00E43527" w:rsidRDefault="000F32D0" w:rsidP="00647C6A">
            <w:pPr>
              <w:pStyle w:val="naiskr"/>
              <w:spacing w:before="0" w:after="0"/>
              <w:rPr>
                <w:color w:val="000000" w:themeColor="text1"/>
              </w:rPr>
            </w:pPr>
            <w:r w:rsidRPr="00E43527">
              <w:rPr>
                <w:color w:val="000000" w:themeColor="text1"/>
              </w:rPr>
              <w:t>piedalīties elektroniskajā saskaņošanā</w:t>
            </w:r>
          </w:p>
        </w:tc>
        <w:tc>
          <w:tcPr>
            <w:tcW w:w="5874" w:type="dxa"/>
            <w:gridSpan w:val="2"/>
          </w:tcPr>
          <w:p w14:paraId="59A14EBB" w14:textId="77777777" w:rsidR="000F32D0" w:rsidRPr="00E43527" w:rsidRDefault="000F32D0" w:rsidP="00647C6A">
            <w:pPr>
              <w:pStyle w:val="naiskr"/>
              <w:spacing w:before="0" w:after="0"/>
              <w:ind w:firstLine="720"/>
              <w:rPr>
                <w:color w:val="000000" w:themeColor="text1"/>
              </w:rPr>
            </w:pPr>
          </w:p>
        </w:tc>
      </w:tr>
      <w:tr w:rsidR="00FB164A" w:rsidRPr="00E43527" w14:paraId="19B0CB33" w14:textId="77777777" w:rsidTr="00647C6A">
        <w:tc>
          <w:tcPr>
            <w:tcW w:w="6708" w:type="dxa"/>
          </w:tcPr>
          <w:p w14:paraId="36EE89D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top w:val="single" w:sz="6" w:space="0" w:color="000000"/>
              <w:bottom w:val="single" w:sz="6" w:space="0" w:color="000000"/>
            </w:tcBorders>
          </w:tcPr>
          <w:p w14:paraId="782AB6B9" w14:textId="77777777" w:rsidR="000F32D0" w:rsidRPr="00E43527" w:rsidRDefault="000F32D0" w:rsidP="00647C6A">
            <w:pPr>
              <w:pStyle w:val="naiskr"/>
              <w:spacing w:before="0" w:after="0"/>
              <w:ind w:firstLine="720"/>
              <w:rPr>
                <w:color w:val="000000" w:themeColor="text1"/>
              </w:rPr>
            </w:pPr>
          </w:p>
        </w:tc>
      </w:tr>
      <w:tr w:rsidR="009A05DE" w:rsidRPr="00E43527" w14:paraId="5CDF6799" w14:textId="77777777" w:rsidTr="00647C6A">
        <w:tc>
          <w:tcPr>
            <w:tcW w:w="6708" w:type="dxa"/>
          </w:tcPr>
          <w:p w14:paraId="2E701DE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bottom w:val="single" w:sz="6" w:space="0" w:color="000000"/>
            </w:tcBorders>
          </w:tcPr>
          <w:p w14:paraId="1E37C724" w14:textId="77777777" w:rsidR="000F32D0" w:rsidRPr="00E43527" w:rsidRDefault="000F32D0" w:rsidP="00647C6A">
            <w:pPr>
              <w:pStyle w:val="naiskr"/>
              <w:spacing w:before="0" w:after="0"/>
              <w:ind w:firstLine="720"/>
              <w:rPr>
                <w:color w:val="000000" w:themeColor="text1"/>
              </w:rPr>
            </w:pPr>
          </w:p>
        </w:tc>
      </w:tr>
    </w:tbl>
    <w:p w14:paraId="01964947" w14:textId="25231993" w:rsidR="000F32D0" w:rsidRDefault="000F32D0" w:rsidP="000F32D0">
      <w:pPr>
        <w:pStyle w:val="naisf"/>
        <w:spacing w:before="0" w:after="0"/>
        <w:ind w:firstLine="720"/>
        <w:rPr>
          <w:color w:val="000000" w:themeColor="text1"/>
        </w:rPr>
      </w:pPr>
    </w:p>
    <w:p w14:paraId="4E98EDA0" w14:textId="5BE0F491" w:rsidR="003B2904" w:rsidRDefault="003B2904" w:rsidP="000F32D0">
      <w:pPr>
        <w:pStyle w:val="naisf"/>
        <w:spacing w:before="0" w:after="0"/>
        <w:ind w:firstLine="720"/>
        <w:rPr>
          <w:color w:val="000000" w:themeColor="text1"/>
        </w:rPr>
      </w:pPr>
    </w:p>
    <w:p w14:paraId="60135450" w14:textId="609661A5" w:rsidR="003B2904" w:rsidRDefault="003B2904" w:rsidP="000F32D0">
      <w:pPr>
        <w:pStyle w:val="naisf"/>
        <w:spacing w:before="0" w:after="0"/>
        <w:ind w:firstLine="720"/>
        <w:rPr>
          <w:color w:val="000000" w:themeColor="text1"/>
        </w:rPr>
      </w:pPr>
    </w:p>
    <w:p w14:paraId="042CD5F4" w14:textId="4718B168" w:rsidR="003B2904" w:rsidRDefault="003B2904" w:rsidP="000F32D0">
      <w:pPr>
        <w:pStyle w:val="naisf"/>
        <w:spacing w:before="0" w:after="0"/>
        <w:ind w:firstLine="720"/>
        <w:rPr>
          <w:color w:val="000000" w:themeColor="text1"/>
        </w:rPr>
      </w:pPr>
    </w:p>
    <w:p w14:paraId="195AAC5D" w14:textId="46932D7F" w:rsidR="003B2904" w:rsidRDefault="003B2904" w:rsidP="000F32D0">
      <w:pPr>
        <w:pStyle w:val="naisf"/>
        <w:spacing w:before="0" w:after="0"/>
        <w:ind w:firstLine="720"/>
        <w:rPr>
          <w:color w:val="000000" w:themeColor="text1"/>
        </w:rPr>
      </w:pPr>
    </w:p>
    <w:p w14:paraId="17454671" w14:textId="57AC26B4" w:rsidR="003B2904" w:rsidRDefault="003B2904" w:rsidP="000F32D0">
      <w:pPr>
        <w:pStyle w:val="naisf"/>
        <w:spacing w:before="0" w:after="0"/>
        <w:ind w:firstLine="720"/>
        <w:rPr>
          <w:color w:val="000000" w:themeColor="text1"/>
        </w:rPr>
      </w:pPr>
    </w:p>
    <w:p w14:paraId="0255B670" w14:textId="2D44A182" w:rsidR="003B2904" w:rsidRDefault="003B2904" w:rsidP="000F32D0">
      <w:pPr>
        <w:pStyle w:val="naisf"/>
        <w:spacing w:before="0" w:after="0"/>
        <w:ind w:firstLine="720"/>
        <w:rPr>
          <w:color w:val="000000" w:themeColor="text1"/>
        </w:rPr>
      </w:pPr>
    </w:p>
    <w:p w14:paraId="3CF4C242" w14:textId="14CD3A24" w:rsidR="003B2904" w:rsidRDefault="003B2904" w:rsidP="000F32D0">
      <w:pPr>
        <w:pStyle w:val="naisf"/>
        <w:spacing w:before="0" w:after="0"/>
        <w:ind w:firstLine="720"/>
        <w:rPr>
          <w:color w:val="000000" w:themeColor="text1"/>
        </w:rPr>
      </w:pPr>
    </w:p>
    <w:p w14:paraId="203C3A97" w14:textId="41A07F95" w:rsidR="003B2904" w:rsidRDefault="003B2904" w:rsidP="000F32D0">
      <w:pPr>
        <w:pStyle w:val="naisf"/>
        <w:spacing w:before="0" w:after="0"/>
        <w:ind w:firstLine="720"/>
        <w:rPr>
          <w:color w:val="000000" w:themeColor="text1"/>
        </w:rPr>
      </w:pPr>
    </w:p>
    <w:p w14:paraId="454B50F8" w14:textId="77777777" w:rsidR="003B2904" w:rsidRPr="00E43527" w:rsidRDefault="003B2904" w:rsidP="000F32D0">
      <w:pPr>
        <w:pStyle w:val="naisf"/>
        <w:spacing w:before="0" w:after="0"/>
        <w:ind w:firstLine="720"/>
        <w:rPr>
          <w:color w:val="000000" w:themeColor="text1"/>
        </w:rPr>
      </w:pPr>
    </w:p>
    <w:p w14:paraId="7D85E375" w14:textId="77777777" w:rsidR="000F32D0" w:rsidRPr="00E43527" w:rsidRDefault="000F32D0" w:rsidP="000F32D0">
      <w:pPr>
        <w:pStyle w:val="naisf"/>
        <w:spacing w:before="0" w:after="0"/>
        <w:ind w:firstLine="0"/>
        <w:jc w:val="center"/>
        <w:rPr>
          <w:b/>
          <w:color w:val="000000" w:themeColor="text1"/>
        </w:rPr>
      </w:pPr>
      <w:r w:rsidRPr="00E43527">
        <w:rPr>
          <w:b/>
          <w:color w:val="000000" w:themeColor="text1"/>
        </w:rPr>
        <w:lastRenderedPageBreak/>
        <w:t>II. Jautājumi, par kuriem saskaņošanā vienošanās ir panākta</w:t>
      </w:r>
    </w:p>
    <w:p w14:paraId="14740854" w14:textId="77777777" w:rsidR="000F32D0" w:rsidRPr="00E43527" w:rsidRDefault="000F32D0" w:rsidP="000F32D0">
      <w:pPr>
        <w:pStyle w:val="naisf"/>
        <w:spacing w:before="0" w:after="0"/>
        <w:ind w:firstLine="720"/>
        <w:rPr>
          <w:color w:val="000000" w:themeColor="text1"/>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394"/>
        <w:gridCol w:w="2977"/>
        <w:gridCol w:w="3827"/>
      </w:tblGrid>
      <w:tr w:rsidR="00FB164A" w:rsidRPr="00E43527" w14:paraId="57C9A246" w14:textId="77777777" w:rsidTr="00647C6A">
        <w:tc>
          <w:tcPr>
            <w:tcW w:w="675" w:type="dxa"/>
            <w:tcBorders>
              <w:top w:val="single" w:sz="6" w:space="0" w:color="000000"/>
              <w:left w:val="single" w:sz="6" w:space="0" w:color="000000"/>
              <w:bottom w:val="single" w:sz="6" w:space="0" w:color="000000"/>
              <w:right w:val="single" w:sz="6" w:space="0" w:color="000000"/>
            </w:tcBorders>
            <w:vAlign w:val="center"/>
          </w:tcPr>
          <w:p w14:paraId="42703118" w14:textId="77777777" w:rsidR="000F32D0" w:rsidRPr="00E43527" w:rsidRDefault="000F32D0" w:rsidP="00647C6A">
            <w:pPr>
              <w:pStyle w:val="naisc"/>
              <w:spacing w:before="0" w:after="0"/>
              <w:rPr>
                <w:color w:val="000000" w:themeColor="text1"/>
              </w:rPr>
            </w:pPr>
            <w:r w:rsidRPr="00E43527">
              <w:rPr>
                <w:color w:val="000000" w:themeColor="text1"/>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6518307F" w14:textId="77777777" w:rsidR="000F32D0" w:rsidRPr="00E43527" w:rsidRDefault="000F32D0" w:rsidP="00647C6A">
            <w:pPr>
              <w:pStyle w:val="naisc"/>
              <w:spacing w:before="0" w:after="0"/>
              <w:ind w:firstLine="12"/>
              <w:rPr>
                <w:color w:val="000000" w:themeColor="text1"/>
              </w:rPr>
            </w:pPr>
            <w:r w:rsidRPr="00E43527">
              <w:rPr>
                <w:color w:val="000000" w:themeColor="text1"/>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6C095C9D" w14:textId="77777777" w:rsidR="000F32D0" w:rsidRPr="00E43527" w:rsidRDefault="000F32D0" w:rsidP="00647C6A">
            <w:pPr>
              <w:pStyle w:val="naisc"/>
              <w:spacing w:before="0" w:after="0"/>
              <w:ind w:right="3"/>
              <w:rPr>
                <w:color w:val="000000" w:themeColor="text1"/>
              </w:rPr>
            </w:pPr>
            <w:r w:rsidRPr="00E43527">
              <w:rPr>
                <w:color w:val="000000" w:themeColor="text1"/>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E32E321" w14:textId="77777777" w:rsidR="000F32D0" w:rsidRPr="00E43527" w:rsidRDefault="000F32D0" w:rsidP="00647C6A">
            <w:pPr>
              <w:pStyle w:val="naisc"/>
              <w:spacing w:before="0" w:after="0"/>
              <w:ind w:firstLine="21"/>
              <w:rPr>
                <w:color w:val="000000" w:themeColor="text1"/>
              </w:rPr>
            </w:pPr>
            <w:r w:rsidRPr="00E43527">
              <w:rPr>
                <w:color w:val="000000" w:themeColor="text1"/>
              </w:rPr>
              <w:t>Atbildīgās ministrijas norāde par to, ka iebildums ir ņemts vērā, vai informācija par saskaņošanā panākto alternatīvo risinājumu</w:t>
            </w:r>
          </w:p>
        </w:tc>
        <w:tc>
          <w:tcPr>
            <w:tcW w:w="3827" w:type="dxa"/>
            <w:tcBorders>
              <w:top w:val="single" w:sz="4" w:space="0" w:color="auto"/>
              <w:left w:val="single" w:sz="4" w:space="0" w:color="auto"/>
              <w:bottom w:val="single" w:sz="4" w:space="0" w:color="auto"/>
            </w:tcBorders>
            <w:vAlign w:val="center"/>
          </w:tcPr>
          <w:p w14:paraId="414038A3" w14:textId="77777777" w:rsidR="000F32D0" w:rsidRPr="00E43527" w:rsidRDefault="000F32D0" w:rsidP="00647C6A">
            <w:pPr>
              <w:jc w:val="center"/>
              <w:rPr>
                <w:color w:val="000000" w:themeColor="text1"/>
              </w:rPr>
            </w:pPr>
            <w:r w:rsidRPr="00E43527">
              <w:rPr>
                <w:color w:val="000000" w:themeColor="text1"/>
              </w:rPr>
              <w:t>Projekta attiecīgā punkta (panta) galīgā redakcija</w:t>
            </w:r>
          </w:p>
        </w:tc>
      </w:tr>
      <w:tr w:rsidR="00FB164A" w:rsidRPr="00E43527" w14:paraId="06813742" w14:textId="77777777" w:rsidTr="00647C6A">
        <w:tc>
          <w:tcPr>
            <w:tcW w:w="675" w:type="dxa"/>
            <w:tcBorders>
              <w:top w:val="single" w:sz="6" w:space="0" w:color="000000"/>
              <w:left w:val="single" w:sz="6" w:space="0" w:color="000000"/>
              <w:bottom w:val="single" w:sz="6" w:space="0" w:color="000000"/>
              <w:right w:val="single" w:sz="6" w:space="0" w:color="000000"/>
            </w:tcBorders>
          </w:tcPr>
          <w:p w14:paraId="6D634832" w14:textId="77777777" w:rsidR="000F32D0" w:rsidRPr="00E43527" w:rsidRDefault="000F32D0" w:rsidP="00647C6A">
            <w:pPr>
              <w:pStyle w:val="naisc"/>
              <w:spacing w:before="0" w:after="0"/>
              <w:rPr>
                <w:color w:val="000000" w:themeColor="text1"/>
              </w:rPr>
            </w:pPr>
            <w:r w:rsidRPr="00E43527">
              <w:rPr>
                <w:color w:val="000000" w:themeColor="text1"/>
              </w:rPr>
              <w:t>1</w:t>
            </w:r>
          </w:p>
        </w:tc>
        <w:tc>
          <w:tcPr>
            <w:tcW w:w="3119" w:type="dxa"/>
            <w:tcBorders>
              <w:top w:val="single" w:sz="6" w:space="0" w:color="000000"/>
              <w:left w:val="single" w:sz="6" w:space="0" w:color="000000"/>
              <w:bottom w:val="single" w:sz="6" w:space="0" w:color="000000"/>
              <w:right w:val="single" w:sz="6" w:space="0" w:color="000000"/>
            </w:tcBorders>
          </w:tcPr>
          <w:p w14:paraId="14D58E2B" w14:textId="77777777" w:rsidR="000F32D0" w:rsidRPr="00E43527" w:rsidRDefault="000F32D0" w:rsidP="00647C6A">
            <w:pPr>
              <w:pStyle w:val="naisc"/>
              <w:spacing w:before="0" w:after="0"/>
              <w:ind w:firstLine="720"/>
              <w:rPr>
                <w:color w:val="000000" w:themeColor="text1"/>
              </w:rPr>
            </w:pPr>
            <w:r w:rsidRPr="00E43527">
              <w:rPr>
                <w:color w:val="000000" w:themeColor="text1"/>
              </w:rPr>
              <w:t>2</w:t>
            </w:r>
          </w:p>
        </w:tc>
        <w:tc>
          <w:tcPr>
            <w:tcW w:w="4394" w:type="dxa"/>
            <w:tcBorders>
              <w:top w:val="single" w:sz="6" w:space="0" w:color="000000"/>
              <w:left w:val="single" w:sz="6" w:space="0" w:color="000000"/>
              <w:bottom w:val="single" w:sz="6" w:space="0" w:color="000000"/>
              <w:right w:val="single" w:sz="6" w:space="0" w:color="000000"/>
            </w:tcBorders>
          </w:tcPr>
          <w:p w14:paraId="5FBBBF97" w14:textId="77777777" w:rsidR="000F32D0" w:rsidRPr="00E43527" w:rsidRDefault="000F32D0" w:rsidP="00647C6A">
            <w:pPr>
              <w:pStyle w:val="naisc"/>
              <w:spacing w:before="0" w:after="0"/>
              <w:ind w:firstLine="720"/>
              <w:rPr>
                <w:color w:val="000000" w:themeColor="text1"/>
              </w:rPr>
            </w:pPr>
            <w:r w:rsidRPr="00E43527">
              <w:rPr>
                <w:color w:val="000000" w:themeColor="text1"/>
              </w:rPr>
              <w:t>3</w:t>
            </w:r>
          </w:p>
        </w:tc>
        <w:tc>
          <w:tcPr>
            <w:tcW w:w="2977" w:type="dxa"/>
            <w:tcBorders>
              <w:top w:val="single" w:sz="6" w:space="0" w:color="000000"/>
              <w:left w:val="single" w:sz="6" w:space="0" w:color="000000"/>
              <w:bottom w:val="single" w:sz="6" w:space="0" w:color="000000"/>
              <w:right w:val="single" w:sz="6" w:space="0" w:color="000000"/>
            </w:tcBorders>
          </w:tcPr>
          <w:p w14:paraId="40B1F7FF" w14:textId="77777777" w:rsidR="000F32D0" w:rsidRPr="00E43527" w:rsidRDefault="000F32D0" w:rsidP="00647C6A">
            <w:pPr>
              <w:pStyle w:val="naisc"/>
              <w:spacing w:before="0" w:after="0"/>
              <w:ind w:firstLine="720"/>
              <w:rPr>
                <w:color w:val="000000" w:themeColor="text1"/>
              </w:rPr>
            </w:pPr>
            <w:r w:rsidRPr="00E43527">
              <w:rPr>
                <w:color w:val="000000" w:themeColor="text1"/>
              </w:rPr>
              <w:t>4</w:t>
            </w:r>
          </w:p>
        </w:tc>
        <w:tc>
          <w:tcPr>
            <w:tcW w:w="3827" w:type="dxa"/>
            <w:tcBorders>
              <w:top w:val="single" w:sz="4" w:space="0" w:color="auto"/>
              <w:left w:val="single" w:sz="4" w:space="0" w:color="auto"/>
              <w:bottom w:val="single" w:sz="4" w:space="0" w:color="auto"/>
            </w:tcBorders>
          </w:tcPr>
          <w:p w14:paraId="0683B9F2" w14:textId="77777777" w:rsidR="000F32D0" w:rsidRPr="00E43527" w:rsidRDefault="000F32D0" w:rsidP="00647C6A">
            <w:pPr>
              <w:jc w:val="center"/>
              <w:rPr>
                <w:color w:val="000000" w:themeColor="text1"/>
              </w:rPr>
            </w:pPr>
            <w:r w:rsidRPr="00E43527">
              <w:rPr>
                <w:color w:val="000000" w:themeColor="text1"/>
              </w:rPr>
              <w:t>5</w:t>
            </w:r>
          </w:p>
        </w:tc>
      </w:tr>
      <w:tr w:rsidR="00FB164A" w:rsidRPr="00E43527" w14:paraId="483FC4D8" w14:textId="77777777" w:rsidTr="00647C6A">
        <w:tc>
          <w:tcPr>
            <w:tcW w:w="14992" w:type="dxa"/>
            <w:gridSpan w:val="5"/>
            <w:tcBorders>
              <w:left w:val="single" w:sz="6" w:space="0" w:color="000000"/>
              <w:bottom w:val="single" w:sz="4" w:space="0" w:color="auto"/>
            </w:tcBorders>
            <w:shd w:val="clear" w:color="auto" w:fill="E7E6E6"/>
          </w:tcPr>
          <w:p w14:paraId="26319740" w14:textId="77777777" w:rsidR="000F32D0" w:rsidRPr="00E43527" w:rsidRDefault="000F32D0" w:rsidP="00647C6A">
            <w:pPr>
              <w:pStyle w:val="naisc"/>
              <w:spacing w:before="0" w:after="0"/>
              <w:jc w:val="left"/>
              <w:rPr>
                <w:b/>
                <w:color w:val="000000" w:themeColor="text1"/>
              </w:rPr>
            </w:pPr>
          </w:p>
          <w:p w14:paraId="099DF998" w14:textId="50A64322" w:rsidR="000F32D0" w:rsidRPr="00E43527" w:rsidRDefault="00D86E91" w:rsidP="00B41B43">
            <w:pPr>
              <w:pStyle w:val="naisc"/>
              <w:spacing w:before="0" w:after="0"/>
              <w:jc w:val="left"/>
              <w:rPr>
                <w:b/>
                <w:color w:val="000000" w:themeColor="text1"/>
              </w:rPr>
            </w:pPr>
            <w:r w:rsidRPr="00D86E91">
              <w:rPr>
                <w:b/>
                <w:color w:val="000000" w:themeColor="text1"/>
              </w:rPr>
              <w:t>Labklājības ministrija</w:t>
            </w:r>
          </w:p>
          <w:p w14:paraId="0606A6F5" w14:textId="7097C643" w:rsidR="00B9379D" w:rsidRPr="00E43527" w:rsidRDefault="00B9379D" w:rsidP="00B41B43">
            <w:pPr>
              <w:pStyle w:val="naisc"/>
              <w:spacing w:before="0" w:after="0"/>
              <w:jc w:val="left"/>
              <w:rPr>
                <w:b/>
                <w:color w:val="000000" w:themeColor="text1"/>
              </w:rPr>
            </w:pPr>
          </w:p>
        </w:tc>
      </w:tr>
      <w:tr w:rsidR="00FB164A" w:rsidRPr="00E43527" w14:paraId="5D68AE6C" w14:textId="77777777" w:rsidTr="002C1FCC">
        <w:tc>
          <w:tcPr>
            <w:tcW w:w="675" w:type="dxa"/>
            <w:tcBorders>
              <w:left w:val="single" w:sz="6" w:space="0" w:color="000000"/>
              <w:bottom w:val="single" w:sz="4" w:space="0" w:color="auto"/>
              <w:right w:val="single" w:sz="6" w:space="0" w:color="000000"/>
            </w:tcBorders>
          </w:tcPr>
          <w:p w14:paraId="516F6304" w14:textId="3C3E16E6" w:rsidR="000F32D0" w:rsidRPr="00E43527" w:rsidRDefault="00843239" w:rsidP="00647C6A">
            <w:pPr>
              <w:pStyle w:val="naisc"/>
              <w:spacing w:before="0" w:after="0"/>
              <w:jc w:val="left"/>
              <w:rPr>
                <w:color w:val="000000" w:themeColor="text1"/>
              </w:rPr>
            </w:pPr>
            <w:r w:rsidRPr="00E43527">
              <w:rPr>
                <w:color w:val="000000" w:themeColor="text1"/>
              </w:rPr>
              <w:t>1</w:t>
            </w:r>
            <w:r w:rsidR="000F32D0" w:rsidRPr="00E43527">
              <w:rPr>
                <w:color w:val="000000" w:themeColor="text1"/>
              </w:rPr>
              <w:t>.</w:t>
            </w:r>
          </w:p>
        </w:tc>
        <w:tc>
          <w:tcPr>
            <w:tcW w:w="3119" w:type="dxa"/>
            <w:tcBorders>
              <w:left w:val="single" w:sz="6" w:space="0" w:color="000000"/>
              <w:bottom w:val="single" w:sz="4" w:space="0" w:color="auto"/>
              <w:right w:val="single" w:sz="6" w:space="0" w:color="000000"/>
            </w:tcBorders>
          </w:tcPr>
          <w:p w14:paraId="791C9F75" w14:textId="5B359775" w:rsidR="000F32D0" w:rsidRPr="00E43527" w:rsidRDefault="004920BF" w:rsidP="002C1FCC">
            <w:pPr>
              <w:pStyle w:val="naisc"/>
              <w:spacing w:before="0" w:after="0"/>
              <w:ind w:firstLine="720"/>
              <w:jc w:val="left"/>
              <w:rPr>
                <w:color w:val="000000" w:themeColor="text1"/>
              </w:rPr>
            </w:pPr>
            <w:r>
              <w:rPr>
                <w:color w:val="000000" w:themeColor="text1"/>
              </w:rPr>
              <w:t>I</w:t>
            </w:r>
            <w:r w:rsidRPr="004920BF">
              <w:rPr>
                <w:color w:val="000000" w:themeColor="text1"/>
              </w:rPr>
              <w:t xml:space="preserve">nformatīvā </w:t>
            </w:r>
            <w:r>
              <w:rPr>
                <w:color w:val="000000" w:themeColor="text1"/>
              </w:rPr>
              <w:t>z</w:t>
            </w:r>
            <w:r w:rsidR="002C1FCC" w:rsidRPr="002C1FCC">
              <w:rPr>
                <w:color w:val="000000" w:themeColor="text1"/>
              </w:rPr>
              <w:t xml:space="preserve">iņojuma </w:t>
            </w:r>
            <w:r w:rsidR="002C1FCC">
              <w:rPr>
                <w:color w:val="000000" w:themeColor="text1"/>
              </w:rPr>
              <w:t>1</w:t>
            </w:r>
            <w:r w:rsidR="002C1FCC" w:rsidRPr="002C1FCC">
              <w:rPr>
                <w:color w:val="000000" w:themeColor="text1"/>
              </w:rPr>
              <w:t>.punkt</w:t>
            </w:r>
            <w:r w:rsidR="002C1FCC">
              <w:rPr>
                <w:color w:val="000000" w:themeColor="text1"/>
              </w:rPr>
              <w:t>s</w:t>
            </w:r>
          </w:p>
        </w:tc>
        <w:tc>
          <w:tcPr>
            <w:tcW w:w="4394" w:type="dxa"/>
            <w:tcBorders>
              <w:left w:val="single" w:sz="6" w:space="0" w:color="000000"/>
              <w:bottom w:val="single" w:sz="4" w:space="0" w:color="auto"/>
              <w:right w:val="single" w:sz="6" w:space="0" w:color="000000"/>
            </w:tcBorders>
          </w:tcPr>
          <w:p w14:paraId="54573270" w14:textId="756E0BC3" w:rsidR="000F32D0" w:rsidRPr="00E43527" w:rsidRDefault="002C1FCC" w:rsidP="002C1FCC">
            <w:pPr>
              <w:pStyle w:val="NormalWeb"/>
              <w:ind w:right="13" w:firstLine="720"/>
              <w:jc w:val="both"/>
              <w:rPr>
                <w:color w:val="000000" w:themeColor="text1"/>
              </w:rPr>
            </w:pPr>
            <w:r w:rsidRPr="002C1FCC">
              <w:rPr>
                <w:color w:val="000000" w:themeColor="text1"/>
              </w:rPr>
              <w:t xml:space="preserve">Pēc Finanšu ministrijas lūguma Labklājības ministrija ar 2020.gada 21.janvāra vēstuli Nr. 40-1-04/85 un 2021.gada 8.marta vēstuli Nr. 40-1-04/405 sniedza viedokli par Sauszemes transportlīdzekļu īpašnieku civiltiesiskās atbildības obligātās apdrošināšanas (turpmāk – OCTA) prēmijas samazinājuma lietderību, samērīgumu un ietekmi uz personu ar invaliditāti finansiālo situāciju. Labklājības ministrijas ieskatā ziņojuma 1.punkts Apdrošināšanas prēmijas samazinājums personām ar invaliditāti būtu papildināms arī ar informāciju par personu ar invaliditāti ienākumiem, lai situācijas izvērtēšanai būtu atspoguļota informācija par šīs </w:t>
            </w:r>
            <w:proofErr w:type="spellStart"/>
            <w:r w:rsidRPr="002C1FCC">
              <w:rPr>
                <w:color w:val="000000" w:themeColor="text1"/>
              </w:rPr>
              <w:t>mērķgrupas</w:t>
            </w:r>
            <w:proofErr w:type="spellEnd"/>
            <w:r w:rsidRPr="002C1FCC">
              <w:rPr>
                <w:color w:val="000000" w:themeColor="text1"/>
              </w:rPr>
              <w:t xml:space="preserve"> ienākumu līmeni un šādas atlaides nozīmību.</w:t>
            </w:r>
          </w:p>
        </w:tc>
        <w:tc>
          <w:tcPr>
            <w:tcW w:w="2977" w:type="dxa"/>
            <w:tcBorders>
              <w:left w:val="single" w:sz="6" w:space="0" w:color="000000"/>
              <w:bottom w:val="single" w:sz="4" w:space="0" w:color="auto"/>
              <w:right w:val="single" w:sz="6" w:space="0" w:color="000000"/>
            </w:tcBorders>
          </w:tcPr>
          <w:p w14:paraId="3036D5BE" w14:textId="627A97CB" w:rsidR="000F32D0" w:rsidRPr="00E43527" w:rsidRDefault="00FF2645" w:rsidP="00FF2645">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t>Ņemts vērā.</w:t>
            </w:r>
          </w:p>
        </w:tc>
        <w:tc>
          <w:tcPr>
            <w:tcW w:w="3827" w:type="dxa"/>
            <w:tcBorders>
              <w:top w:val="single" w:sz="4" w:space="0" w:color="auto"/>
              <w:left w:val="single" w:sz="4" w:space="0" w:color="auto"/>
              <w:bottom w:val="single" w:sz="4" w:space="0" w:color="auto"/>
            </w:tcBorders>
          </w:tcPr>
          <w:p w14:paraId="3F7498BE" w14:textId="22A8DBCC" w:rsidR="00636FDF" w:rsidRDefault="00DC3A4B" w:rsidP="00636FDF">
            <w:pPr>
              <w:jc w:val="both"/>
              <w:rPr>
                <w:color w:val="000000" w:themeColor="text1"/>
              </w:rPr>
            </w:pPr>
            <w:r>
              <w:rPr>
                <w:color w:val="000000" w:themeColor="text1"/>
              </w:rPr>
              <w:t>I</w:t>
            </w:r>
            <w:r w:rsidRPr="004920BF">
              <w:rPr>
                <w:color w:val="000000" w:themeColor="text1"/>
              </w:rPr>
              <w:t xml:space="preserve">nformatīvā </w:t>
            </w:r>
            <w:r>
              <w:rPr>
                <w:color w:val="000000" w:themeColor="text1"/>
              </w:rPr>
              <w:t>z</w:t>
            </w:r>
            <w:r w:rsidRPr="002C1FCC">
              <w:rPr>
                <w:color w:val="000000" w:themeColor="text1"/>
              </w:rPr>
              <w:t xml:space="preserve">iņojuma </w:t>
            </w:r>
            <w:r>
              <w:rPr>
                <w:color w:val="000000" w:themeColor="text1"/>
              </w:rPr>
              <w:t>1</w:t>
            </w:r>
            <w:r w:rsidRPr="002C1FCC">
              <w:rPr>
                <w:color w:val="000000" w:themeColor="text1"/>
              </w:rPr>
              <w:t>.punkt</w:t>
            </w:r>
            <w:r>
              <w:rPr>
                <w:color w:val="000000" w:themeColor="text1"/>
              </w:rPr>
              <w:t xml:space="preserve">s ir papildināts ar </w:t>
            </w:r>
            <w:r w:rsidR="00EA7205">
              <w:rPr>
                <w:color w:val="000000" w:themeColor="text1"/>
              </w:rPr>
              <w:t>rindkopu šādā redakcijā:</w:t>
            </w:r>
          </w:p>
          <w:p w14:paraId="4304F58E" w14:textId="07E59D55" w:rsidR="00EA7205" w:rsidRDefault="00EA7205" w:rsidP="00636FDF">
            <w:pPr>
              <w:jc w:val="both"/>
              <w:rPr>
                <w:color w:val="000000" w:themeColor="text1"/>
              </w:rPr>
            </w:pPr>
            <w:r>
              <w:rPr>
                <w:color w:val="000000" w:themeColor="text1"/>
              </w:rPr>
              <w:t>“</w:t>
            </w:r>
            <w:r w:rsidRPr="00EA7205">
              <w:rPr>
                <w:color w:val="000000" w:themeColor="text1"/>
              </w:rPr>
              <w:t xml:space="preserve">Pēc Finanšu ministrijas lūguma Labklājības ministrija ar 2020.gada 21.janvāra vēstuli Nr.40-1-04/85 un 2021.gada 8.marta vēstuli Nr.40-1-04/405 sniedza viedokli par OCTA prēmijas samazinājuma lietderību, samērīgumu un ietekmi uz personu ar invaliditāti finansiālo situāciju, kā arī atspoguļoja informāciju par šīs </w:t>
            </w:r>
            <w:proofErr w:type="spellStart"/>
            <w:r w:rsidRPr="00EA7205">
              <w:rPr>
                <w:color w:val="000000" w:themeColor="text1"/>
              </w:rPr>
              <w:t>mērķgrupas</w:t>
            </w:r>
            <w:proofErr w:type="spellEnd"/>
            <w:r w:rsidRPr="00EA7205">
              <w:rPr>
                <w:color w:val="000000" w:themeColor="text1"/>
              </w:rPr>
              <w:t xml:space="preserve"> ienākumu līmeni un OCTA prēmijas samazinājuma nozīmību person</w:t>
            </w:r>
            <w:r>
              <w:rPr>
                <w:color w:val="000000" w:themeColor="text1"/>
              </w:rPr>
              <w:t>ām</w:t>
            </w:r>
            <w:r w:rsidRPr="00EA7205">
              <w:rPr>
                <w:color w:val="000000" w:themeColor="text1"/>
              </w:rPr>
              <w:t xml:space="preserve"> ar invaliditāti (sk. pielikumu).</w:t>
            </w:r>
            <w:r>
              <w:rPr>
                <w:color w:val="000000" w:themeColor="text1"/>
              </w:rPr>
              <w:t>”</w:t>
            </w:r>
          </w:p>
          <w:p w14:paraId="42B2B8CF" w14:textId="13ABC36B" w:rsidR="00EA7205" w:rsidRPr="00E43527" w:rsidRDefault="00EA7205" w:rsidP="00636FDF">
            <w:pPr>
              <w:jc w:val="both"/>
              <w:rPr>
                <w:color w:val="000000" w:themeColor="text1"/>
              </w:rPr>
            </w:pPr>
          </w:p>
        </w:tc>
      </w:tr>
      <w:tr w:rsidR="00FB164A" w:rsidRPr="00E43527" w14:paraId="17DB94D6" w14:textId="77777777" w:rsidTr="00AE4254">
        <w:tc>
          <w:tcPr>
            <w:tcW w:w="675" w:type="dxa"/>
            <w:tcBorders>
              <w:left w:val="single" w:sz="6" w:space="0" w:color="000000"/>
              <w:bottom w:val="single" w:sz="4" w:space="0" w:color="auto"/>
              <w:right w:val="single" w:sz="6" w:space="0" w:color="000000"/>
            </w:tcBorders>
          </w:tcPr>
          <w:p w14:paraId="13F83B2E" w14:textId="0C7B1C72" w:rsidR="000F32D0" w:rsidRPr="00E43527" w:rsidRDefault="00843239" w:rsidP="00647C6A">
            <w:pPr>
              <w:pStyle w:val="naisc"/>
              <w:spacing w:before="0" w:after="0"/>
              <w:jc w:val="left"/>
              <w:rPr>
                <w:color w:val="000000" w:themeColor="text1"/>
              </w:rPr>
            </w:pPr>
            <w:r w:rsidRPr="00E43527">
              <w:rPr>
                <w:color w:val="000000" w:themeColor="text1"/>
              </w:rPr>
              <w:lastRenderedPageBreak/>
              <w:t>2</w:t>
            </w:r>
            <w:r w:rsidR="000F32D0" w:rsidRPr="00E43527">
              <w:rPr>
                <w:color w:val="000000" w:themeColor="text1"/>
              </w:rPr>
              <w:t>.</w:t>
            </w:r>
          </w:p>
        </w:tc>
        <w:tc>
          <w:tcPr>
            <w:tcW w:w="3119" w:type="dxa"/>
            <w:tcBorders>
              <w:left w:val="single" w:sz="6" w:space="0" w:color="000000"/>
              <w:bottom w:val="single" w:sz="4" w:space="0" w:color="auto"/>
              <w:right w:val="single" w:sz="6" w:space="0" w:color="000000"/>
            </w:tcBorders>
          </w:tcPr>
          <w:p w14:paraId="3A1EC9E3" w14:textId="578A8471" w:rsidR="000F32D0" w:rsidRPr="00E43527" w:rsidRDefault="004920BF" w:rsidP="00843239">
            <w:pPr>
              <w:jc w:val="both"/>
              <w:rPr>
                <w:color w:val="000000" w:themeColor="text1"/>
              </w:rPr>
            </w:pPr>
            <w:r>
              <w:rPr>
                <w:color w:val="000000" w:themeColor="text1"/>
              </w:rPr>
              <w:t>I</w:t>
            </w:r>
            <w:r w:rsidRPr="004920BF">
              <w:rPr>
                <w:color w:val="000000" w:themeColor="text1"/>
              </w:rPr>
              <w:t xml:space="preserve">nformatīvā </w:t>
            </w:r>
            <w:r>
              <w:rPr>
                <w:color w:val="000000" w:themeColor="text1"/>
              </w:rPr>
              <w:t>z</w:t>
            </w:r>
            <w:r w:rsidR="002C1FCC" w:rsidRPr="002C1FCC">
              <w:rPr>
                <w:color w:val="000000" w:themeColor="text1"/>
              </w:rPr>
              <w:t xml:space="preserve">iņojuma </w:t>
            </w:r>
            <w:r w:rsidR="002C1FCC">
              <w:rPr>
                <w:color w:val="000000" w:themeColor="text1"/>
              </w:rPr>
              <w:t>3</w:t>
            </w:r>
            <w:r w:rsidR="002C1FCC" w:rsidRPr="002C1FCC">
              <w:rPr>
                <w:color w:val="000000" w:themeColor="text1"/>
              </w:rPr>
              <w:t>.punkt</w:t>
            </w:r>
            <w:r w:rsidR="002C1FCC">
              <w:rPr>
                <w:color w:val="000000" w:themeColor="text1"/>
              </w:rPr>
              <w:t>s</w:t>
            </w:r>
          </w:p>
        </w:tc>
        <w:tc>
          <w:tcPr>
            <w:tcW w:w="4394" w:type="dxa"/>
            <w:tcBorders>
              <w:left w:val="single" w:sz="6" w:space="0" w:color="000000"/>
              <w:bottom w:val="single" w:sz="4" w:space="0" w:color="auto"/>
              <w:right w:val="single" w:sz="6" w:space="0" w:color="000000"/>
            </w:tcBorders>
          </w:tcPr>
          <w:p w14:paraId="6352F80B" w14:textId="2103FDD5" w:rsidR="002C1FCC" w:rsidRPr="002C1FCC" w:rsidRDefault="002C1FCC" w:rsidP="002C1FCC">
            <w:pPr>
              <w:pStyle w:val="NormalWeb"/>
              <w:ind w:right="13" w:firstLine="720"/>
              <w:jc w:val="both"/>
              <w:rPr>
                <w:color w:val="000000" w:themeColor="text1"/>
              </w:rPr>
            </w:pPr>
            <w:r w:rsidRPr="002C1FCC">
              <w:rPr>
                <w:color w:val="000000" w:themeColor="text1"/>
              </w:rPr>
              <w:tab/>
              <w:t xml:space="preserve">Ziņojuma 3.punktā  Apdrošināšanas prēmiju maksājumu samazināšanas finansēšanas kārtība ir minēts, ka 2004.gadā, stājās spēkā pašreizējais OCTA likums, kurš paredz, ka apdrošinātāji prēmiju apmērus nosaka brīvas konkurences apstākļos. Tomēr kā konstatējusi Konkurences padome 2019. gada jūnijā publicētajā Sauszemes transportlīdzekļu īpašnieku civiltiesiskās atbildības obligātās apdrošināšanas tirgus uzraudzības noslēguma ziņojumā  (turpmāk – KP ziņojums), tad OCTA tirgus nedarbojas brīvas konkurences apstākļos, kur pakalpojuma piedāvātāji konkurē savā starpā ar pakalpojuma kvalitāti un cenu, lai iegūtu klientu. Tirgus specifikas dēļ apdrošināšanas sabiedrības, nosakot OCTA prēmiju, nav ierobežotas tās paaugstinājumā un, ņemot vērā tirgus caurskatāmību, realizē to, sekojot konkurentu rīcībai (KP ziņojuma 21.rindkopa). Tādējādi Labklājības ministrijas ieskatā ziņojums būtu papildināms ar </w:t>
            </w:r>
            <w:proofErr w:type="spellStart"/>
            <w:r w:rsidRPr="002C1FCC">
              <w:rPr>
                <w:color w:val="000000" w:themeColor="text1"/>
              </w:rPr>
              <w:t>izvērtējumu</w:t>
            </w:r>
            <w:proofErr w:type="spellEnd"/>
            <w:r w:rsidRPr="002C1FCC">
              <w:rPr>
                <w:color w:val="000000" w:themeColor="text1"/>
              </w:rPr>
              <w:t xml:space="preserve"> par konkurences ietekmi OCTA prēmiju noteikšanā, veiktajām un ieplānotajām darbībām konkurences stiprināšanai. </w:t>
            </w:r>
          </w:p>
          <w:p w14:paraId="49940F7D" w14:textId="79762AA3" w:rsidR="007B1D7A" w:rsidRPr="00E43527" w:rsidRDefault="007B1D7A" w:rsidP="00D86E91">
            <w:pPr>
              <w:pStyle w:val="NormalWeb"/>
              <w:ind w:right="13" w:firstLine="720"/>
              <w:jc w:val="both"/>
              <w:rPr>
                <w:color w:val="000000" w:themeColor="text1"/>
              </w:rPr>
            </w:pPr>
          </w:p>
        </w:tc>
        <w:tc>
          <w:tcPr>
            <w:tcW w:w="2977" w:type="dxa"/>
            <w:tcBorders>
              <w:left w:val="single" w:sz="6" w:space="0" w:color="000000"/>
              <w:bottom w:val="single" w:sz="4" w:space="0" w:color="auto"/>
              <w:right w:val="single" w:sz="6" w:space="0" w:color="000000"/>
            </w:tcBorders>
          </w:tcPr>
          <w:p w14:paraId="348CF878" w14:textId="77777777" w:rsidR="000F32D0" w:rsidRDefault="008D3C1C" w:rsidP="00BF1C91">
            <w:pPr>
              <w:pStyle w:val="ListParagraph"/>
              <w:spacing w:after="0"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Daļēji ņ</w:t>
            </w:r>
            <w:r w:rsidRPr="00E43527">
              <w:rPr>
                <w:rFonts w:ascii="Times New Roman" w:hAnsi="Times New Roman"/>
                <w:b/>
                <w:bCs/>
                <w:color w:val="000000" w:themeColor="text1"/>
                <w:sz w:val="24"/>
                <w:szCs w:val="24"/>
              </w:rPr>
              <w:t>emts vērā.</w:t>
            </w:r>
            <w:r w:rsidR="00BF1C91">
              <w:rPr>
                <w:rFonts w:ascii="Times New Roman" w:hAnsi="Times New Roman"/>
                <w:b/>
                <w:bCs/>
                <w:color w:val="000000" w:themeColor="text1"/>
                <w:sz w:val="24"/>
                <w:szCs w:val="24"/>
              </w:rPr>
              <w:t xml:space="preserve"> </w:t>
            </w:r>
          </w:p>
          <w:p w14:paraId="6CC39C9E" w14:textId="1FAC435B" w:rsidR="00BF1C91" w:rsidRPr="00BF1C91" w:rsidRDefault="00BF1C91" w:rsidP="00BF1C91">
            <w:pPr>
              <w:pStyle w:val="ListParagraph"/>
              <w:spacing w:after="0" w:line="240" w:lineRule="auto"/>
              <w:ind w:left="0"/>
              <w:jc w:val="both"/>
              <w:rPr>
                <w:rFonts w:ascii="Times New Roman" w:hAnsi="Times New Roman"/>
                <w:color w:val="000000" w:themeColor="text1"/>
                <w:sz w:val="24"/>
                <w:szCs w:val="24"/>
              </w:rPr>
            </w:pPr>
            <w:r w:rsidRPr="00BF1C91">
              <w:rPr>
                <w:rFonts w:ascii="Times New Roman" w:hAnsi="Times New Roman"/>
                <w:color w:val="000000" w:themeColor="text1"/>
                <w:sz w:val="24"/>
                <w:szCs w:val="24"/>
              </w:rPr>
              <w:t>Konkurences padomes 2019. gada jūnijā publicētajā Sauszemes transportlīdzekļu īpašnieku civiltiesiskās atbildības obligātās apdrošināšanas tirgus uzraudzības noslēguma ziņojumā  konstatēto problēmu risināšanai Valsts sekretāru sanāksmē ir izsludināts</w:t>
            </w:r>
            <w:r>
              <w:rPr>
                <w:rFonts w:ascii="Times New Roman" w:hAnsi="Times New Roman"/>
                <w:color w:val="000000" w:themeColor="text1"/>
                <w:sz w:val="24"/>
                <w:szCs w:val="24"/>
              </w:rPr>
              <w:t xml:space="preserve"> </w:t>
            </w:r>
            <w:r w:rsidRPr="00BF1C91">
              <w:rPr>
                <w:rFonts w:ascii="Times New Roman" w:hAnsi="Times New Roman"/>
                <w:color w:val="000000" w:themeColor="text1"/>
                <w:sz w:val="24"/>
                <w:szCs w:val="24"/>
              </w:rPr>
              <w:t>likumprojekts</w:t>
            </w:r>
            <w:r>
              <w:t xml:space="preserve"> </w:t>
            </w:r>
            <w:r>
              <w:rPr>
                <w:rFonts w:ascii="Times New Roman" w:hAnsi="Times New Roman"/>
                <w:color w:val="000000" w:themeColor="text1"/>
                <w:sz w:val="24"/>
                <w:szCs w:val="24"/>
              </w:rPr>
              <w:t>“</w:t>
            </w:r>
            <w:r w:rsidRPr="00BF1C91">
              <w:rPr>
                <w:rFonts w:ascii="Times New Roman" w:hAnsi="Times New Roman"/>
                <w:color w:val="000000" w:themeColor="text1"/>
                <w:sz w:val="24"/>
                <w:szCs w:val="24"/>
              </w:rPr>
              <w:t>Grozījumi Sauszemes transportlīdzekļu īpašnieku civiltiesiskās atbildības obligātās apdrošināšanas likumā</w:t>
            </w:r>
            <w:r>
              <w:rPr>
                <w:rFonts w:ascii="Times New Roman" w:hAnsi="Times New Roman"/>
                <w:color w:val="000000" w:themeColor="text1"/>
                <w:sz w:val="24"/>
                <w:szCs w:val="24"/>
              </w:rPr>
              <w:t>”</w:t>
            </w:r>
            <w:r w:rsidRPr="00BF1C91">
              <w:rPr>
                <w:rFonts w:ascii="Times New Roman" w:hAnsi="Times New Roman"/>
                <w:color w:val="000000" w:themeColor="text1"/>
                <w:sz w:val="24"/>
                <w:szCs w:val="24"/>
              </w:rPr>
              <w:t xml:space="preserve"> (VSS-617), kas pašlaik atrodas saskaņošanas posmā ar iesaistītajam institūcijām. </w:t>
            </w:r>
          </w:p>
        </w:tc>
        <w:tc>
          <w:tcPr>
            <w:tcW w:w="3827" w:type="dxa"/>
            <w:tcBorders>
              <w:top w:val="single" w:sz="4" w:space="0" w:color="auto"/>
              <w:left w:val="single" w:sz="4" w:space="0" w:color="auto"/>
              <w:bottom w:val="single" w:sz="4" w:space="0" w:color="auto"/>
            </w:tcBorders>
          </w:tcPr>
          <w:p w14:paraId="13240103" w14:textId="77777777" w:rsidR="00DC79DD" w:rsidRDefault="009971A8" w:rsidP="00D86E91">
            <w:pPr>
              <w:tabs>
                <w:tab w:val="left" w:pos="993"/>
              </w:tabs>
              <w:ind w:firstLine="720"/>
              <w:jc w:val="both"/>
              <w:rPr>
                <w:color w:val="000000" w:themeColor="text1"/>
              </w:rPr>
            </w:pPr>
            <w:r>
              <w:rPr>
                <w:color w:val="000000" w:themeColor="text1"/>
              </w:rPr>
              <w:t>I</w:t>
            </w:r>
            <w:r w:rsidRPr="004920BF">
              <w:rPr>
                <w:color w:val="000000" w:themeColor="text1"/>
              </w:rPr>
              <w:t xml:space="preserve">nformatīvā </w:t>
            </w:r>
            <w:r>
              <w:rPr>
                <w:color w:val="000000" w:themeColor="text1"/>
              </w:rPr>
              <w:t>z</w:t>
            </w:r>
            <w:r w:rsidRPr="002C1FCC">
              <w:rPr>
                <w:color w:val="000000" w:themeColor="text1"/>
              </w:rPr>
              <w:t xml:space="preserve">iņojuma </w:t>
            </w:r>
            <w:r>
              <w:rPr>
                <w:color w:val="000000" w:themeColor="text1"/>
              </w:rPr>
              <w:t>3</w:t>
            </w:r>
            <w:r w:rsidRPr="002C1FCC">
              <w:rPr>
                <w:color w:val="000000" w:themeColor="text1"/>
              </w:rPr>
              <w:t>.punkt</w:t>
            </w:r>
            <w:r>
              <w:rPr>
                <w:color w:val="000000" w:themeColor="text1"/>
              </w:rPr>
              <w:t>a otrais teikums</w:t>
            </w:r>
            <w:r w:rsidR="008A42AD">
              <w:rPr>
                <w:color w:val="000000" w:themeColor="text1"/>
              </w:rPr>
              <w:t xml:space="preserve"> precizēts šādi</w:t>
            </w:r>
            <w:r>
              <w:rPr>
                <w:color w:val="000000" w:themeColor="text1"/>
              </w:rPr>
              <w:t>: “</w:t>
            </w:r>
            <w:r w:rsidRPr="009971A8">
              <w:rPr>
                <w:color w:val="000000" w:themeColor="text1"/>
              </w:rPr>
              <w:t>2004.gadā, spēkā stājoties pašreizējam OCTA likumam un paredzot, ka apdrošinātāji paši veido prēmiju apmēru noteikšanas politiku, OCTA likumā tika ietverts jauns regulējums, kas paredz, ka apdrošināšanas prēmijas maksājumu samazinājums tiek kompensēts no Garantijas fonda.</w:t>
            </w:r>
            <w:r>
              <w:rPr>
                <w:color w:val="000000" w:themeColor="text1"/>
              </w:rPr>
              <w:t>”</w:t>
            </w:r>
          </w:p>
          <w:p w14:paraId="275C37F6" w14:textId="0ED16BDF" w:rsidR="00E25FB2" w:rsidRPr="00E43527" w:rsidRDefault="00E25FB2" w:rsidP="00D86E91">
            <w:pPr>
              <w:tabs>
                <w:tab w:val="left" w:pos="993"/>
              </w:tabs>
              <w:ind w:firstLine="720"/>
              <w:jc w:val="both"/>
              <w:rPr>
                <w:color w:val="000000" w:themeColor="text1"/>
              </w:rPr>
            </w:pPr>
          </w:p>
        </w:tc>
      </w:tr>
    </w:tbl>
    <w:p w14:paraId="20D28F07" w14:textId="4C8AA843" w:rsidR="001008E9" w:rsidRPr="00E43527" w:rsidRDefault="0088543D">
      <w:pPr>
        <w:rPr>
          <w:color w:val="000000" w:themeColor="text1"/>
        </w:rPr>
      </w:pPr>
    </w:p>
    <w:p w14:paraId="7E65FAC9" w14:textId="2952F92A" w:rsidR="00502B53" w:rsidRPr="00E43527" w:rsidRDefault="00502B53">
      <w:pPr>
        <w:rPr>
          <w:color w:val="000000" w:themeColor="text1"/>
        </w:rPr>
      </w:pPr>
    </w:p>
    <w:p w14:paraId="6F2D9BBE" w14:textId="77777777" w:rsidR="00502B53" w:rsidRPr="00E43527" w:rsidRDefault="00502B53">
      <w:pPr>
        <w:rPr>
          <w:color w:val="000000" w:themeColor="text1"/>
        </w:rPr>
      </w:pPr>
    </w:p>
    <w:tbl>
      <w:tblPr>
        <w:tblW w:w="14992" w:type="dxa"/>
        <w:tblLayout w:type="fixed"/>
        <w:tblLook w:val="00A0" w:firstRow="1" w:lastRow="0" w:firstColumn="1" w:lastColumn="0" w:noHBand="0" w:noVBand="0"/>
      </w:tblPr>
      <w:tblGrid>
        <w:gridCol w:w="5017"/>
        <w:gridCol w:w="9975"/>
      </w:tblGrid>
      <w:tr w:rsidR="00C47FCD" w:rsidRPr="00E43527" w14:paraId="4FDC819F" w14:textId="77777777" w:rsidTr="003D52CF">
        <w:tc>
          <w:tcPr>
            <w:tcW w:w="3108" w:type="dxa"/>
          </w:tcPr>
          <w:p w14:paraId="4041386A" w14:textId="77777777" w:rsidR="00C47FCD" w:rsidRPr="00E43527" w:rsidRDefault="00C47FCD" w:rsidP="003D52CF">
            <w:pPr>
              <w:pStyle w:val="naiskr"/>
              <w:spacing w:before="0" w:after="0"/>
            </w:pPr>
          </w:p>
          <w:p w14:paraId="211E055D" w14:textId="77777777" w:rsidR="00C47FCD" w:rsidRPr="00E43527" w:rsidRDefault="00C47FCD" w:rsidP="003D52CF">
            <w:pPr>
              <w:pStyle w:val="naiskr"/>
              <w:spacing w:before="0" w:after="0"/>
            </w:pPr>
            <w:r w:rsidRPr="00E43527">
              <w:t>Atbildīgā amatpersona</w:t>
            </w:r>
          </w:p>
        </w:tc>
        <w:tc>
          <w:tcPr>
            <w:tcW w:w="6179" w:type="dxa"/>
          </w:tcPr>
          <w:p w14:paraId="17C085DF" w14:textId="77777777" w:rsidR="00C47FCD" w:rsidRPr="00E43527" w:rsidRDefault="00C47FCD" w:rsidP="003D52CF">
            <w:pPr>
              <w:pStyle w:val="naiskr"/>
              <w:spacing w:before="0" w:after="0"/>
              <w:ind w:firstLine="720"/>
            </w:pPr>
            <w:r w:rsidRPr="00E43527">
              <w:t>  </w:t>
            </w:r>
          </w:p>
        </w:tc>
      </w:tr>
      <w:tr w:rsidR="00C47FCD" w:rsidRPr="00E43527" w14:paraId="7ABFE21C" w14:textId="77777777" w:rsidTr="003D52CF">
        <w:tc>
          <w:tcPr>
            <w:tcW w:w="3108" w:type="dxa"/>
          </w:tcPr>
          <w:p w14:paraId="596580C9" w14:textId="77777777" w:rsidR="00C47FCD" w:rsidRPr="00E43527" w:rsidRDefault="00C47FCD" w:rsidP="003D52CF">
            <w:pPr>
              <w:pStyle w:val="naiskr"/>
              <w:spacing w:before="0" w:after="0"/>
              <w:ind w:firstLine="720"/>
            </w:pPr>
          </w:p>
        </w:tc>
        <w:tc>
          <w:tcPr>
            <w:tcW w:w="6179" w:type="dxa"/>
            <w:tcBorders>
              <w:top w:val="single" w:sz="6" w:space="0" w:color="000000"/>
            </w:tcBorders>
          </w:tcPr>
          <w:p w14:paraId="260A7890" w14:textId="77777777" w:rsidR="00C47FCD" w:rsidRPr="00E43527" w:rsidRDefault="00C47FCD" w:rsidP="003D52CF">
            <w:pPr>
              <w:pStyle w:val="naisc"/>
              <w:spacing w:before="0" w:after="0"/>
              <w:ind w:firstLine="720"/>
            </w:pPr>
            <w:r w:rsidRPr="00E43527">
              <w:t>(paraksts)*</w:t>
            </w:r>
          </w:p>
        </w:tc>
      </w:tr>
    </w:tbl>
    <w:p w14:paraId="22F0372A" w14:textId="77777777" w:rsidR="00C47FCD" w:rsidRPr="00E43527" w:rsidRDefault="00C47FCD" w:rsidP="00C47FCD">
      <w:pPr>
        <w:pStyle w:val="naisf"/>
        <w:spacing w:before="0" w:after="0"/>
        <w:ind w:firstLine="720"/>
      </w:pPr>
    </w:p>
    <w:p w14:paraId="748100B3" w14:textId="77777777" w:rsidR="00C47FCD" w:rsidRPr="00E43527" w:rsidRDefault="00C47FCD" w:rsidP="00C47FCD">
      <w:pPr>
        <w:pStyle w:val="naisf"/>
        <w:spacing w:before="0" w:after="0"/>
        <w:ind w:firstLine="720"/>
        <w:jc w:val="left"/>
      </w:pPr>
      <w:r w:rsidRPr="00E43527">
        <w:t>Piezīme. * Dokumenta rekvizītu "paraksts" neaizpilda, ja elektroniskais dokuments ir sagatavots atbilstoši normatīvajiem aktiem par elektronisko dokumentu noformēšanu.</w:t>
      </w:r>
    </w:p>
    <w:p w14:paraId="387CFF00" w14:textId="77777777" w:rsidR="00C47FCD" w:rsidRPr="00E43527" w:rsidRDefault="00C47FCD" w:rsidP="00C47FCD">
      <w:pPr>
        <w:pStyle w:val="naisf"/>
        <w:spacing w:before="0" w:after="0"/>
        <w:ind w:firstLine="720"/>
        <w:jc w:val="left"/>
      </w:pPr>
    </w:p>
    <w:p w14:paraId="2E4F7C64" w14:textId="77777777" w:rsidR="00C47FCD" w:rsidRPr="00E43527" w:rsidRDefault="00C47FCD" w:rsidP="00C47FCD">
      <w:pPr>
        <w:pStyle w:val="naisf"/>
        <w:spacing w:before="0" w:after="0"/>
        <w:ind w:firstLine="720"/>
        <w:jc w:val="left"/>
      </w:pPr>
      <w:r w:rsidRPr="00E43527">
        <w:t>Inese Albova</w:t>
      </w:r>
    </w:p>
    <w:tbl>
      <w:tblPr>
        <w:tblW w:w="0" w:type="auto"/>
        <w:tblLook w:val="00A0" w:firstRow="1" w:lastRow="0" w:firstColumn="1" w:lastColumn="0" w:noHBand="0" w:noVBand="0"/>
      </w:tblPr>
      <w:tblGrid>
        <w:gridCol w:w="8268"/>
      </w:tblGrid>
      <w:tr w:rsidR="00C47FCD" w:rsidRPr="00E43527" w14:paraId="3CADC295" w14:textId="77777777" w:rsidTr="003D52CF">
        <w:tc>
          <w:tcPr>
            <w:tcW w:w="8268" w:type="dxa"/>
            <w:tcBorders>
              <w:top w:val="single" w:sz="4" w:space="0" w:color="000000"/>
            </w:tcBorders>
          </w:tcPr>
          <w:p w14:paraId="3A63D68E" w14:textId="77777777" w:rsidR="00C47FCD" w:rsidRPr="00E43527" w:rsidRDefault="00C47FCD" w:rsidP="003D52CF">
            <w:r w:rsidRPr="00E43527">
              <w:t>(par projektu atbildīgās amatpersonas vārds un uzvārds)</w:t>
            </w:r>
          </w:p>
          <w:p w14:paraId="232AD157" w14:textId="77777777" w:rsidR="00C47FCD" w:rsidRPr="00E43527" w:rsidRDefault="00C47FCD" w:rsidP="003D52CF">
            <w:pPr>
              <w:jc w:val="center"/>
            </w:pPr>
          </w:p>
        </w:tc>
      </w:tr>
      <w:tr w:rsidR="00C47FCD" w:rsidRPr="00E43527" w14:paraId="5B5CDA9C" w14:textId="77777777" w:rsidTr="003D52CF">
        <w:tc>
          <w:tcPr>
            <w:tcW w:w="8268" w:type="dxa"/>
            <w:tcBorders>
              <w:bottom w:val="single" w:sz="4" w:space="0" w:color="000000"/>
            </w:tcBorders>
          </w:tcPr>
          <w:p w14:paraId="710EAF02" w14:textId="77777777" w:rsidR="00C47FCD" w:rsidRPr="00E43527" w:rsidRDefault="00C47FCD" w:rsidP="003D52CF">
            <w:r w:rsidRPr="00E43527">
              <w:t>Finanšu ministrijas Finanšu tirgus politikas departamenta Kapitāla tirgus un apdrošināšanas politikas nodaļas juriskonsulte</w:t>
            </w:r>
          </w:p>
        </w:tc>
      </w:tr>
      <w:tr w:rsidR="00C47FCD" w:rsidRPr="00E43527" w14:paraId="7CEF4CD9" w14:textId="77777777" w:rsidTr="003D52CF">
        <w:tc>
          <w:tcPr>
            <w:tcW w:w="8268" w:type="dxa"/>
            <w:tcBorders>
              <w:top w:val="single" w:sz="4" w:space="0" w:color="000000"/>
            </w:tcBorders>
          </w:tcPr>
          <w:p w14:paraId="143B6851" w14:textId="77777777" w:rsidR="00C47FCD" w:rsidRPr="00E43527" w:rsidRDefault="00C47FCD" w:rsidP="003D52CF">
            <w:r w:rsidRPr="00E43527">
              <w:t>(amats)</w:t>
            </w:r>
          </w:p>
          <w:p w14:paraId="461DB681" w14:textId="77777777" w:rsidR="00C47FCD" w:rsidRPr="00E43527" w:rsidRDefault="00C47FCD" w:rsidP="003D52CF"/>
        </w:tc>
      </w:tr>
      <w:tr w:rsidR="00C47FCD" w:rsidRPr="00E43527" w14:paraId="34317DFC" w14:textId="77777777" w:rsidTr="003D52CF">
        <w:tc>
          <w:tcPr>
            <w:tcW w:w="8268" w:type="dxa"/>
            <w:tcBorders>
              <w:bottom w:val="single" w:sz="4" w:space="0" w:color="000000"/>
            </w:tcBorders>
          </w:tcPr>
          <w:p w14:paraId="036426CF" w14:textId="6A542E12" w:rsidR="00C47FCD" w:rsidRPr="00E43527" w:rsidRDefault="00C47FCD" w:rsidP="003D52CF">
            <w:bookmarkStart w:id="0" w:name="_GoBack" w:colFirst="0" w:colLast="0"/>
            <w:r w:rsidRPr="00E43527">
              <w:t>67083857</w:t>
            </w:r>
            <w:r w:rsidR="00CF7475" w:rsidRPr="00E43527">
              <w:t>, inese.albova@fm.gov.lv</w:t>
            </w:r>
          </w:p>
        </w:tc>
      </w:tr>
      <w:bookmarkEnd w:id="0"/>
      <w:tr w:rsidR="00C47FCD" w:rsidRPr="00E43527" w14:paraId="2A5EAD76" w14:textId="77777777" w:rsidTr="003D52CF">
        <w:tc>
          <w:tcPr>
            <w:tcW w:w="8268" w:type="dxa"/>
            <w:tcBorders>
              <w:top w:val="single" w:sz="4" w:space="0" w:color="000000"/>
            </w:tcBorders>
          </w:tcPr>
          <w:p w14:paraId="69BAFB85" w14:textId="4A924AC2" w:rsidR="00C47FCD" w:rsidRPr="00E43527" w:rsidRDefault="00C47FCD" w:rsidP="003D52CF">
            <w:r w:rsidRPr="00E43527">
              <w:t>(tālruņa</w:t>
            </w:r>
            <w:r w:rsidR="00CF7475" w:rsidRPr="00E43527">
              <w:t xml:space="preserve"> numurs</w:t>
            </w:r>
            <w:r w:rsidRPr="00E43527">
              <w:t xml:space="preserve"> un</w:t>
            </w:r>
            <w:r w:rsidR="00CF7475" w:rsidRPr="00E43527">
              <w:t xml:space="preserve"> e-pasta adrese</w:t>
            </w:r>
            <w:r w:rsidRPr="00E43527">
              <w:t>)</w:t>
            </w:r>
          </w:p>
          <w:p w14:paraId="45500864" w14:textId="77777777" w:rsidR="00C47FCD" w:rsidRPr="00E43527" w:rsidRDefault="00C47FCD" w:rsidP="003D52CF"/>
        </w:tc>
      </w:tr>
    </w:tbl>
    <w:p w14:paraId="45DF4EAD" w14:textId="77777777" w:rsidR="00C47FCD" w:rsidRPr="00E43527" w:rsidRDefault="00C47FCD" w:rsidP="00C47FCD">
      <w:pPr>
        <w:pStyle w:val="naisf"/>
        <w:spacing w:before="0" w:after="0"/>
        <w:ind w:firstLine="0"/>
        <w:jc w:val="left"/>
      </w:pPr>
    </w:p>
    <w:p w14:paraId="27232A15" w14:textId="77777777" w:rsidR="001439E0" w:rsidRPr="00E43527" w:rsidRDefault="001439E0">
      <w:pPr>
        <w:rPr>
          <w:color w:val="000000" w:themeColor="text1"/>
        </w:rPr>
      </w:pPr>
    </w:p>
    <w:sectPr w:rsidR="001439E0" w:rsidRPr="00E43527" w:rsidSect="000F32D0">
      <w:footerReference w:type="even"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6B6E" w14:textId="77777777" w:rsidR="0088543D" w:rsidRDefault="0088543D" w:rsidP="00843239">
      <w:r>
        <w:separator/>
      </w:r>
    </w:p>
  </w:endnote>
  <w:endnote w:type="continuationSeparator" w:id="0">
    <w:p w14:paraId="0AF98B0F" w14:textId="77777777" w:rsidR="0088543D" w:rsidRDefault="0088543D" w:rsidP="008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2494018"/>
      <w:docPartObj>
        <w:docPartGallery w:val="Page Numbers (Bottom of Page)"/>
        <w:docPartUnique/>
      </w:docPartObj>
    </w:sdtPr>
    <w:sdtEndPr>
      <w:rPr>
        <w:rStyle w:val="PageNumber"/>
      </w:rPr>
    </w:sdtEndPr>
    <w:sdtContent>
      <w:p w14:paraId="78067E66" w14:textId="32C2182C"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EDB0E" w14:textId="77777777" w:rsidR="00843239" w:rsidRDefault="0084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929644"/>
      <w:docPartObj>
        <w:docPartGallery w:val="Page Numbers (Bottom of Page)"/>
        <w:docPartUnique/>
      </w:docPartObj>
    </w:sdtPr>
    <w:sdtEndPr>
      <w:rPr>
        <w:rStyle w:val="PageNumber"/>
      </w:rPr>
    </w:sdtEndPr>
    <w:sdtContent>
      <w:p w14:paraId="0CABD2DD" w14:textId="5A531A76"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72D9">
          <w:rPr>
            <w:rStyle w:val="PageNumber"/>
            <w:noProof/>
          </w:rPr>
          <w:t>13</w:t>
        </w:r>
        <w:r>
          <w:rPr>
            <w:rStyle w:val="PageNumber"/>
          </w:rPr>
          <w:fldChar w:fldCharType="end"/>
        </w:r>
      </w:p>
    </w:sdtContent>
  </w:sdt>
  <w:p w14:paraId="39526C1A" w14:textId="2808DDEA" w:rsidR="002165C5" w:rsidRDefault="002165C5">
    <w:pPr>
      <w:pStyle w:val="Footer"/>
      <w:rPr>
        <w:sz w:val="20"/>
        <w:szCs w:val="20"/>
      </w:rPr>
    </w:pPr>
  </w:p>
  <w:p w14:paraId="7736333F" w14:textId="77777777" w:rsidR="002165C5" w:rsidRDefault="002165C5">
    <w:pPr>
      <w:pStyle w:val="Footer"/>
      <w:rPr>
        <w:sz w:val="20"/>
        <w:szCs w:val="20"/>
      </w:rPr>
    </w:pPr>
  </w:p>
  <w:p w14:paraId="6F90DA2B" w14:textId="1DECFEAA" w:rsidR="002165C5" w:rsidRDefault="002165C5" w:rsidP="002165C5">
    <w:pPr>
      <w:pStyle w:val="Footer"/>
      <w:rPr>
        <w:sz w:val="20"/>
        <w:szCs w:val="20"/>
      </w:rPr>
    </w:pPr>
    <w:r w:rsidRPr="002165C5">
      <w:rPr>
        <w:sz w:val="20"/>
        <w:szCs w:val="20"/>
      </w:rPr>
      <w:fldChar w:fldCharType="begin"/>
    </w:r>
    <w:r w:rsidRPr="002165C5">
      <w:rPr>
        <w:sz w:val="20"/>
        <w:szCs w:val="20"/>
      </w:rPr>
      <w:instrText xml:space="preserve"> FILENAME  \* MERGEFORMAT </w:instrText>
    </w:r>
    <w:r w:rsidRPr="002165C5">
      <w:rPr>
        <w:sz w:val="20"/>
        <w:szCs w:val="20"/>
      </w:rPr>
      <w:fldChar w:fldCharType="separate"/>
    </w:r>
    <w:r w:rsidR="00D86E91">
      <w:rPr>
        <w:noProof/>
        <w:sz w:val="20"/>
        <w:szCs w:val="20"/>
      </w:rPr>
      <w:t>FMizz_160821_OCTApremija.docx</w:t>
    </w:r>
    <w:r w:rsidRPr="002165C5">
      <w:rPr>
        <w:sz w:val="20"/>
        <w:szCs w:val="20"/>
      </w:rPr>
      <w:fldChar w:fldCharType="end"/>
    </w:r>
  </w:p>
  <w:p w14:paraId="525AE17B" w14:textId="77777777" w:rsidR="002165C5" w:rsidRPr="002165C5" w:rsidRDefault="002165C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DF81" w14:textId="77777777" w:rsidR="0088543D" w:rsidRDefault="0088543D" w:rsidP="00843239">
      <w:r>
        <w:separator/>
      </w:r>
    </w:p>
  </w:footnote>
  <w:footnote w:type="continuationSeparator" w:id="0">
    <w:p w14:paraId="64BF7B2B" w14:textId="77777777" w:rsidR="0088543D" w:rsidRDefault="0088543D" w:rsidP="0084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0"/>
    <w:rsid w:val="00000A23"/>
    <w:rsid w:val="00033143"/>
    <w:rsid w:val="0004653B"/>
    <w:rsid w:val="000479D5"/>
    <w:rsid w:val="00055407"/>
    <w:rsid w:val="00073D0B"/>
    <w:rsid w:val="000772D9"/>
    <w:rsid w:val="000B3F3F"/>
    <w:rsid w:val="000C04F1"/>
    <w:rsid w:val="000F32D0"/>
    <w:rsid w:val="00102C62"/>
    <w:rsid w:val="00104143"/>
    <w:rsid w:val="0010734E"/>
    <w:rsid w:val="00114549"/>
    <w:rsid w:val="001435F9"/>
    <w:rsid w:val="001439E0"/>
    <w:rsid w:val="00163777"/>
    <w:rsid w:val="00170570"/>
    <w:rsid w:val="00172AD6"/>
    <w:rsid w:val="00177D7C"/>
    <w:rsid w:val="001842B6"/>
    <w:rsid w:val="001A45C1"/>
    <w:rsid w:val="00202C8E"/>
    <w:rsid w:val="002042A0"/>
    <w:rsid w:val="00206E36"/>
    <w:rsid w:val="00210941"/>
    <w:rsid w:val="002165C5"/>
    <w:rsid w:val="00221B8E"/>
    <w:rsid w:val="00235F75"/>
    <w:rsid w:val="00251353"/>
    <w:rsid w:val="002613C2"/>
    <w:rsid w:val="00263011"/>
    <w:rsid w:val="00271501"/>
    <w:rsid w:val="00292A31"/>
    <w:rsid w:val="002A6F01"/>
    <w:rsid w:val="002C1FCC"/>
    <w:rsid w:val="002C2763"/>
    <w:rsid w:val="002E2634"/>
    <w:rsid w:val="002F2CDC"/>
    <w:rsid w:val="003150AB"/>
    <w:rsid w:val="00321B8B"/>
    <w:rsid w:val="003264EF"/>
    <w:rsid w:val="00365945"/>
    <w:rsid w:val="00373070"/>
    <w:rsid w:val="00375A02"/>
    <w:rsid w:val="00390C9F"/>
    <w:rsid w:val="003922C6"/>
    <w:rsid w:val="00392FCC"/>
    <w:rsid w:val="003A1C7C"/>
    <w:rsid w:val="003B0DE4"/>
    <w:rsid w:val="003B2904"/>
    <w:rsid w:val="003B7DC9"/>
    <w:rsid w:val="003D2DF7"/>
    <w:rsid w:val="003D4BBE"/>
    <w:rsid w:val="0042252D"/>
    <w:rsid w:val="00443EE4"/>
    <w:rsid w:val="00467606"/>
    <w:rsid w:val="004920BF"/>
    <w:rsid w:val="00494764"/>
    <w:rsid w:val="004A01ED"/>
    <w:rsid w:val="004A2EB8"/>
    <w:rsid w:val="004D416A"/>
    <w:rsid w:val="00502B53"/>
    <w:rsid w:val="00503625"/>
    <w:rsid w:val="00515596"/>
    <w:rsid w:val="00525A22"/>
    <w:rsid w:val="00551172"/>
    <w:rsid w:val="005619D8"/>
    <w:rsid w:val="00594774"/>
    <w:rsid w:val="0059776D"/>
    <w:rsid w:val="005A636E"/>
    <w:rsid w:val="005C6A3C"/>
    <w:rsid w:val="005D67CF"/>
    <w:rsid w:val="005E59C0"/>
    <w:rsid w:val="005F680F"/>
    <w:rsid w:val="006123BB"/>
    <w:rsid w:val="00612451"/>
    <w:rsid w:val="006125B5"/>
    <w:rsid w:val="006355C1"/>
    <w:rsid w:val="00636FDF"/>
    <w:rsid w:val="00651CBB"/>
    <w:rsid w:val="00670AEB"/>
    <w:rsid w:val="0069310A"/>
    <w:rsid w:val="006B5EBC"/>
    <w:rsid w:val="006B6C49"/>
    <w:rsid w:val="006C1479"/>
    <w:rsid w:val="006D0BA4"/>
    <w:rsid w:val="006D3576"/>
    <w:rsid w:val="00723CFA"/>
    <w:rsid w:val="00727933"/>
    <w:rsid w:val="00747A57"/>
    <w:rsid w:val="00757DD7"/>
    <w:rsid w:val="00774BEB"/>
    <w:rsid w:val="007867F3"/>
    <w:rsid w:val="00792F8F"/>
    <w:rsid w:val="00795F5A"/>
    <w:rsid w:val="007A5083"/>
    <w:rsid w:val="007B1D7A"/>
    <w:rsid w:val="007B386B"/>
    <w:rsid w:val="007C2672"/>
    <w:rsid w:val="00805FCA"/>
    <w:rsid w:val="00820400"/>
    <w:rsid w:val="00821BED"/>
    <w:rsid w:val="00833680"/>
    <w:rsid w:val="00843239"/>
    <w:rsid w:val="008465A1"/>
    <w:rsid w:val="00847394"/>
    <w:rsid w:val="00861216"/>
    <w:rsid w:val="008708E7"/>
    <w:rsid w:val="008736AA"/>
    <w:rsid w:val="0088543D"/>
    <w:rsid w:val="008A3072"/>
    <w:rsid w:val="008A42AD"/>
    <w:rsid w:val="008C6887"/>
    <w:rsid w:val="008D3C1C"/>
    <w:rsid w:val="00903845"/>
    <w:rsid w:val="009069A2"/>
    <w:rsid w:val="00916469"/>
    <w:rsid w:val="00921644"/>
    <w:rsid w:val="00966077"/>
    <w:rsid w:val="00970EFB"/>
    <w:rsid w:val="009971A8"/>
    <w:rsid w:val="009A05DE"/>
    <w:rsid w:val="009A325A"/>
    <w:rsid w:val="009A6064"/>
    <w:rsid w:val="009C5DAC"/>
    <w:rsid w:val="009F09C9"/>
    <w:rsid w:val="009F3784"/>
    <w:rsid w:val="00A21030"/>
    <w:rsid w:val="00A30998"/>
    <w:rsid w:val="00A370D1"/>
    <w:rsid w:val="00A371C3"/>
    <w:rsid w:val="00A4103E"/>
    <w:rsid w:val="00A664CA"/>
    <w:rsid w:val="00A72814"/>
    <w:rsid w:val="00A754FE"/>
    <w:rsid w:val="00A75677"/>
    <w:rsid w:val="00AA13FA"/>
    <w:rsid w:val="00AB3176"/>
    <w:rsid w:val="00AB3B82"/>
    <w:rsid w:val="00AC38BC"/>
    <w:rsid w:val="00AE4254"/>
    <w:rsid w:val="00AF54C1"/>
    <w:rsid w:val="00B20D76"/>
    <w:rsid w:val="00B277F7"/>
    <w:rsid w:val="00B310ED"/>
    <w:rsid w:val="00B314C1"/>
    <w:rsid w:val="00B34738"/>
    <w:rsid w:val="00B41B43"/>
    <w:rsid w:val="00B5519D"/>
    <w:rsid w:val="00B72F10"/>
    <w:rsid w:val="00B9379D"/>
    <w:rsid w:val="00BA7B35"/>
    <w:rsid w:val="00BB0558"/>
    <w:rsid w:val="00BC1855"/>
    <w:rsid w:val="00BC344D"/>
    <w:rsid w:val="00BD2709"/>
    <w:rsid w:val="00BD2B22"/>
    <w:rsid w:val="00BE32B9"/>
    <w:rsid w:val="00BF1C91"/>
    <w:rsid w:val="00C04EF4"/>
    <w:rsid w:val="00C0749B"/>
    <w:rsid w:val="00C255F6"/>
    <w:rsid w:val="00C47FCD"/>
    <w:rsid w:val="00C545C3"/>
    <w:rsid w:val="00C636F6"/>
    <w:rsid w:val="00C65623"/>
    <w:rsid w:val="00C65828"/>
    <w:rsid w:val="00C77290"/>
    <w:rsid w:val="00C87238"/>
    <w:rsid w:val="00C92855"/>
    <w:rsid w:val="00CB06B0"/>
    <w:rsid w:val="00CB40F9"/>
    <w:rsid w:val="00CB6EAD"/>
    <w:rsid w:val="00CD75A9"/>
    <w:rsid w:val="00CF25BF"/>
    <w:rsid w:val="00CF458A"/>
    <w:rsid w:val="00CF7475"/>
    <w:rsid w:val="00D31014"/>
    <w:rsid w:val="00D317CC"/>
    <w:rsid w:val="00D611A4"/>
    <w:rsid w:val="00D66A90"/>
    <w:rsid w:val="00D8077E"/>
    <w:rsid w:val="00D86E91"/>
    <w:rsid w:val="00DC2120"/>
    <w:rsid w:val="00DC3A4B"/>
    <w:rsid w:val="00DC79DD"/>
    <w:rsid w:val="00DD1595"/>
    <w:rsid w:val="00E25FB2"/>
    <w:rsid w:val="00E26B5A"/>
    <w:rsid w:val="00E3408A"/>
    <w:rsid w:val="00E43527"/>
    <w:rsid w:val="00E52BEF"/>
    <w:rsid w:val="00E8477F"/>
    <w:rsid w:val="00E93E3E"/>
    <w:rsid w:val="00E95480"/>
    <w:rsid w:val="00EA7205"/>
    <w:rsid w:val="00EB2C6A"/>
    <w:rsid w:val="00EC5DED"/>
    <w:rsid w:val="00EC7EEF"/>
    <w:rsid w:val="00ED14B7"/>
    <w:rsid w:val="00F2010C"/>
    <w:rsid w:val="00F7061F"/>
    <w:rsid w:val="00FB164A"/>
    <w:rsid w:val="00FB2323"/>
    <w:rsid w:val="00FC3163"/>
    <w:rsid w:val="00FD4367"/>
    <w:rsid w:val="00FE190E"/>
    <w:rsid w:val="00FE3571"/>
    <w:rsid w:val="00FF2645"/>
    <w:rsid w:val="00FF3D7B"/>
    <w:rsid w:val="00FF5E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B42"/>
  <w15:chartTrackingRefBased/>
  <w15:docId w15:val="{46146F6A-1323-974C-B7DF-9934179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D0"/>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32D0"/>
    <w:pPr>
      <w:spacing w:before="100" w:beforeAutospacing="1" w:after="100" w:afterAutospacing="1"/>
    </w:pPr>
  </w:style>
  <w:style w:type="paragraph" w:customStyle="1" w:styleId="naisf">
    <w:name w:val="naisf"/>
    <w:basedOn w:val="Normal"/>
    <w:rsid w:val="000F32D0"/>
    <w:pPr>
      <w:spacing w:before="75" w:after="75"/>
      <w:ind w:firstLine="375"/>
      <w:jc w:val="both"/>
    </w:pPr>
  </w:style>
  <w:style w:type="paragraph" w:customStyle="1" w:styleId="naisnod">
    <w:name w:val="naisnod"/>
    <w:basedOn w:val="Normal"/>
    <w:uiPriority w:val="99"/>
    <w:rsid w:val="000F32D0"/>
    <w:pPr>
      <w:spacing w:before="150" w:after="150"/>
      <w:jc w:val="center"/>
    </w:pPr>
    <w:rPr>
      <w:b/>
      <w:bCs/>
    </w:rPr>
  </w:style>
  <w:style w:type="paragraph" w:customStyle="1" w:styleId="naislab">
    <w:name w:val="naislab"/>
    <w:basedOn w:val="Normal"/>
    <w:uiPriority w:val="99"/>
    <w:rsid w:val="000F32D0"/>
    <w:pPr>
      <w:spacing w:before="75" w:after="75"/>
      <w:jc w:val="right"/>
    </w:pPr>
  </w:style>
  <w:style w:type="paragraph" w:customStyle="1" w:styleId="naiskr">
    <w:name w:val="naiskr"/>
    <w:basedOn w:val="Normal"/>
    <w:rsid w:val="000F32D0"/>
    <w:pPr>
      <w:spacing w:before="75" w:after="75"/>
    </w:pPr>
  </w:style>
  <w:style w:type="paragraph" w:customStyle="1" w:styleId="naisc">
    <w:name w:val="naisc"/>
    <w:basedOn w:val="Normal"/>
    <w:rsid w:val="000F32D0"/>
    <w:pPr>
      <w:spacing w:before="75" w:after="75"/>
      <w:jc w:val="center"/>
    </w:pPr>
  </w:style>
  <w:style w:type="paragraph" w:styleId="ListParagraph">
    <w:name w:val="List Paragraph"/>
    <w:aliases w:val="2,H&amp;P List Paragraph,Strip,Saraksta rindkopa,Saraksta rindkopa1"/>
    <w:basedOn w:val="Normal"/>
    <w:link w:val="ListParagraphChar"/>
    <w:uiPriority w:val="34"/>
    <w:qFormat/>
    <w:rsid w:val="000F32D0"/>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0F32D0"/>
    <w:rPr>
      <w:rFonts w:ascii="Calibri" w:eastAsia="Times New Roman" w:hAnsi="Calibri" w:cs="Times New Roman"/>
      <w:sz w:val="22"/>
      <w:szCs w:val="22"/>
      <w:lang w:val="lv-LV"/>
    </w:rPr>
  </w:style>
  <w:style w:type="paragraph" w:styleId="Header">
    <w:name w:val="header"/>
    <w:basedOn w:val="Normal"/>
    <w:link w:val="HeaderChar"/>
    <w:uiPriority w:val="99"/>
    <w:unhideWhenUsed/>
    <w:rsid w:val="00843239"/>
    <w:pPr>
      <w:tabs>
        <w:tab w:val="center" w:pos="4513"/>
        <w:tab w:val="right" w:pos="9026"/>
      </w:tabs>
    </w:pPr>
  </w:style>
  <w:style w:type="character" w:customStyle="1" w:styleId="HeaderChar">
    <w:name w:val="Header Char"/>
    <w:basedOn w:val="DefaultParagraphFont"/>
    <w:link w:val="Header"/>
    <w:uiPriority w:val="99"/>
    <w:rsid w:val="00843239"/>
    <w:rPr>
      <w:rFonts w:ascii="Times New Roman" w:eastAsia="Times New Roman" w:hAnsi="Times New Roman" w:cs="Times New Roman"/>
      <w:lang w:val="lv-LV" w:eastAsia="lv-LV"/>
    </w:rPr>
  </w:style>
  <w:style w:type="paragraph" w:styleId="Footer">
    <w:name w:val="footer"/>
    <w:basedOn w:val="Normal"/>
    <w:link w:val="FooterChar"/>
    <w:uiPriority w:val="99"/>
    <w:unhideWhenUsed/>
    <w:rsid w:val="00843239"/>
    <w:pPr>
      <w:tabs>
        <w:tab w:val="center" w:pos="4513"/>
        <w:tab w:val="right" w:pos="9026"/>
      </w:tabs>
    </w:pPr>
  </w:style>
  <w:style w:type="character" w:customStyle="1" w:styleId="FooterChar">
    <w:name w:val="Footer Char"/>
    <w:basedOn w:val="DefaultParagraphFont"/>
    <w:link w:val="Footer"/>
    <w:uiPriority w:val="99"/>
    <w:rsid w:val="00843239"/>
    <w:rPr>
      <w:rFonts w:ascii="Times New Roman" w:eastAsia="Times New Roman" w:hAnsi="Times New Roman" w:cs="Times New Roman"/>
      <w:lang w:val="lv-LV" w:eastAsia="lv-LV"/>
    </w:rPr>
  </w:style>
  <w:style w:type="character" w:styleId="PageNumber">
    <w:name w:val="page number"/>
    <w:basedOn w:val="DefaultParagraphFont"/>
    <w:uiPriority w:val="99"/>
    <w:semiHidden/>
    <w:unhideWhenUsed/>
    <w:rsid w:val="00843239"/>
  </w:style>
  <w:style w:type="paragraph" w:styleId="CommentText">
    <w:name w:val="annotation text"/>
    <w:basedOn w:val="Normal"/>
    <w:link w:val="CommentTextChar"/>
    <w:uiPriority w:val="99"/>
    <w:unhideWhenUsed/>
    <w:rsid w:val="006123BB"/>
    <w:pPr>
      <w:spacing w:after="160" w:line="259"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6123BB"/>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7905</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Finansu ministrija</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informatīvā ziņojuma projektu “Par Sauszemes transportlīdzekļu īpašnieku civiltiesiskās atbildības obligātās apdrošināšanas likuma 14.pantā noteiktā tiesiskā regulējuma izvērtējumu”</dc:title>
  <dc:subject/>
  <dc:creator>Inese Albova</dc:creator>
  <cp:keywords/>
  <dc:description>67083857, inese.albova@fm.gov.lv</dc:description>
  <cp:lastModifiedBy>Inese Albova</cp:lastModifiedBy>
  <cp:revision>74</cp:revision>
  <dcterms:created xsi:type="dcterms:W3CDTF">2021-08-16T13:06:00Z</dcterms:created>
  <dcterms:modified xsi:type="dcterms:W3CDTF">2021-08-20T10:10:00Z</dcterms:modified>
</cp:coreProperties>
</file>