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49B79" w14:textId="6A05C886" w:rsidR="003E7C73" w:rsidRPr="0010643E" w:rsidRDefault="003E7C73" w:rsidP="0010643E">
      <w:pPr>
        <w:widowControl w:val="0"/>
        <w:spacing w:after="0" w:line="240" w:lineRule="auto"/>
        <w:jc w:val="right"/>
        <w:rPr>
          <w:rFonts w:eastAsia="Times New Roman"/>
          <w:bCs/>
          <w:color w:val="000000"/>
          <w:lang w:bidi="lv-LV"/>
        </w:rPr>
      </w:pPr>
      <w:r w:rsidRPr="0010643E">
        <w:rPr>
          <w:rFonts w:eastAsia="Times New Roman"/>
          <w:bCs/>
          <w:color w:val="000000"/>
          <w:lang w:bidi="lv-LV"/>
        </w:rPr>
        <w:t>Pielikums</w:t>
      </w:r>
    </w:p>
    <w:p w14:paraId="34865298" w14:textId="77777777" w:rsidR="00267083" w:rsidRPr="0010643E" w:rsidRDefault="00267083" w:rsidP="0010643E">
      <w:pPr>
        <w:widowControl w:val="0"/>
        <w:spacing w:after="0" w:line="240" w:lineRule="auto"/>
        <w:jc w:val="right"/>
        <w:rPr>
          <w:bCs/>
        </w:rPr>
      </w:pPr>
      <w:r w:rsidRPr="0010643E">
        <w:rPr>
          <w:bCs/>
        </w:rPr>
        <w:t xml:space="preserve">Informatīvajam ziņojumam par </w:t>
      </w:r>
    </w:p>
    <w:p w14:paraId="54602D38" w14:textId="77777777" w:rsidR="00267083" w:rsidRPr="0010643E" w:rsidRDefault="00267083" w:rsidP="0010643E">
      <w:pPr>
        <w:widowControl w:val="0"/>
        <w:spacing w:after="0" w:line="240" w:lineRule="auto"/>
        <w:jc w:val="right"/>
        <w:rPr>
          <w:bCs/>
        </w:rPr>
      </w:pPr>
      <w:r w:rsidRPr="0010643E">
        <w:rPr>
          <w:bCs/>
        </w:rPr>
        <w:t xml:space="preserve">Latvijas Atveseļošanas un noturības </w:t>
      </w:r>
    </w:p>
    <w:p w14:paraId="4C4ABB71" w14:textId="33A8ECEB" w:rsidR="00267083" w:rsidRDefault="00267083" w:rsidP="00267083">
      <w:pPr>
        <w:widowControl w:val="0"/>
        <w:spacing w:after="0" w:line="240" w:lineRule="auto"/>
        <w:jc w:val="right"/>
        <w:rPr>
          <w:rFonts w:eastAsia="Times New Roman"/>
          <w:bCs/>
          <w:color w:val="000000"/>
          <w:lang w:bidi="lv-LV"/>
        </w:rPr>
      </w:pPr>
      <w:r w:rsidRPr="0010643E">
        <w:rPr>
          <w:bCs/>
        </w:rPr>
        <w:t>mehānisma plāna ieviešanu</w:t>
      </w:r>
    </w:p>
    <w:p w14:paraId="7295B47B" w14:textId="77777777" w:rsidR="00267083" w:rsidRPr="0010643E" w:rsidRDefault="00267083" w:rsidP="0010643E">
      <w:pPr>
        <w:widowControl w:val="0"/>
        <w:spacing w:after="0" w:line="240" w:lineRule="auto"/>
        <w:jc w:val="right"/>
        <w:rPr>
          <w:rFonts w:eastAsia="Times New Roman"/>
          <w:bCs/>
          <w:color w:val="000000"/>
          <w:lang w:bidi="lv-LV"/>
        </w:rPr>
      </w:pPr>
    </w:p>
    <w:p w14:paraId="07EBB42A" w14:textId="52E59721" w:rsidR="00AE7952" w:rsidRPr="00AE7952" w:rsidRDefault="00AE7952" w:rsidP="00AE7952">
      <w:pPr>
        <w:widowControl w:val="0"/>
        <w:spacing w:after="540" w:line="240" w:lineRule="auto"/>
        <w:jc w:val="center"/>
        <w:rPr>
          <w:rFonts w:eastAsia="Times New Roman"/>
          <w:b/>
          <w:color w:val="000000"/>
          <w:lang w:bidi="en-US"/>
        </w:rPr>
      </w:pPr>
      <w:r w:rsidRPr="00AE7952">
        <w:rPr>
          <w:rFonts w:eastAsia="Times New Roman"/>
          <w:b/>
          <w:color w:val="000000"/>
          <w:lang w:bidi="lv-LV"/>
        </w:rPr>
        <w:t>Pašpārbaudes lapa uzraudzībai un kontroles sistēmām</w:t>
      </w:r>
      <w:r w:rsidRPr="00AE7952">
        <w:rPr>
          <w:rFonts w:eastAsia="Times New Roman"/>
          <w:b/>
          <w:color w:val="000000"/>
          <w:vertAlign w:val="superscript"/>
          <w:lang w:bidi="lv-LV"/>
        </w:rPr>
        <w:footnoteReference w:id="1"/>
      </w:r>
    </w:p>
    <w:p w14:paraId="786B5EFC" w14:textId="77777777" w:rsidR="00AE7952" w:rsidRPr="00AE7952" w:rsidRDefault="00AE7952" w:rsidP="00AE7952">
      <w:pPr>
        <w:keepNext/>
        <w:keepLines/>
        <w:widowControl w:val="0"/>
        <w:spacing w:after="260" w:line="240" w:lineRule="auto"/>
        <w:jc w:val="both"/>
        <w:outlineLvl w:val="0"/>
        <w:rPr>
          <w:rFonts w:eastAsia="Times New Roman"/>
          <w:b/>
          <w:bCs/>
          <w:color w:val="000000"/>
          <w:lang w:bidi="en-US"/>
        </w:rPr>
      </w:pPr>
      <w:r w:rsidRPr="00AE7952">
        <w:rPr>
          <w:rFonts w:eastAsia="Times New Roman"/>
          <w:b/>
          <w:bCs/>
          <w:color w:val="000000"/>
          <w:lang w:bidi="lv-LV"/>
        </w:rPr>
        <w:t>Konteksts</w:t>
      </w:r>
    </w:p>
    <w:p w14:paraId="4A27DE6F" w14:textId="216BE784"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Atveseļošanās un noturības mehānisma (</w:t>
      </w:r>
      <w:r w:rsidR="0028700F">
        <w:rPr>
          <w:rFonts w:eastAsia="Times New Roman"/>
          <w:color w:val="000000"/>
          <w:lang w:bidi="lv-LV"/>
        </w:rPr>
        <w:t>Atveseļošanas fonda</w:t>
      </w:r>
      <w:r w:rsidRPr="00AE7952">
        <w:rPr>
          <w:rFonts w:eastAsia="Times New Roman"/>
          <w:color w:val="000000"/>
          <w:lang w:bidi="lv-LV"/>
        </w:rPr>
        <w:t>) regula paredz, ka Dalībvalstis savos Attīstības un noturības plānos (</w:t>
      </w:r>
      <w:r w:rsidR="0028700F">
        <w:rPr>
          <w:rFonts w:eastAsia="Times New Roman"/>
          <w:color w:val="000000"/>
          <w:lang w:bidi="lv-LV"/>
        </w:rPr>
        <w:t>Atveseļošanas fonda plāns</w:t>
      </w:r>
      <w:r w:rsidRPr="00AE7952">
        <w:rPr>
          <w:rFonts w:eastAsia="Times New Roman"/>
          <w:color w:val="000000"/>
          <w:lang w:bidi="lv-LV"/>
        </w:rPr>
        <w:t xml:space="preserve">) apraksta iekšējās vienošanās par </w:t>
      </w:r>
      <w:r w:rsidR="0028700F" w:rsidRPr="0028700F">
        <w:rPr>
          <w:rFonts w:eastAsia="Times New Roman"/>
          <w:color w:val="000000"/>
          <w:lang w:bidi="lv-LV"/>
        </w:rPr>
        <w:t>Atveseļošanas fonda plān</w:t>
      </w:r>
      <w:r w:rsidR="0028700F">
        <w:rPr>
          <w:rFonts w:eastAsia="Times New Roman"/>
          <w:color w:val="000000"/>
          <w:lang w:bidi="lv-LV"/>
        </w:rPr>
        <w:t>a</w:t>
      </w:r>
      <w:r w:rsidRPr="00AE7952">
        <w:rPr>
          <w:rFonts w:eastAsia="Times New Roman"/>
          <w:color w:val="000000"/>
          <w:lang w:bidi="lv-LV"/>
        </w:rPr>
        <w:t xml:space="preserve"> uzraudzību un īstenošanu (18. pants, 4. punkts, p) apakšpunkts), kā arī korupcijas, krāpšanas un citu interešu konfliktu novēršanu, atklāšanu un labošanu, izmantojot Mehānismam paredzētos finansiālos līdzekļus saskaņā ar vienošanos par to, lai izvairītos no dubultās finansēšanas no Mehānisma un citām ES programmām (18. pants, 4. punkts, r) apakšpunkts).</w:t>
      </w:r>
    </w:p>
    <w:p w14:paraId="768D2FF2"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Dalībvalstīm arī ir pienākums veikt visus attiecīgos pasākumus, lai aizsargātu ES finanšu intereses un nodrošinātu, ka līdzekļu izmantošana saistībā ar pasākumiem, ko atbalsta mehānisms, atbilst aktuālajiem ES un Valsts tiesību aktiem (22. pants, 1. punkts). Konkrētās prasības paredz, ka Dalībvalstis:</w:t>
      </w:r>
    </w:p>
    <w:p w14:paraId="21755F23" w14:textId="77777777" w:rsidR="00AE7952" w:rsidRPr="00AE7952" w:rsidRDefault="00AE7952" w:rsidP="00AE7952">
      <w:pPr>
        <w:widowControl w:val="0"/>
        <w:numPr>
          <w:ilvl w:val="0"/>
          <w:numId w:val="1"/>
        </w:numPr>
        <w:tabs>
          <w:tab w:val="left" w:pos="748"/>
        </w:tabs>
        <w:spacing w:after="0" w:line="240" w:lineRule="auto"/>
        <w:jc w:val="both"/>
        <w:rPr>
          <w:rFonts w:eastAsia="Times New Roman"/>
          <w:color w:val="000000"/>
          <w:lang w:bidi="en-US"/>
        </w:rPr>
      </w:pPr>
      <w:r w:rsidRPr="00AE7952">
        <w:rPr>
          <w:rFonts w:eastAsia="Times New Roman"/>
          <w:color w:val="000000"/>
          <w:lang w:bidi="lv-LV"/>
        </w:rPr>
        <w:t>regulāri pārliecinās, ka finansiālais nodrošinājums tiek pareizi izmantots saskaņā ar aktuālajiem noteikumiem un ka visi pasākumi tiek īstenoti saskaņā ar attiecīgajiem noteikumiem (22. pants, 2. punkts, a) apakšpunkts);</w:t>
      </w:r>
    </w:p>
    <w:p w14:paraId="2ECF7DE2" w14:textId="77777777" w:rsidR="00AE7952" w:rsidRPr="00AE7952" w:rsidRDefault="00AE7952" w:rsidP="00AE7952">
      <w:pPr>
        <w:widowControl w:val="0"/>
        <w:numPr>
          <w:ilvl w:val="0"/>
          <w:numId w:val="1"/>
        </w:numPr>
        <w:tabs>
          <w:tab w:val="left" w:pos="748"/>
        </w:tabs>
        <w:spacing w:after="40" w:line="240" w:lineRule="auto"/>
        <w:jc w:val="both"/>
        <w:rPr>
          <w:rFonts w:eastAsia="Times New Roman"/>
          <w:color w:val="000000"/>
          <w:lang w:bidi="en-US"/>
        </w:rPr>
      </w:pPr>
      <w:r w:rsidRPr="00AE7952">
        <w:rPr>
          <w:rFonts w:eastAsia="Times New Roman"/>
          <w:color w:val="000000"/>
          <w:lang w:bidi="lv-LV"/>
        </w:rPr>
        <w:t>katru maksājuma pieprasījumu iesniedz kopā ar vadības deklarāciju, kas apliecina, ka finansējums izmantots paredzētajiem mērķiem, informācija ir pilnīga, precīza un uzticama un ka kontroles sistēmas sniedz nepieciešamās garantijas, kā arī revīziju kopsavilkumu (22. pants, 2. punkts, c) apakšpunkts);</w:t>
      </w:r>
    </w:p>
    <w:p w14:paraId="691D1B78" w14:textId="08511412" w:rsidR="00AE7952" w:rsidRPr="00AE7952" w:rsidRDefault="00AE7952" w:rsidP="003440E4">
      <w:pPr>
        <w:widowControl w:val="0"/>
        <w:numPr>
          <w:ilvl w:val="0"/>
          <w:numId w:val="1"/>
        </w:numPr>
        <w:tabs>
          <w:tab w:val="left" w:pos="748"/>
        </w:tabs>
        <w:spacing w:after="0" w:line="384" w:lineRule="auto"/>
        <w:ind w:right="-58"/>
        <w:rPr>
          <w:rFonts w:eastAsia="Times New Roman"/>
          <w:color w:val="000000"/>
          <w:lang w:bidi="en-US"/>
        </w:rPr>
      </w:pPr>
      <w:r w:rsidRPr="00AE7952">
        <w:rPr>
          <w:rFonts w:eastAsia="Times New Roman"/>
          <w:color w:val="000000"/>
          <w:lang w:bidi="lv-LV"/>
        </w:rPr>
        <w:t>ievāc datus par līdzekļu gala sa</w:t>
      </w:r>
      <w:r w:rsidR="003440E4">
        <w:rPr>
          <w:rFonts w:eastAsia="Times New Roman"/>
          <w:color w:val="000000"/>
          <w:lang w:bidi="lv-LV"/>
        </w:rPr>
        <w:t>ņēmējiem (22. pants, 2. punkts, d)</w:t>
      </w:r>
      <w:r w:rsidRPr="00AE7952">
        <w:rPr>
          <w:rFonts w:eastAsia="Times New Roman"/>
          <w:color w:val="000000"/>
          <w:lang w:bidi="lv-LV"/>
        </w:rPr>
        <w:t>apakšpunkts);</w:t>
      </w:r>
    </w:p>
    <w:p w14:paraId="1CB3B8AA" w14:textId="77777777" w:rsidR="00AE7952" w:rsidRPr="00AE7952" w:rsidRDefault="00AE7952" w:rsidP="00AE7952">
      <w:pPr>
        <w:widowControl w:val="0"/>
        <w:numPr>
          <w:ilvl w:val="0"/>
          <w:numId w:val="1"/>
        </w:numPr>
        <w:tabs>
          <w:tab w:val="left" w:pos="748"/>
        </w:tabs>
        <w:spacing w:after="0" w:line="240" w:lineRule="auto"/>
        <w:jc w:val="both"/>
        <w:rPr>
          <w:rFonts w:eastAsia="Times New Roman"/>
          <w:color w:val="000000"/>
          <w:lang w:bidi="en-US"/>
        </w:rPr>
      </w:pPr>
      <w:r w:rsidRPr="00AE7952">
        <w:rPr>
          <w:rFonts w:eastAsia="Times New Roman"/>
          <w:color w:val="000000"/>
          <w:lang w:bidi="lv-LV"/>
        </w:rPr>
        <w:t>nodrošina datu pieejamību un sadarbojas ar Eiropas Komisiju, Eiropas Biroju krāpšanas apkarošanai, Revīzijas palātu un, ja nepieciešams, Eiropas un Vidusjūras augu aizsardzības organizāciju (22. pants, 2. punkts, e) apakšpunkts) un</w:t>
      </w:r>
    </w:p>
    <w:p w14:paraId="35C02514" w14:textId="77777777" w:rsidR="00AE7952" w:rsidRPr="00AE7952" w:rsidRDefault="00AE7952" w:rsidP="00AE7952">
      <w:pPr>
        <w:widowControl w:val="0"/>
        <w:numPr>
          <w:ilvl w:val="0"/>
          <w:numId w:val="1"/>
        </w:numPr>
        <w:tabs>
          <w:tab w:val="left" w:pos="748"/>
        </w:tabs>
        <w:spacing w:after="260" w:line="240" w:lineRule="auto"/>
        <w:jc w:val="both"/>
        <w:rPr>
          <w:rFonts w:eastAsia="Times New Roman"/>
          <w:color w:val="000000"/>
          <w:lang w:bidi="en-US"/>
        </w:rPr>
      </w:pPr>
      <w:r w:rsidRPr="00AE7952">
        <w:rPr>
          <w:rFonts w:eastAsia="Times New Roman"/>
          <w:color w:val="000000"/>
          <w:lang w:bidi="lv-LV"/>
        </w:rPr>
        <w:t>veic uzskaiti saskaņā ar Finanšu regulas 132. pantu (22. pants, 2. punkts, f) apakšpunkts). Dalībvalstis tiek aicinātas arī izmantot vienoto datu iegūšanas un riska vērtēšanas rīku, ko Komisija ir darījusi pieejamu (22. pants, 4. punkts), tā kā tas ir efektīvs rīks krāpšanas, interešu konfliktu un pārkāpumu apkarošanai.</w:t>
      </w:r>
    </w:p>
    <w:p w14:paraId="275B4982" w14:textId="1743ECFA"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Komisija novērtēs dalībvalstu uzraudzības un īstenošanas kārtību, kā arī kontroles sistēmas un citus pasākumus saskaņā ar kritērijiem, kas aprakstīti 19. pantā, 3. punktā, h) un j) apakšpunktā un 5. pielikumā.</w:t>
      </w:r>
    </w:p>
    <w:p w14:paraId="741FC083" w14:textId="732F9199"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 xml:space="preserve">22. janvāra vadlīnijās par </w:t>
      </w:r>
      <w:r w:rsidR="0028700F" w:rsidRPr="0028700F">
        <w:rPr>
          <w:rFonts w:eastAsia="Times New Roman"/>
          <w:color w:val="000000"/>
          <w:lang w:bidi="lv-LV"/>
        </w:rPr>
        <w:t>Atveseļošanas fonda plāna</w:t>
      </w:r>
      <w:r w:rsidRPr="00AE7952">
        <w:rPr>
          <w:rFonts w:eastAsia="Times New Roman"/>
          <w:color w:val="000000"/>
          <w:lang w:bidi="lv-LV"/>
        </w:rPr>
        <w:t xml:space="preserve"> izstrādāšanu</w:t>
      </w:r>
      <w:r w:rsidRPr="00AE7952">
        <w:rPr>
          <w:rFonts w:eastAsia="Times New Roman"/>
          <w:color w:val="000000"/>
          <w:vertAlign w:val="superscript"/>
          <w:lang w:bidi="lv-LV"/>
        </w:rPr>
        <w:footnoteReference w:id="2"/>
      </w:r>
      <w:r w:rsidRPr="00AE7952">
        <w:rPr>
          <w:rFonts w:eastAsia="Times New Roman"/>
          <w:color w:val="000000"/>
          <w:lang w:bidi="lv-LV"/>
        </w:rPr>
        <w:t xml:space="preserve"> Komisija jau ir </w:t>
      </w:r>
      <w:r w:rsidRPr="00AE7952">
        <w:rPr>
          <w:rFonts w:eastAsia="Times New Roman"/>
          <w:color w:val="000000"/>
          <w:lang w:bidi="lv-LV"/>
        </w:rPr>
        <w:lastRenderedPageBreak/>
        <w:t>sniegusi papildu informāciju par nepieciešamajiem pasākumiem un gaidām. Komisija ir saņēmusi atkārtotus pieprasījumus pēc papildu norādījumiem.</w:t>
      </w:r>
    </w:p>
    <w:p w14:paraId="01295BF4" w14:textId="5E43D1EB"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 xml:space="preserve">Pamatojoties uz </w:t>
      </w:r>
      <w:r w:rsidR="0028700F" w:rsidRPr="0028700F">
        <w:rPr>
          <w:rFonts w:eastAsia="Times New Roman"/>
          <w:color w:val="000000"/>
          <w:lang w:bidi="lv-LV"/>
        </w:rPr>
        <w:t xml:space="preserve">Atveseļošanas fonda </w:t>
      </w:r>
      <w:r w:rsidRPr="00AE7952">
        <w:rPr>
          <w:rFonts w:eastAsia="Times New Roman"/>
          <w:color w:val="000000"/>
          <w:lang w:bidi="lv-LV"/>
        </w:rPr>
        <w:t xml:space="preserve">regulu un vadlīnijām, kas jau nodrošinātas Dalībvalstīm, šie dokumenti tām sniedz praktisku </w:t>
      </w:r>
      <w:r w:rsidRPr="00AE7952">
        <w:rPr>
          <w:rFonts w:eastAsia="Times New Roman"/>
          <w:b/>
          <w:color w:val="000000"/>
          <w:lang w:bidi="lv-LV"/>
        </w:rPr>
        <w:t>pašnovērtējuma pārbaudes lapu.</w:t>
      </w:r>
      <w:r w:rsidRPr="00AE7952">
        <w:rPr>
          <w:rFonts w:eastAsia="Times New Roman"/>
          <w:color w:val="000000"/>
          <w:lang w:bidi="lv-LV"/>
        </w:rPr>
        <w:t xml:space="preserve"> Šī pārbaudes lapa ir paredzēta, lai palīdzētu dalībvalstīm izstrādāt </w:t>
      </w:r>
      <w:r w:rsidR="0028700F" w:rsidRPr="0028700F">
        <w:rPr>
          <w:rFonts w:eastAsia="Times New Roman"/>
          <w:color w:val="000000"/>
          <w:lang w:bidi="lv-LV"/>
        </w:rPr>
        <w:t>Atveseļošanas fonda plāna</w:t>
      </w:r>
      <w:r w:rsidRPr="00AE7952">
        <w:rPr>
          <w:rFonts w:eastAsia="Times New Roman"/>
          <w:color w:val="000000"/>
          <w:lang w:bidi="lv-LV"/>
        </w:rPr>
        <w:t xml:space="preserve"> un pirms to iesniegšanas pārliecināties, vai visa aktuālā informācija, kas Komisijai nepieciešama to novērtēšanai, ir iekļauta </w:t>
      </w:r>
      <w:r w:rsidR="0028700F" w:rsidRPr="0028700F">
        <w:rPr>
          <w:rFonts w:eastAsia="Times New Roman"/>
          <w:color w:val="000000"/>
          <w:lang w:bidi="lv-LV"/>
        </w:rPr>
        <w:t>Atveseļošanas fonda plān</w:t>
      </w:r>
      <w:r w:rsidR="0028700F">
        <w:rPr>
          <w:rFonts w:eastAsia="Times New Roman"/>
          <w:color w:val="000000"/>
          <w:lang w:bidi="lv-LV"/>
        </w:rPr>
        <w:t>ā</w:t>
      </w:r>
      <w:r w:rsidRPr="00AE7952">
        <w:rPr>
          <w:rFonts w:eastAsia="Times New Roman"/>
          <w:color w:val="000000"/>
          <w:lang w:bidi="lv-LV"/>
        </w:rPr>
        <w:t>.</w:t>
      </w:r>
    </w:p>
    <w:p w14:paraId="2AB94495" w14:textId="77777777" w:rsidR="00AE7952" w:rsidRPr="00AE7952" w:rsidRDefault="00AE7952" w:rsidP="00AE7952">
      <w:pPr>
        <w:keepNext/>
        <w:keepLines/>
        <w:widowControl w:val="0"/>
        <w:spacing w:after="260" w:line="240" w:lineRule="auto"/>
        <w:jc w:val="both"/>
        <w:outlineLvl w:val="0"/>
        <w:rPr>
          <w:rFonts w:eastAsia="Times New Roman"/>
          <w:b/>
          <w:bCs/>
          <w:color w:val="000000"/>
          <w:lang w:bidi="en-US"/>
        </w:rPr>
      </w:pPr>
      <w:r w:rsidRPr="00AE7952">
        <w:rPr>
          <w:rFonts w:eastAsia="Times New Roman"/>
          <w:b/>
          <w:bCs/>
          <w:color w:val="000000"/>
          <w:lang w:bidi="lv-LV"/>
        </w:rPr>
        <w:t>Uzraudzība un īstenošana</w:t>
      </w:r>
    </w:p>
    <w:p w14:paraId="2088D0AA"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i/>
          <w:color w:val="000000"/>
          <w:u w:val="single"/>
          <w:lang w:bidi="lv-LV"/>
        </w:rPr>
        <w:t>Centrālais līmenis</w:t>
      </w:r>
    </w:p>
    <w:p w14:paraId="3BB9C224"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vadošajai ministrijai / iestādei ir uzdots vispārīgi koordinēt un/vai uzraudzīt plānu?</w:t>
      </w:r>
    </w:p>
    <w:p w14:paraId="6059BFFF"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skaidra norāde, ka šai iestādei ir piemērots mandāts / pilnvaras (tiesību akts, valdības dekrēts utt.) šo uzdevumu izpildei?</w:t>
      </w:r>
    </w:p>
    <w:p w14:paraId="6E2784C8"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informācija, kas liecina, ka šai iestādei ir administratīvās spējas (darbinieku skaits, darbinieku profili, institucionālā pieredze un zināšanas), lai veiktu šos uzdevumus?</w:t>
      </w:r>
    </w:p>
    <w:p w14:paraId="7D1DE31D"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ministrija / iestāde ir atbildīga par pārbaudi, vai dalībvalsts ir faktiski izpildījusi norādītos atskaites punktus un mērķus? Tā var atbilst koordinējošajai iestādei (skat. iepriekšējo jautājumu).</w:t>
      </w:r>
    </w:p>
    <w:p w14:paraId="7E9ED67A"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skaidra norāde par to, ka iestādei ir piemērots mandāts / pilnvaras šo uzdevumu veikšanai?</w:t>
      </w:r>
    </w:p>
    <w:p w14:paraId="2E970BC5"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informācija, kas liecina, ka šai iestādei ir administratīvās spējas (darbinieku skaits, darbinieku profili, institucionālā pieredze un zināšanas), lai veiktu šos uzdevumus?</w:t>
      </w:r>
    </w:p>
    <w:p w14:paraId="73AB4B5F"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aprakstītas procedūras, datu avoti un rādītāji, kurus šī iestāde izmantos, lai pārbaudītu, vai atskaites punkti un mērķi tiek sasniegti? Ja nav, vai ir skaidrība / pārliecība par to, vai šīs procedūras iespējams īstenot?</w:t>
      </w:r>
    </w:p>
    <w:p w14:paraId="0D776E4E"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i/>
          <w:color w:val="000000"/>
          <w:u w:val="single"/>
          <w:lang w:bidi="lv-LV"/>
        </w:rPr>
        <w:t>Maksājuma pieprasījums</w:t>
      </w:r>
    </w:p>
    <w:p w14:paraId="39CF644D"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ministrija / iestāde (vai iestādes) ir atbildīga par maksājumu pieprasījumu un vadības deklarācijas sastādīšanu un iesniegšanu, kas jāpievieno katram norādītajam maksājuma pieprasījumam?</w:t>
      </w:r>
    </w:p>
    <w:p w14:paraId="6447C020"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skaidra norāde par to, ka iestādei ir piemērots mandāts / pilnvaras šo uzdevumu veikšanai?</w:t>
      </w:r>
    </w:p>
    <w:p w14:paraId="2FA289E1"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informācija, kas liecina, ka šai iestādei ir administratīvās spējas (darbinieku skaits, darbinieku profili, institucionālā pieredze un zināšanas), lai veiktu šos uzdevumus?</w:t>
      </w:r>
    </w:p>
    <w:p w14:paraId="0990590E"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 xml:space="preserve">Vai ir aprakstīta procedūra, lai sastādītu katram maksājuma pieprasījumam </w:t>
      </w:r>
      <w:r w:rsidRPr="00AE7952">
        <w:rPr>
          <w:rFonts w:eastAsia="Times New Roman"/>
          <w:color w:val="000000"/>
          <w:lang w:bidi="lv-LV"/>
        </w:rPr>
        <w:lastRenderedPageBreak/>
        <w:t>nepieciešamo revīzijas kopsavilkumu (ieskaitot informāciju par konstatētajiem sistēmas trūkumiem un veiktajām korektīvajām darbībām)?</w:t>
      </w:r>
    </w:p>
    <w:p w14:paraId="01B5192D" w14:textId="77777777" w:rsidR="00AE7952" w:rsidRPr="00AE7952" w:rsidRDefault="00AE7952" w:rsidP="00AE7952">
      <w:pPr>
        <w:widowControl w:val="0"/>
        <w:spacing w:after="0" w:line="240" w:lineRule="auto"/>
        <w:ind w:left="740"/>
        <w:jc w:val="both"/>
        <w:rPr>
          <w:rFonts w:eastAsia="Times New Roman"/>
          <w:color w:val="000000"/>
          <w:lang w:bidi="en-US"/>
        </w:rPr>
      </w:pPr>
      <w:r w:rsidRPr="00AE7952">
        <w:rPr>
          <w:rFonts w:eastAsia="Times New Roman"/>
          <w:color w:val="000000"/>
          <w:lang w:bidi="lv-LV"/>
        </w:rPr>
        <w:t>Vai ir aprakstīti procedūras un datu avoti, kurus šī iestāde izmantos, lai pārbaudītu, vai vadības deklarācijā ietvertie paziņojumi jo īpaši tas, ka tai paziņotie saistītie mērķi un atskaites punkti ir sasniegti un pamatā esošajās darbībās nav būtisku pārkāpumu, ir patiesi?</w:t>
      </w:r>
    </w:p>
    <w:p w14:paraId="1B937179" w14:textId="77777777" w:rsidR="00AE7952" w:rsidRPr="00AE7952" w:rsidRDefault="00AE7952" w:rsidP="00AE7952">
      <w:pPr>
        <w:widowControl w:val="0"/>
        <w:spacing w:after="0" w:line="240" w:lineRule="auto"/>
        <w:rPr>
          <w:rFonts w:ascii="Microsoft Sans Serif" w:eastAsia="Microsoft Sans Serif" w:hAnsi="Microsoft Sans Serif" w:cs="Microsoft Sans Serif"/>
          <w:color w:val="000000"/>
          <w:lang w:bidi="lv-LV"/>
        </w:rPr>
      </w:pPr>
    </w:p>
    <w:p w14:paraId="0274E330" w14:textId="77777777" w:rsidR="00AE7952" w:rsidRPr="00AE7952" w:rsidRDefault="00AE7952" w:rsidP="00AE7952">
      <w:pPr>
        <w:widowControl w:val="0"/>
        <w:spacing w:after="0" w:line="240" w:lineRule="auto"/>
        <w:rPr>
          <w:rFonts w:eastAsia="Times New Roman"/>
          <w:color w:val="000000"/>
          <w:lang w:bidi="en-US"/>
        </w:rPr>
      </w:pPr>
      <w:r w:rsidRPr="00AE7952">
        <w:rPr>
          <w:rFonts w:eastAsia="Times New Roman"/>
          <w:i/>
          <w:color w:val="000000"/>
          <w:u w:val="single"/>
          <w:lang w:bidi="lv-LV"/>
        </w:rPr>
        <w:t>Par katru komponentu un/vai reformu un ieguldījumiem</w:t>
      </w:r>
    </w:p>
    <w:p w14:paraId="593C63B4"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norādes par to, kā dažādās iesaistītās iestādes nodrošinās, ka revīzijas liecības tiek turētas gala saņēmēju līmenī?</w:t>
      </w:r>
    </w:p>
    <w:p w14:paraId="7CC9E43B"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norādes par to, kā šīs iestādes reģistrē to veikto kontroli? (Skat. arī jautājumus par kontroli zemāk)</w:t>
      </w:r>
    </w:p>
    <w:p w14:paraId="6845953B"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norādes par to, kā dažādās iesaistītās iestādes nodrošinās, ka aktuālie dati par gala saņēmējiem ir ievākti un uzglabāti?</w:t>
      </w:r>
    </w:p>
    <w:p w14:paraId="507AE48E"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norāde, kā tiks nodrošināta revīzijas ieteikumu izpilde (t. i., vai ir ieviestas procedūras līdzekļu atgūšanai un kriminālvajāšanas uzsākšanai par noziedzīgām darbībām)?</w:t>
      </w:r>
    </w:p>
    <w:p w14:paraId="159EF98D"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norāde, kā tiks nodrošināta Komisijas, Revīzijas palātas, Eiropas Biroja krāpšanas apkarošanai un Eiropas un Vidusjūras augu aizsardzības organizāciju piekļuve visiem pamatā esošajiem datiem?</w:t>
      </w:r>
    </w:p>
    <w:p w14:paraId="0ED84129"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Ja ministrija / iestāde ir atbildīga par komponenta koordinēšanu / uzraudzību, vai tās loma un mijiedarbība ar centrālo koordinējošo iestādi ir skaidri aprakstīta?</w:t>
      </w:r>
    </w:p>
    <w:p w14:paraId="19487872"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skaidra norāde par to, ka iestādei ir piemērots mandāts / pilnvaras šo uzdevumu veikšanai?</w:t>
      </w:r>
    </w:p>
    <w:p w14:paraId="0C4169E2"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informācija, kas liecina, ka šai iestādei ir administratīvās spējas (darbinieku skaits, darbinieku profili, institucionālā pieredze un zināšanas), lai veiktu šos uzdevumus?</w:t>
      </w:r>
    </w:p>
    <w:p w14:paraId="4487CCFB"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Ja iestādei tiks deleģēti vairāki uzdevumi, kas parasti ir piešķirti centrālās koordinācijas struktūrai (skat. augstāk), vai uz iepriekšminētās sadaļas attiecīgajiem jautājumiem tiek atbildēts?</w:t>
      </w:r>
    </w:p>
    <w:p w14:paraId="28CF96C5" w14:textId="77777777" w:rsidR="00AE7952" w:rsidRPr="00AE7952" w:rsidRDefault="00AE7952" w:rsidP="00AE7952">
      <w:pPr>
        <w:keepNext/>
        <w:keepLines/>
        <w:widowControl w:val="0"/>
        <w:spacing w:after="260" w:line="240" w:lineRule="auto"/>
        <w:jc w:val="both"/>
        <w:outlineLvl w:val="0"/>
        <w:rPr>
          <w:rFonts w:eastAsia="Times New Roman"/>
          <w:b/>
          <w:bCs/>
          <w:color w:val="000000"/>
          <w:lang w:bidi="en-US"/>
        </w:rPr>
      </w:pPr>
      <w:r w:rsidRPr="00AE7952">
        <w:rPr>
          <w:rFonts w:eastAsia="Times New Roman"/>
          <w:b/>
          <w:bCs/>
          <w:color w:val="000000"/>
          <w:lang w:bidi="lv-LV"/>
        </w:rPr>
        <w:t>Kontroles sistēmas</w:t>
      </w:r>
    </w:p>
    <w:p w14:paraId="3ED7D863"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i/>
          <w:color w:val="000000"/>
          <w:u w:val="single"/>
          <w:lang w:bidi="lv-LV"/>
        </w:rPr>
        <w:t>Centrālais līmenis</w:t>
      </w:r>
    </w:p>
    <w:p w14:paraId="7995191D" w14:textId="1FCFD415"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 xml:space="preserve">Vai kontroles sistēmas ir aprakstītas skaidri un patstāvīgi (t. i., </w:t>
      </w:r>
      <w:r w:rsidR="00C86451" w:rsidRPr="00C86451">
        <w:rPr>
          <w:rFonts w:eastAsia="Times New Roman"/>
          <w:color w:val="000000"/>
          <w:lang w:bidi="lv-LV"/>
        </w:rPr>
        <w:t>Atveseļošanas fonda plān</w:t>
      </w:r>
      <w:r w:rsidR="00C86451">
        <w:rPr>
          <w:rFonts w:eastAsia="Times New Roman"/>
          <w:color w:val="000000"/>
          <w:lang w:bidi="lv-LV"/>
        </w:rPr>
        <w:t>ā</w:t>
      </w:r>
      <w:r w:rsidRPr="00AE7952">
        <w:rPr>
          <w:rFonts w:eastAsia="Times New Roman"/>
          <w:color w:val="000000"/>
          <w:lang w:bidi="lv-LV"/>
        </w:rPr>
        <w:t xml:space="preserve"> un tās pielikumos jāsniedz visa būtiskā informācija par vadības sistēmu)?</w:t>
      </w:r>
    </w:p>
    <w:p w14:paraId="67F174DB"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norādītas procedūras, lai pārbaudītu, vai pamatā esošajos darījumos nav nopietnu pārkāpumu?</w:t>
      </w:r>
    </w:p>
    <w:p w14:paraId="351CD132"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 xml:space="preserve">Vai kontroles sistēmas apraksts skaidri attiecas uz visiem trim elementiem: krāpšanu, </w:t>
      </w:r>
      <w:r w:rsidRPr="00AE7952">
        <w:rPr>
          <w:rFonts w:eastAsia="Times New Roman"/>
          <w:color w:val="000000"/>
          <w:lang w:bidi="lv-LV"/>
        </w:rPr>
        <w:lastRenderedPageBreak/>
        <w:t>korupciju un interešu konfliktu?</w:t>
      </w:r>
    </w:p>
    <w:p w14:paraId="2D924AA0"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kontroles sistēmas apraksts ietver to procedūru aprakstu, kuras ir ieviestas, lai nodrošinātu piemērojamo ES un valstu tiesību aktu ievērošanu visu pasākumu īstenošanas laikā?</w:t>
      </w:r>
    </w:p>
    <w:p w14:paraId="60459F56"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ārpus vispārējās koordinējošās ministrijas / iestādes ir atbildīgas iestādes un norādīta to loma un atbildība par kontroles uzdevumiem iekšējās(-o) kontroles sistēmas(-u) ietvaros?</w:t>
      </w:r>
    </w:p>
    <w:p w14:paraId="69FE7D75" w14:textId="77777777" w:rsidR="00AE7952" w:rsidRPr="00AE7952" w:rsidRDefault="00AE7952" w:rsidP="00AE7952">
      <w:pPr>
        <w:widowControl w:val="0"/>
        <w:spacing w:after="0" w:line="240" w:lineRule="auto"/>
        <w:rPr>
          <w:rFonts w:eastAsia="Times New Roman"/>
          <w:color w:val="000000"/>
          <w:lang w:bidi="en-US"/>
        </w:rPr>
      </w:pPr>
      <w:r w:rsidRPr="00AE7952">
        <w:rPr>
          <w:rFonts w:eastAsia="Times New Roman"/>
          <w:color w:val="000000"/>
          <w:lang w:bidi="lv-LV"/>
        </w:rPr>
        <w:t>Vai ir skaidra norāde par to, ka iestādēm ir piemērots mandāts / pilnvaras šo uzdevumu veikšanai?</w:t>
      </w:r>
    </w:p>
    <w:p w14:paraId="631FDBD3"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informācija, kas liecina, ka šīm iestādēm ir administratīvās spējas (darbinieku skaits, darbinieku profili, institucionālā pieredze un zināšanas), lai veiktu šos uzdevumus?</w:t>
      </w:r>
    </w:p>
    <w:p w14:paraId="58412430"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norādes par to, ka par konstatētajiem pārkāpumiem tiks ziņots atbildīgajām kontroles iestādēm, valsts iestādēm un Eiropas Birojam krāpšanas apkarošanai?</w:t>
      </w:r>
    </w:p>
    <w:p w14:paraId="56162CEA" w14:textId="001C931C" w:rsidR="00AE7952" w:rsidRPr="00AE7952" w:rsidRDefault="00AE7952" w:rsidP="00AE7952">
      <w:pPr>
        <w:widowControl w:val="0"/>
        <w:spacing w:after="0" w:line="240" w:lineRule="auto"/>
        <w:jc w:val="both"/>
        <w:rPr>
          <w:rFonts w:eastAsia="Times New Roman"/>
          <w:color w:val="000000"/>
          <w:lang w:bidi="en-US"/>
        </w:rPr>
      </w:pPr>
      <w:r w:rsidRPr="00AE7952">
        <w:rPr>
          <w:rFonts w:eastAsia="Times New Roman"/>
          <w:color w:val="000000"/>
          <w:lang w:bidi="lv-LV"/>
        </w:rPr>
        <w:t xml:space="preserve">Vai ir īpašs krāpšanas apkarošanas pasākumu, tostarp krāpšanas novēršanas, apraksts? Vai ir norādes, vai krāpšanas riska novērtējums un atbilstošu krāpšanas apkarošanas pasākumu definīcija ir/tiks ieviesta attiecībā uz </w:t>
      </w:r>
      <w:r w:rsidR="00C86451" w:rsidRPr="00C86451">
        <w:rPr>
          <w:rFonts w:eastAsia="Times New Roman"/>
          <w:color w:val="000000"/>
          <w:lang w:bidi="lv-LV"/>
        </w:rPr>
        <w:t>Atveseļošanas fonda plān</w:t>
      </w:r>
      <w:r w:rsidR="00C86451">
        <w:rPr>
          <w:rFonts w:eastAsia="Times New Roman"/>
          <w:color w:val="000000"/>
          <w:lang w:bidi="lv-LV"/>
        </w:rPr>
        <w:t>u</w:t>
      </w:r>
      <w:r w:rsidRPr="00AE7952">
        <w:rPr>
          <w:rFonts w:eastAsia="Times New Roman"/>
          <w:color w:val="000000"/>
          <w:lang w:bidi="lv-LV"/>
        </w:rPr>
        <w:t xml:space="preserve"> kopumā vai konkrētiem pasākumiem?</w:t>
      </w:r>
    </w:p>
    <w:p w14:paraId="2BC5E0EE"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i/>
          <w:color w:val="000000"/>
          <w:u w:val="single"/>
          <w:lang w:bidi="lv-LV"/>
        </w:rPr>
        <w:t>Par katru komponentu un/vai reformu un ieguldījumiem</w:t>
      </w:r>
    </w:p>
    <w:p w14:paraId="6152CEB8"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Ja ministrija / iestāde ir atbildīga par komponenta kontroles uzdevumiem, vai tās loma un mijiedarbība ar centrālo koordinējošo iestādi ir skaidri aprakstīta?</w:t>
      </w:r>
    </w:p>
    <w:p w14:paraId="40D154E4"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Ja ministrija / iestāde ir atbildīga par komponenta kontroles uzdevumiem un tai ir līdzīgi uzdevumi kā centrālajai koordinācijas iestādei, vai iepriekš minētie jautājumi ir saistīti ar centrālo iestādi?</w:t>
      </w:r>
    </w:p>
    <w:p w14:paraId="39B285D2"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norāde, kuras IT sistēmas tiks izmantotas datu, jo īpaši datu par gala saņēmējiem, vākšanai un uzglabāšanai?</w:t>
      </w:r>
    </w:p>
    <w:p w14:paraId="10C49EB6" w14:textId="1B767DA0" w:rsidR="00AE7952" w:rsidRPr="00AE7952" w:rsidRDefault="00AE7952" w:rsidP="00AE7952">
      <w:pPr>
        <w:widowControl w:val="0"/>
        <w:spacing w:after="320" w:line="240" w:lineRule="auto"/>
        <w:jc w:val="both"/>
        <w:rPr>
          <w:rFonts w:eastAsia="Times New Roman"/>
          <w:color w:val="000000"/>
          <w:lang w:bidi="en-US"/>
        </w:rPr>
      </w:pPr>
      <w:r w:rsidRPr="00AE7952">
        <w:rPr>
          <w:rFonts w:eastAsia="Times New Roman"/>
          <w:color w:val="000000"/>
          <w:lang w:bidi="lv-LV"/>
        </w:rPr>
        <w:t xml:space="preserve">Vai ir norāde par to, vai dati tiks iesniegti vienotajā datu ieguves un riska vērtēšanas rīkā, kuru darīs pieejamu Komisija, un kā šis rīks tiks izmantots? (It īpaši, lai piekļūtu un analizētu attiecīgos datus par </w:t>
      </w:r>
      <w:r w:rsidR="00C86451" w:rsidRPr="00C86451">
        <w:rPr>
          <w:rFonts w:eastAsia="Times New Roman"/>
          <w:color w:val="000000"/>
          <w:lang w:bidi="lv-LV"/>
        </w:rPr>
        <w:t>Atveseļošanas fonda plāna</w:t>
      </w:r>
      <w:r w:rsidRPr="00AE7952">
        <w:rPr>
          <w:rFonts w:eastAsia="Times New Roman"/>
          <w:color w:val="000000"/>
          <w:lang w:bidi="lv-LV"/>
        </w:rPr>
        <w:t xml:space="preserve"> finansējuma saņēmējiem, lai uzlabotu kontroli un revīziju un nodrošinātu attiecīgo datu savietojamību.) Ja nē, vai ir norādes par valsts IT sistēmām, kuras tiks izmantotas tā vietā?</w:t>
      </w:r>
    </w:p>
    <w:p w14:paraId="6209624A" w14:textId="77777777" w:rsidR="00AE7952" w:rsidRPr="00AE7952" w:rsidRDefault="00AE7952" w:rsidP="00AE7952">
      <w:pPr>
        <w:keepNext/>
        <w:keepLines/>
        <w:widowControl w:val="0"/>
        <w:spacing w:after="320" w:line="240" w:lineRule="auto"/>
        <w:jc w:val="both"/>
        <w:outlineLvl w:val="0"/>
        <w:rPr>
          <w:rFonts w:eastAsia="Times New Roman"/>
          <w:b/>
          <w:bCs/>
          <w:color w:val="000000"/>
          <w:lang w:bidi="en-US"/>
        </w:rPr>
      </w:pPr>
      <w:r w:rsidRPr="00AE7952">
        <w:rPr>
          <w:rFonts w:eastAsia="Times New Roman"/>
          <w:b/>
          <w:bCs/>
          <w:color w:val="000000"/>
          <w:lang w:bidi="lv-LV"/>
        </w:rPr>
        <w:t>Revīzija</w:t>
      </w:r>
    </w:p>
    <w:p w14:paraId="1D0C973D" w14:textId="77777777" w:rsidR="00AE7952" w:rsidRPr="00AE7952" w:rsidRDefault="00AE7952" w:rsidP="00AE7952">
      <w:pPr>
        <w:widowControl w:val="0"/>
        <w:spacing w:after="40" w:line="240" w:lineRule="auto"/>
        <w:jc w:val="both"/>
        <w:rPr>
          <w:rFonts w:eastAsia="Times New Roman"/>
          <w:color w:val="000000"/>
          <w:lang w:bidi="en-US"/>
        </w:rPr>
      </w:pPr>
      <w:r w:rsidRPr="00AE7952">
        <w:rPr>
          <w:rFonts w:eastAsia="Times New Roman"/>
          <w:i/>
          <w:color w:val="000000"/>
          <w:u w:val="single"/>
          <w:lang w:bidi="lv-LV"/>
        </w:rPr>
        <w:t>Centrālais līmenis</w:t>
      </w:r>
    </w:p>
    <w:p w14:paraId="0712B749"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norādītas par revīziju un izmeklēšanu valsts līmenī atbildīgās iestādes un to konkrētā loma?</w:t>
      </w:r>
    </w:p>
    <w:p w14:paraId="740E20DE"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Vai ir skaidra norāde par to, ka iestādēm ir piemērots mandāts / pilnvaras šo uzdevumu veikšanai?</w:t>
      </w:r>
    </w:p>
    <w:p w14:paraId="5D0FCB13" w14:textId="77777777"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lastRenderedPageBreak/>
        <w:t>Vai ir informācija, kas liecina, ka šīm iestādēm ir administratīvās spējas (darbinieku skaits, darbinieku profili, institucionālā pieredze un zināšanas), lai veiktu šos uzdevumus?</w:t>
      </w:r>
    </w:p>
    <w:p w14:paraId="41EE7D6E" w14:textId="2955917C" w:rsidR="00AE7952" w:rsidRPr="00AE7952" w:rsidRDefault="00AE7952" w:rsidP="00AE7952">
      <w:pPr>
        <w:widowControl w:val="0"/>
        <w:spacing w:after="260" w:line="240" w:lineRule="auto"/>
        <w:ind w:left="740"/>
        <w:jc w:val="both"/>
        <w:rPr>
          <w:rFonts w:eastAsia="Times New Roman"/>
          <w:color w:val="000000"/>
          <w:lang w:bidi="en-US"/>
        </w:rPr>
      </w:pPr>
      <w:r w:rsidRPr="00AE7952">
        <w:rPr>
          <w:rFonts w:eastAsia="Times New Roman"/>
          <w:color w:val="000000"/>
          <w:lang w:bidi="lv-LV"/>
        </w:rPr>
        <w:t xml:space="preserve">Vai ir norāde par to, kā tiks nodrošināta to ministriju/iestāžu funkcionālā neatkarība, kuras atbild par </w:t>
      </w:r>
      <w:r w:rsidR="00C86451" w:rsidRPr="00C86451">
        <w:rPr>
          <w:rFonts w:eastAsia="Times New Roman"/>
          <w:color w:val="000000"/>
          <w:lang w:bidi="lv-LV"/>
        </w:rPr>
        <w:t>Atveseļošanas fonda plāna</w:t>
      </w:r>
      <w:r w:rsidRPr="00AE7952">
        <w:rPr>
          <w:rFonts w:eastAsia="Times New Roman"/>
          <w:color w:val="000000"/>
          <w:lang w:bidi="lv-LV"/>
        </w:rPr>
        <w:t xml:space="preserve"> īstenošanas </w:t>
      </w:r>
      <w:r w:rsidRPr="00AE7952">
        <w:rPr>
          <w:rFonts w:eastAsia="Times New Roman"/>
          <w:color w:val="000000"/>
          <w:u w:val="single"/>
          <w:lang w:bidi="lv-LV"/>
        </w:rPr>
        <w:t>revīziju</w:t>
      </w:r>
      <w:r w:rsidRPr="00AE7952">
        <w:rPr>
          <w:rFonts w:eastAsia="Times New Roman"/>
          <w:color w:val="000000"/>
          <w:lang w:bidi="lv-LV"/>
        </w:rPr>
        <w:t xml:space="preserve">, salīdzinājumā ar ministrijām / iestādēm, kas iesaistītas </w:t>
      </w:r>
      <w:r w:rsidR="00C86451" w:rsidRPr="00C86451">
        <w:rPr>
          <w:rFonts w:eastAsia="Times New Roman"/>
          <w:color w:val="000000"/>
          <w:lang w:bidi="lv-LV"/>
        </w:rPr>
        <w:t>Atveseļošanas fonda plāna</w:t>
      </w:r>
      <w:r w:rsidRPr="00AE7952">
        <w:rPr>
          <w:rFonts w:eastAsia="Times New Roman"/>
          <w:color w:val="000000"/>
          <w:lang w:bidi="lv-LV"/>
        </w:rPr>
        <w:t xml:space="preserve"> </w:t>
      </w:r>
      <w:r w:rsidRPr="00AE7952">
        <w:rPr>
          <w:rFonts w:eastAsia="Times New Roman"/>
          <w:color w:val="000000"/>
          <w:u w:val="single"/>
          <w:lang w:bidi="lv-LV"/>
        </w:rPr>
        <w:t>īstenošanā</w:t>
      </w:r>
      <w:r w:rsidRPr="00AE7952">
        <w:rPr>
          <w:rFonts w:eastAsia="Times New Roman"/>
          <w:color w:val="000000"/>
          <w:lang w:bidi="lv-LV"/>
        </w:rPr>
        <w:t>?</w:t>
      </w:r>
    </w:p>
    <w:p w14:paraId="754EC384" w14:textId="77777777" w:rsidR="00AE7952" w:rsidRPr="00AE7952" w:rsidRDefault="00AE7952" w:rsidP="00AE7952">
      <w:pPr>
        <w:widowControl w:val="0"/>
        <w:spacing w:after="260" w:line="240" w:lineRule="auto"/>
        <w:jc w:val="both"/>
        <w:rPr>
          <w:rFonts w:eastAsia="Times New Roman"/>
          <w:color w:val="000000"/>
          <w:lang w:bidi="en-US"/>
        </w:rPr>
      </w:pPr>
      <w:r w:rsidRPr="00AE7952">
        <w:rPr>
          <w:rFonts w:eastAsia="Times New Roman"/>
          <w:color w:val="000000"/>
          <w:lang w:bidi="lv-LV"/>
        </w:rPr>
        <w:t>Vai ir norādīta revīzijas stratēģija, jo īpaši revīziju biežums un veids, kas aptver gan esošās sistēmas, gan pamatā esošās darbības (t. i., atbalstu, kas sniegts gala saņēmējiem)?</w:t>
      </w:r>
    </w:p>
    <w:p w14:paraId="69AFA7FF" w14:textId="77777777" w:rsidR="00AE7952" w:rsidRPr="00AE7952" w:rsidRDefault="00AE7952" w:rsidP="00AE7952">
      <w:pPr>
        <w:keepNext/>
        <w:keepLines/>
        <w:widowControl w:val="0"/>
        <w:spacing w:after="280" w:line="240" w:lineRule="auto"/>
        <w:outlineLvl w:val="0"/>
        <w:rPr>
          <w:rFonts w:eastAsia="Times New Roman"/>
          <w:b/>
          <w:bCs/>
          <w:color w:val="000000"/>
          <w:lang w:bidi="en-US"/>
        </w:rPr>
      </w:pPr>
      <w:r w:rsidRPr="00AE7952">
        <w:rPr>
          <w:rFonts w:eastAsia="Times New Roman"/>
          <w:b/>
          <w:bCs/>
          <w:color w:val="000000"/>
          <w:lang w:bidi="lv-LV"/>
        </w:rPr>
        <w:t>Dubultais finansējums</w:t>
      </w:r>
    </w:p>
    <w:p w14:paraId="12CCC405" w14:textId="77777777" w:rsidR="00AE7952" w:rsidRPr="00AE7952" w:rsidRDefault="00AE7952" w:rsidP="00AE7952">
      <w:pPr>
        <w:widowControl w:val="0"/>
        <w:spacing w:after="280" w:line="240" w:lineRule="auto"/>
        <w:rPr>
          <w:rFonts w:eastAsia="Times New Roman"/>
          <w:color w:val="000000"/>
          <w:lang w:bidi="en-US"/>
        </w:rPr>
      </w:pPr>
      <w:r w:rsidRPr="00AE7952">
        <w:rPr>
          <w:rFonts w:eastAsia="Times New Roman"/>
          <w:color w:val="000000"/>
          <w:lang w:bidi="lv-LV"/>
        </w:rPr>
        <w:t>Vai ir aprakstīti dažādu iesaistīto struktūru pienākumi un attiecīgie procesi, lai nodrošinātu dažādu ES finansēšanas avotu pārvaldības papildināmību un koordināciju? Turklāt:</w:t>
      </w:r>
    </w:p>
    <w:p w14:paraId="5488BA40" w14:textId="77777777" w:rsidR="00AE7952" w:rsidRPr="00AE7952" w:rsidRDefault="00AE7952" w:rsidP="00AE7952">
      <w:pPr>
        <w:widowControl w:val="0"/>
        <w:numPr>
          <w:ilvl w:val="0"/>
          <w:numId w:val="2"/>
        </w:numPr>
        <w:tabs>
          <w:tab w:val="left" w:pos="748"/>
        </w:tabs>
        <w:spacing w:after="0" w:line="240" w:lineRule="auto"/>
        <w:rPr>
          <w:rFonts w:eastAsia="Times New Roman"/>
          <w:color w:val="000000"/>
          <w:lang w:bidi="en-US"/>
        </w:rPr>
      </w:pPr>
      <w:r w:rsidRPr="00AE7952">
        <w:rPr>
          <w:rFonts w:eastAsia="Times New Roman"/>
          <w:color w:val="000000"/>
          <w:lang w:bidi="lv-LV"/>
        </w:rPr>
        <w:t>Vai tiek ņemti vērā visi acīmredzamie datu avoti?</w:t>
      </w:r>
    </w:p>
    <w:p w14:paraId="1C5DF933" w14:textId="77777777" w:rsidR="00AE7952" w:rsidRPr="00AE7952" w:rsidRDefault="00AE7952" w:rsidP="00AE7952">
      <w:pPr>
        <w:widowControl w:val="0"/>
        <w:numPr>
          <w:ilvl w:val="0"/>
          <w:numId w:val="2"/>
        </w:numPr>
        <w:tabs>
          <w:tab w:val="left" w:pos="748"/>
        </w:tabs>
        <w:spacing w:after="0" w:line="240" w:lineRule="auto"/>
        <w:rPr>
          <w:rFonts w:eastAsia="Times New Roman"/>
          <w:color w:val="000000"/>
          <w:lang w:bidi="en-US"/>
        </w:rPr>
      </w:pPr>
      <w:r w:rsidRPr="00AE7952">
        <w:rPr>
          <w:rFonts w:eastAsia="Times New Roman"/>
          <w:color w:val="000000"/>
          <w:lang w:bidi="lv-LV"/>
        </w:rPr>
        <w:t>Vai ir pietiekama koordinācija ar citām atbildīgajām iestādēm?</w:t>
      </w:r>
    </w:p>
    <w:p w14:paraId="5C2DEC19" w14:textId="77777777" w:rsidR="00AE7952" w:rsidRPr="00AE7952" w:rsidRDefault="00AE7952" w:rsidP="00AE7952">
      <w:pPr>
        <w:widowControl w:val="0"/>
        <w:numPr>
          <w:ilvl w:val="0"/>
          <w:numId w:val="2"/>
        </w:numPr>
        <w:tabs>
          <w:tab w:val="left" w:pos="748"/>
        </w:tabs>
        <w:spacing w:after="0" w:line="240" w:lineRule="auto"/>
        <w:rPr>
          <w:rFonts w:eastAsia="Times New Roman"/>
          <w:color w:val="000000"/>
          <w:lang w:bidi="en-US"/>
        </w:rPr>
      </w:pPr>
      <w:r w:rsidRPr="00AE7952">
        <w:rPr>
          <w:rFonts w:eastAsia="Times New Roman"/>
          <w:color w:val="000000"/>
          <w:lang w:bidi="lv-LV"/>
        </w:rPr>
        <w:t>Vai pastāv sistemātiska finansējuma plūsmu nošķiršana?</w:t>
      </w:r>
    </w:p>
    <w:p w14:paraId="68C75B5D" w14:textId="77777777" w:rsidR="00AE7952" w:rsidRPr="00AE7952" w:rsidRDefault="00AE7952" w:rsidP="00AE7952">
      <w:pPr>
        <w:widowControl w:val="0"/>
        <w:numPr>
          <w:ilvl w:val="0"/>
          <w:numId w:val="2"/>
        </w:numPr>
        <w:tabs>
          <w:tab w:val="left" w:pos="748"/>
        </w:tabs>
        <w:spacing w:after="280" w:line="240" w:lineRule="auto"/>
        <w:rPr>
          <w:rFonts w:eastAsia="Times New Roman"/>
          <w:color w:val="000000"/>
          <w:lang w:bidi="en-US"/>
        </w:rPr>
      </w:pPr>
      <w:r w:rsidRPr="00AE7952">
        <w:rPr>
          <w:rFonts w:eastAsia="Times New Roman"/>
          <w:color w:val="000000"/>
          <w:lang w:bidi="lv-LV"/>
        </w:rPr>
        <w:t>Vai ir paredzētas savstarpējas pārbaudes?</w:t>
      </w:r>
    </w:p>
    <w:p w14:paraId="4308E849" w14:textId="31B3C5CB" w:rsidR="00AE7952" w:rsidRDefault="00922609" w:rsidP="00922609">
      <w:pPr>
        <w:tabs>
          <w:tab w:val="left" w:pos="6780"/>
        </w:tabs>
      </w:pPr>
      <w:r>
        <w:tab/>
      </w:r>
    </w:p>
    <w:p w14:paraId="58B7C5F3" w14:textId="1D31E6E0" w:rsidR="00922609" w:rsidRDefault="00922609" w:rsidP="00922609">
      <w:pPr>
        <w:tabs>
          <w:tab w:val="left" w:pos="6780"/>
        </w:tabs>
      </w:pPr>
    </w:p>
    <w:p w14:paraId="1E72F2EC" w14:textId="12D2626A" w:rsidR="00922609" w:rsidRPr="00AE7952" w:rsidRDefault="00922609" w:rsidP="00922609">
      <w:pPr>
        <w:tabs>
          <w:tab w:val="left" w:pos="6780"/>
        </w:tabs>
      </w:pPr>
      <w:r>
        <w:t xml:space="preserve">Finanšu ministrs </w:t>
      </w:r>
      <w:r>
        <w:tab/>
      </w:r>
      <w:r>
        <w:tab/>
        <w:t>J. Reirs</w:t>
      </w:r>
    </w:p>
    <w:p w14:paraId="47C408C5" w14:textId="77777777" w:rsidR="00AE7952" w:rsidRPr="00AE7952" w:rsidRDefault="00AE7952" w:rsidP="00AE7952">
      <w:pPr>
        <w:jc w:val="center"/>
      </w:pPr>
    </w:p>
    <w:p w14:paraId="05C41D83" w14:textId="77777777" w:rsidR="002E21F2" w:rsidRDefault="002E21F2"/>
    <w:sectPr w:rsidR="002E21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18509" w14:textId="77777777" w:rsidR="00E612CA" w:rsidRDefault="00E612CA" w:rsidP="00AE7952">
      <w:pPr>
        <w:spacing w:after="0" w:line="240" w:lineRule="auto"/>
      </w:pPr>
      <w:r>
        <w:separator/>
      </w:r>
    </w:p>
  </w:endnote>
  <w:endnote w:type="continuationSeparator" w:id="0">
    <w:p w14:paraId="2DBBCA44" w14:textId="77777777" w:rsidR="00E612CA" w:rsidRDefault="00E612CA" w:rsidP="00AE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ACEF" w14:textId="77777777" w:rsidR="008F0CBE" w:rsidRDefault="008F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333461"/>
      <w:docPartObj>
        <w:docPartGallery w:val="Page Numbers (Bottom of Page)"/>
        <w:docPartUnique/>
      </w:docPartObj>
    </w:sdtPr>
    <w:sdtEndPr>
      <w:rPr>
        <w:noProof/>
      </w:rPr>
    </w:sdtEndPr>
    <w:sdtContent>
      <w:p w14:paraId="4BB420CE" w14:textId="44D885D6" w:rsidR="0010643E" w:rsidRDefault="001064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E8870E" w14:textId="5A5876C7" w:rsidR="00AE7952" w:rsidRPr="00AE7952" w:rsidRDefault="008F0CBE">
    <w:pPr>
      <w:pStyle w:val="Footer"/>
      <w:rPr>
        <w:sz w:val="20"/>
        <w:szCs w:val="20"/>
      </w:rPr>
    </w:pPr>
    <w:r>
      <w:rPr>
        <w:sz w:val="20"/>
        <w:szCs w:val="20"/>
      </w:rPr>
      <w:t>FMZinp_270821_ANM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150C" w14:textId="77777777" w:rsidR="008F0CBE" w:rsidRDefault="008F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9B94" w14:textId="77777777" w:rsidR="00E612CA" w:rsidRDefault="00E612CA" w:rsidP="00AE7952">
      <w:pPr>
        <w:spacing w:after="0" w:line="240" w:lineRule="auto"/>
      </w:pPr>
      <w:r>
        <w:separator/>
      </w:r>
    </w:p>
  </w:footnote>
  <w:footnote w:type="continuationSeparator" w:id="0">
    <w:p w14:paraId="14ACC377" w14:textId="77777777" w:rsidR="00E612CA" w:rsidRDefault="00E612CA" w:rsidP="00AE7952">
      <w:pPr>
        <w:spacing w:after="0" w:line="240" w:lineRule="auto"/>
      </w:pPr>
      <w:r>
        <w:continuationSeparator/>
      </w:r>
    </w:p>
  </w:footnote>
  <w:footnote w:id="1">
    <w:p w14:paraId="469135A6" w14:textId="77777777" w:rsidR="00AE7952" w:rsidRDefault="00AE7952" w:rsidP="00AE7952">
      <w:pPr>
        <w:pStyle w:val="FootnoteText"/>
      </w:pPr>
      <w:r>
        <w:rPr>
          <w:rStyle w:val="FootnoteReference"/>
        </w:rPr>
        <w:footnoteRef/>
      </w:r>
      <w:r>
        <w:t xml:space="preserve"> Detalizētāk aprakstīts EK </w:t>
      </w:r>
      <w:r w:rsidRPr="00D861E4">
        <w:t>nolīgum</w:t>
      </w:r>
      <w:r>
        <w:t>a projekta 1.pielikumā</w:t>
      </w:r>
    </w:p>
  </w:footnote>
  <w:footnote w:id="2">
    <w:p w14:paraId="4BC3F11A" w14:textId="77777777" w:rsidR="00AE7952" w:rsidRPr="007679A9" w:rsidRDefault="00AE7952" w:rsidP="00AE7952">
      <w:pPr>
        <w:pStyle w:val="Footnote0"/>
        <w:shd w:val="clear" w:color="auto" w:fill="auto"/>
        <w:rPr>
          <w:lang w:val="fr-FR"/>
        </w:rPr>
      </w:pPr>
      <w:r>
        <w:rPr>
          <w:color w:val="000000"/>
          <w:u w:val="none"/>
          <w:vertAlign w:val="superscript"/>
          <w:lang w:bidi="lv-LV"/>
        </w:rPr>
        <w:footnoteRef/>
      </w:r>
      <w:r w:rsidRPr="007679A9">
        <w:rPr>
          <w:color w:val="000000"/>
          <w:u w:val="none"/>
          <w:lang w:bidi="lv-LV"/>
        </w:rPr>
        <w:t>1. daļa — Norādījumi:</w:t>
      </w:r>
      <w:hyperlink r:id="rId1" w:history="1">
        <w:r w:rsidRPr="007679A9">
          <w:rPr>
            <w:color w:val="000000"/>
            <w:u w:val="none"/>
            <w:lang w:bidi="lv-LV"/>
          </w:rPr>
          <w:t xml:space="preserve"> </w:t>
        </w:r>
        <w:r w:rsidRPr="007679A9">
          <w:rPr>
            <w:lang w:bidi="lv-LV"/>
          </w:rPr>
          <w:t>https://ec.europa.eu/info/files/guidance-member-states-recoverv-and-resilience-plans en</w:t>
        </w:r>
      </w:hyperlink>
    </w:p>
    <w:p w14:paraId="37055D72" w14:textId="77777777" w:rsidR="00AE7952" w:rsidRDefault="00AE7952" w:rsidP="00AE7952">
      <w:pPr>
        <w:pStyle w:val="Footnote0"/>
        <w:shd w:val="clear" w:color="auto" w:fill="auto"/>
      </w:pPr>
      <w:r>
        <w:rPr>
          <w:color w:val="000000"/>
          <w:u w:val="none"/>
          <w:lang w:bidi="lv-LV"/>
        </w:rPr>
        <w:t>2. daļa — Paraugs:</w:t>
      </w:r>
      <w:hyperlink r:id="rId2" w:history="1">
        <w:r>
          <w:rPr>
            <w:color w:val="000000"/>
            <w:u w:val="none"/>
            <w:lang w:bidi="lv-LV"/>
          </w:rPr>
          <w:t xml:space="preserve"> </w:t>
        </w:r>
        <w:r>
          <w:rPr>
            <w:lang w:bidi="lv-LV"/>
          </w:rPr>
          <w:t>https://ec.europa.eu/info/files/commission-staff-working-document-draft-template-recoverv-and-</w:t>
        </w:r>
      </w:hyperlink>
      <w:r>
        <w:rPr>
          <w:lang w:bidi="lv-LV"/>
        </w:rPr>
        <w:t xml:space="preserve"> </w:t>
      </w:r>
      <w:hyperlink r:id="rId3" w:history="1">
        <w:r>
          <w:rPr>
            <w:lang w:bidi="lv-LV"/>
          </w:rPr>
          <w:t>resilience-plans 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0CC1" w14:textId="77777777" w:rsidR="008F0CBE" w:rsidRDefault="008F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63A4" w14:textId="77777777" w:rsidR="008F0CBE" w:rsidRDefault="008F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2A09" w14:textId="77777777" w:rsidR="008F0CBE" w:rsidRDefault="008F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319DF"/>
    <w:multiLevelType w:val="multilevel"/>
    <w:tmpl w:val="4A46F3A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91B8F"/>
    <w:multiLevelType w:val="multilevel"/>
    <w:tmpl w:val="E020C25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52"/>
    <w:rsid w:val="000E1E61"/>
    <w:rsid w:val="0010643E"/>
    <w:rsid w:val="00195504"/>
    <w:rsid w:val="00267083"/>
    <w:rsid w:val="0028700F"/>
    <w:rsid w:val="002E21F2"/>
    <w:rsid w:val="003440E4"/>
    <w:rsid w:val="003D2107"/>
    <w:rsid w:val="003E7C73"/>
    <w:rsid w:val="008F0CBE"/>
    <w:rsid w:val="00922609"/>
    <w:rsid w:val="00AE6967"/>
    <w:rsid w:val="00AE7952"/>
    <w:rsid w:val="00C827C8"/>
    <w:rsid w:val="00C86451"/>
    <w:rsid w:val="00E612CA"/>
    <w:rsid w:val="00FF3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CCE7"/>
  <w15:chartTrackingRefBased/>
  <w15:docId w15:val="{9B362C55-3EE0-4201-82C1-4369CC9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952"/>
  </w:style>
  <w:style w:type="paragraph" w:styleId="Footer">
    <w:name w:val="footer"/>
    <w:basedOn w:val="Normal"/>
    <w:link w:val="FooterChar"/>
    <w:uiPriority w:val="99"/>
    <w:unhideWhenUsed/>
    <w:rsid w:val="00AE79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952"/>
  </w:style>
  <w:style w:type="paragraph" w:styleId="BalloonText">
    <w:name w:val="Balloon Text"/>
    <w:basedOn w:val="Normal"/>
    <w:link w:val="BalloonTextChar"/>
    <w:uiPriority w:val="99"/>
    <w:semiHidden/>
    <w:unhideWhenUsed/>
    <w:rsid w:val="00AE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52"/>
    <w:rPr>
      <w:rFonts w:ascii="Segoe UI" w:hAnsi="Segoe UI" w:cs="Segoe UI"/>
      <w:sz w:val="18"/>
      <w:szCs w:val="18"/>
    </w:rPr>
  </w:style>
  <w:style w:type="paragraph" w:styleId="FootnoteText">
    <w:name w:val="footnote text"/>
    <w:basedOn w:val="Normal"/>
    <w:link w:val="FootnoteTextChar"/>
    <w:uiPriority w:val="99"/>
    <w:semiHidden/>
    <w:unhideWhenUsed/>
    <w:rsid w:val="00AE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52"/>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E7952"/>
    <w:rPr>
      <w:vertAlign w:val="superscript"/>
    </w:rPr>
  </w:style>
  <w:style w:type="paragraph" w:customStyle="1" w:styleId="CharCharCharChar">
    <w:name w:val="Char Char Char Char"/>
    <w:aliases w:val="Char2"/>
    <w:basedOn w:val="Normal"/>
    <w:next w:val="Normal"/>
    <w:link w:val="FootnoteReference"/>
    <w:uiPriority w:val="99"/>
    <w:rsid w:val="00AE7952"/>
    <w:pPr>
      <w:spacing w:line="240" w:lineRule="exact"/>
      <w:ind w:left="567" w:hanging="499"/>
      <w:jc w:val="both"/>
      <w:textAlignment w:val="baseline"/>
    </w:pPr>
    <w:rPr>
      <w:vertAlign w:val="superscript"/>
    </w:rPr>
  </w:style>
  <w:style w:type="character" w:customStyle="1" w:styleId="Footnote">
    <w:name w:val="Footnote_"/>
    <w:basedOn w:val="DefaultParagraphFont"/>
    <w:link w:val="Footnote0"/>
    <w:rsid w:val="00AE7952"/>
    <w:rPr>
      <w:rFonts w:eastAsia="Times New Roman"/>
      <w:color w:val="0000FF"/>
      <w:sz w:val="20"/>
      <w:szCs w:val="20"/>
      <w:u w:val="single"/>
      <w:shd w:val="clear" w:color="auto" w:fill="FFFFFF"/>
    </w:rPr>
  </w:style>
  <w:style w:type="paragraph" w:customStyle="1" w:styleId="Footnote0">
    <w:name w:val="Footnote"/>
    <w:basedOn w:val="Normal"/>
    <w:link w:val="Footnote"/>
    <w:rsid w:val="00AE7952"/>
    <w:pPr>
      <w:widowControl w:val="0"/>
      <w:shd w:val="clear" w:color="auto" w:fill="FFFFFF"/>
      <w:spacing w:after="0" w:line="240" w:lineRule="auto"/>
    </w:pPr>
    <w:rPr>
      <w:rFonts w:eastAsia="Times New Roman"/>
      <w:color w:val="0000FF"/>
      <w:sz w:val="20"/>
      <w:szCs w:val="20"/>
      <w:u w:val="single"/>
    </w:rPr>
  </w:style>
  <w:style w:type="character" w:styleId="CommentReference">
    <w:name w:val="annotation reference"/>
    <w:basedOn w:val="DefaultParagraphFont"/>
    <w:uiPriority w:val="99"/>
    <w:semiHidden/>
    <w:unhideWhenUsed/>
    <w:rsid w:val="003440E4"/>
    <w:rPr>
      <w:sz w:val="16"/>
      <w:szCs w:val="16"/>
    </w:rPr>
  </w:style>
  <w:style w:type="paragraph" w:styleId="CommentText">
    <w:name w:val="annotation text"/>
    <w:basedOn w:val="Normal"/>
    <w:link w:val="CommentTextChar"/>
    <w:uiPriority w:val="99"/>
    <w:semiHidden/>
    <w:unhideWhenUsed/>
    <w:rsid w:val="003440E4"/>
    <w:pPr>
      <w:spacing w:line="240" w:lineRule="auto"/>
    </w:pPr>
    <w:rPr>
      <w:sz w:val="20"/>
      <w:szCs w:val="20"/>
    </w:rPr>
  </w:style>
  <w:style w:type="character" w:customStyle="1" w:styleId="CommentTextChar">
    <w:name w:val="Comment Text Char"/>
    <w:basedOn w:val="DefaultParagraphFont"/>
    <w:link w:val="CommentText"/>
    <w:uiPriority w:val="99"/>
    <w:semiHidden/>
    <w:rsid w:val="003440E4"/>
    <w:rPr>
      <w:sz w:val="20"/>
      <w:szCs w:val="20"/>
    </w:rPr>
  </w:style>
  <w:style w:type="paragraph" w:styleId="CommentSubject">
    <w:name w:val="annotation subject"/>
    <w:basedOn w:val="CommentText"/>
    <w:next w:val="CommentText"/>
    <w:link w:val="CommentSubjectChar"/>
    <w:uiPriority w:val="99"/>
    <w:semiHidden/>
    <w:unhideWhenUsed/>
    <w:rsid w:val="003440E4"/>
    <w:rPr>
      <w:b/>
      <w:bCs/>
    </w:rPr>
  </w:style>
  <w:style w:type="character" w:customStyle="1" w:styleId="CommentSubjectChar">
    <w:name w:val="Comment Subject Char"/>
    <w:basedOn w:val="CommentTextChar"/>
    <w:link w:val="CommentSubject"/>
    <w:uiPriority w:val="99"/>
    <w:semiHidden/>
    <w:rsid w:val="00344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iles/commission-staff-working-document-draft-template-recovery-and-resilience-plans_en" TargetMode="External"/><Relationship Id="rId2" Type="http://schemas.openxmlformats.org/officeDocument/2006/relationships/hyperlink" Target="https://ec.europa.eu/info/files/commission-staff-working-document-draft-template-recovery-and-resilience-plans_en" TargetMode="External"/><Relationship Id="rId1" Type="http://schemas.openxmlformats.org/officeDocument/2006/relationships/hyperlink" Target="https://ec.europa.eu/info/files/guidance-member-states-recovery-and-resilience-pla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8D09-4FF8-4F23-B6E0-3AF553B0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6582</Words>
  <Characters>3753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Informatīvais ziņojums par Latvijas Atveseļošanas un noturības mehānisma plāna ieviešanu pielikums</vt:lpstr>
    </vt:vector>
  </TitlesOfParts>
  <Company>Finanšu ministrija</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Atveseļošanas un noturības mehānisma plāna ieviešanu pielikums</dc:title>
  <dc:subject>Informatīvā ziņojuma projekta pielikums</dc:subject>
  <dc:creator>Kristaps Konrāds</dc:creator>
  <cp:keywords/>
  <dc:description>67095692, kristaps.konrads@fm.gov.lv</dc:description>
  <cp:lastModifiedBy>Inita Petrova</cp:lastModifiedBy>
  <cp:revision>4</cp:revision>
  <dcterms:created xsi:type="dcterms:W3CDTF">2021-08-27T17:25:00Z</dcterms:created>
  <dcterms:modified xsi:type="dcterms:W3CDTF">2021-08-27T17:26:00Z</dcterms:modified>
</cp:coreProperties>
</file>