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4C4A" w14:textId="77777777" w:rsidR="00C807A3" w:rsidRPr="0034771E" w:rsidRDefault="00C807A3" w:rsidP="00C807A3">
      <w:pPr>
        <w:spacing w:after="0" w:line="240" w:lineRule="auto"/>
        <w:jc w:val="center"/>
        <w:rPr>
          <w:rFonts w:ascii="Times New Roman" w:eastAsia="Times New Roman" w:hAnsi="Times New Roman" w:cs="Times New Roman"/>
          <w:b/>
          <w:color w:val="000000" w:themeColor="text1"/>
          <w:sz w:val="28"/>
          <w:szCs w:val="28"/>
          <w:lang w:eastAsia="zh-TW"/>
        </w:rPr>
      </w:pPr>
      <w:bookmarkStart w:id="0" w:name="_Hlk51656068"/>
      <w:r w:rsidRPr="0034771E">
        <w:rPr>
          <w:rFonts w:ascii="Times New Roman" w:eastAsia="Times New Roman" w:hAnsi="Times New Roman" w:cs="Times New Roman"/>
          <w:b/>
          <w:color w:val="000000" w:themeColor="text1"/>
          <w:sz w:val="28"/>
          <w:szCs w:val="28"/>
          <w:lang w:eastAsia="zh-TW"/>
        </w:rPr>
        <w:t>Informatīvais ziņojums</w:t>
      </w:r>
    </w:p>
    <w:p w14:paraId="5BED689B" w14:textId="77777777" w:rsidR="00D11772" w:rsidRPr="0034771E" w:rsidRDefault="00D11772" w:rsidP="00C807A3">
      <w:pPr>
        <w:spacing w:after="0" w:line="240" w:lineRule="auto"/>
        <w:jc w:val="center"/>
        <w:rPr>
          <w:rFonts w:ascii="Times New Roman" w:eastAsia="Times New Roman" w:hAnsi="Times New Roman" w:cs="Times New Roman"/>
          <w:b/>
          <w:color w:val="000000" w:themeColor="text1"/>
          <w:sz w:val="28"/>
          <w:szCs w:val="28"/>
          <w:lang w:eastAsia="zh-TW"/>
        </w:rPr>
      </w:pPr>
      <w:r w:rsidRPr="0034771E">
        <w:rPr>
          <w:rFonts w:ascii="Times New Roman" w:eastAsia="Times New Roman" w:hAnsi="Times New Roman" w:cs="Times New Roman"/>
          <w:b/>
          <w:color w:val="000000" w:themeColor="text1"/>
          <w:sz w:val="28"/>
          <w:szCs w:val="28"/>
          <w:lang w:eastAsia="zh-TW"/>
        </w:rPr>
        <w:t xml:space="preserve">“Par Sauszemes transportlīdzekļu īpašnieku civiltiesiskās atbildības obligātās apdrošināšanas likuma 14.pantā noteiktā tiesiskā regulējuma </w:t>
      </w:r>
      <w:proofErr w:type="spellStart"/>
      <w:r w:rsidRPr="0034771E">
        <w:rPr>
          <w:rFonts w:ascii="Times New Roman" w:eastAsia="Times New Roman" w:hAnsi="Times New Roman" w:cs="Times New Roman"/>
          <w:b/>
          <w:color w:val="000000" w:themeColor="text1"/>
          <w:sz w:val="28"/>
          <w:szCs w:val="28"/>
          <w:lang w:eastAsia="zh-TW"/>
        </w:rPr>
        <w:t>izvērtējumu</w:t>
      </w:r>
      <w:proofErr w:type="spellEnd"/>
      <w:r w:rsidRPr="0034771E">
        <w:rPr>
          <w:rFonts w:ascii="Times New Roman" w:eastAsia="Times New Roman" w:hAnsi="Times New Roman" w:cs="Times New Roman"/>
          <w:b/>
          <w:color w:val="000000" w:themeColor="text1"/>
          <w:sz w:val="28"/>
          <w:szCs w:val="28"/>
          <w:lang w:eastAsia="zh-TW"/>
        </w:rPr>
        <w:t>”</w:t>
      </w:r>
    </w:p>
    <w:bookmarkEnd w:id="0"/>
    <w:p w14:paraId="3DD2E537" w14:textId="77777777" w:rsidR="00FE06F8" w:rsidRPr="0034771E" w:rsidRDefault="00FE06F8" w:rsidP="00B9719A">
      <w:pPr>
        <w:spacing w:after="0"/>
        <w:jc w:val="both"/>
        <w:rPr>
          <w:rFonts w:ascii="Times New Roman" w:eastAsia="Times New Roman" w:hAnsi="Times New Roman" w:cs="Times New Roman"/>
          <w:color w:val="000000" w:themeColor="text1"/>
          <w:sz w:val="24"/>
          <w:szCs w:val="24"/>
          <w:lang w:eastAsia="en-GB"/>
        </w:rPr>
      </w:pPr>
    </w:p>
    <w:p w14:paraId="5EB03FD4" w14:textId="77777777" w:rsidR="00DA3D86" w:rsidRPr="0034771E" w:rsidRDefault="0063379B" w:rsidP="0063379B">
      <w:pPr>
        <w:jc w:val="both"/>
        <w:rPr>
          <w:rFonts w:ascii="Times New Roman" w:eastAsia="Times New Roman" w:hAnsi="Times New Roman" w:cs="Times New Roman"/>
          <w:color w:val="000000" w:themeColor="text1"/>
          <w:sz w:val="24"/>
          <w:szCs w:val="24"/>
          <w:lang w:eastAsia="en-GB"/>
        </w:rPr>
      </w:pPr>
      <w:r w:rsidRPr="0034771E">
        <w:rPr>
          <w:rFonts w:ascii="Times New Roman" w:eastAsia="Times New Roman" w:hAnsi="Times New Roman" w:cs="Times New Roman"/>
          <w:color w:val="000000" w:themeColor="text1"/>
          <w:sz w:val="24"/>
          <w:szCs w:val="24"/>
          <w:lang w:eastAsia="en-GB"/>
        </w:rPr>
        <w:tab/>
      </w:r>
      <w:r w:rsidR="00C807A3" w:rsidRPr="0034771E">
        <w:rPr>
          <w:rFonts w:ascii="Times New Roman" w:eastAsia="Times New Roman" w:hAnsi="Times New Roman" w:cs="Times New Roman"/>
          <w:color w:val="000000" w:themeColor="text1"/>
          <w:sz w:val="24"/>
          <w:szCs w:val="24"/>
          <w:lang w:eastAsia="en-GB"/>
        </w:rPr>
        <w:t>Informatīvais ziņojum</w:t>
      </w:r>
      <w:r w:rsidRPr="0034771E">
        <w:rPr>
          <w:rFonts w:ascii="Times New Roman" w:eastAsia="Times New Roman" w:hAnsi="Times New Roman" w:cs="Times New Roman"/>
          <w:color w:val="000000" w:themeColor="text1"/>
          <w:sz w:val="24"/>
          <w:szCs w:val="24"/>
          <w:lang w:eastAsia="en-GB"/>
        </w:rPr>
        <w:t xml:space="preserve">s </w:t>
      </w:r>
      <w:r w:rsidR="00D11772" w:rsidRPr="0034771E">
        <w:rPr>
          <w:rFonts w:ascii="Times New Roman" w:eastAsia="Times New Roman" w:hAnsi="Times New Roman" w:cs="Times New Roman"/>
          <w:color w:val="000000" w:themeColor="text1"/>
          <w:sz w:val="24"/>
          <w:szCs w:val="24"/>
          <w:lang w:eastAsia="en-GB"/>
        </w:rPr>
        <w:t xml:space="preserve">“Par Sauszemes transportlīdzekļu īpašnieku civiltiesiskās atbildības obligātās apdrošināšanas likuma 14.pantā noteiktā tiesiskā regulējuma </w:t>
      </w:r>
      <w:proofErr w:type="spellStart"/>
      <w:r w:rsidR="00D11772" w:rsidRPr="0034771E">
        <w:rPr>
          <w:rFonts w:ascii="Times New Roman" w:eastAsia="Times New Roman" w:hAnsi="Times New Roman" w:cs="Times New Roman"/>
          <w:color w:val="000000" w:themeColor="text1"/>
          <w:sz w:val="24"/>
          <w:szCs w:val="24"/>
          <w:lang w:eastAsia="en-GB"/>
        </w:rPr>
        <w:t>izvērtējumu</w:t>
      </w:r>
      <w:proofErr w:type="spellEnd"/>
      <w:r w:rsidR="00D11772" w:rsidRPr="0034771E">
        <w:rPr>
          <w:rFonts w:ascii="Times New Roman" w:eastAsia="Times New Roman" w:hAnsi="Times New Roman" w:cs="Times New Roman"/>
          <w:color w:val="000000" w:themeColor="text1"/>
          <w:sz w:val="24"/>
          <w:szCs w:val="24"/>
          <w:lang w:eastAsia="en-GB"/>
        </w:rPr>
        <w:t xml:space="preserve">” </w:t>
      </w:r>
      <w:r w:rsidR="00A57F68" w:rsidRPr="0034771E">
        <w:rPr>
          <w:rFonts w:ascii="Times New Roman" w:eastAsia="Times New Roman" w:hAnsi="Times New Roman" w:cs="Times New Roman"/>
          <w:color w:val="000000" w:themeColor="text1"/>
          <w:sz w:val="24"/>
          <w:szCs w:val="24"/>
          <w:lang w:eastAsia="en-GB"/>
        </w:rPr>
        <w:t xml:space="preserve">ir </w:t>
      </w:r>
      <w:r w:rsidR="00C807A3" w:rsidRPr="0034771E">
        <w:rPr>
          <w:rFonts w:ascii="Times New Roman" w:eastAsia="Times New Roman" w:hAnsi="Times New Roman" w:cs="Times New Roman"/>
          <w:color w:val="000000" w:themeColor="text1"/>
          <w:sz w:val="24"/>
          <w:szCs w:val="24"/>
          <w:lang w:eastAsia="en-GB"/>
        </w:rPr>
        <w:t xml:space="preserve">sagatavots, </w:t>
      </w:r>
      <w:r w:rsidR="00A57F68" w:rsidRPr="0034771E">
        <w:rPr>
          <w:rFonts w:ascii="Times New Roman" w:eastAsia="Times New Roman" w:hAnsi="Times New Roman" w:cs="Times New Roman"/>
          <w:color w:val="000000" w:themeColor="text1"/>
          <w:sz w:val="24"/>
          <w:szCs w:val="24"/>
          <w:lang w:eastAsia="en-GB"/>
        </w:rPr>
        <w:t xml:space="preserve">lai </w:t>
      </w:r>
      <w:r w:rsidR="00C807A3" w:rsidRPr="0034771E">
        <w:rPr>
          <w:rFonts w:ascii="Times New Roman" w:eastAsia="Times New Roman" w:hAnsi="Times New Roman" w:cs="Times New Roman"/>
          <w:color w:val="000000" w:themeColor="text1"/>
          <w:sz w:val="24"/>
          <w:szCs w:val="24"/>
          <w:lang w:eastAsia="en-GB"/>
        </w:rPr>
        <w:t>izpild</w:t>
      </w:r>
      <w:r w:rsidR="00A57F68" w:rsidRPr="0034771E">
        <w:rPr>
          <w:rFonts w:ascii="Times New Roman" w:eastAsia="Times New Roman" w:hAnsi="Times New Roman" w:cs="Times New Roman"/>
          <w:color w:val="000000" w:themeColor="text1"/>
          <w:sz w:val="24"/>
          <w:szCs w:val="24"/>
          <w:lang w:eastAsia="en-GB"/>
        </w:rPr>
        <w:t>ītu</w:t>
      </w:r>
      <w:r w:rsidR="00FE06F8" w:rsidRPr="0034771E">
        <w:rPr>
          <w:rFonts w:ascii="Times New Roman" w:eastAsia="Times New Roman" w:hAnsi="Times New Roman" w:cs="Times New Roman"/>
          <w:color w:val="000000" w:themeColor="text1"/>
          <w:sz w:val="24"/>
          <w:szCs w:val="24"/>
          <w:lang w:eastAsia="en-GB"/>
        </w:rPr>
        <w:t xml:space="preserve"> </w:t>
      </w:r>
      <w:r w:rsidR="00FE06F8" w:rsidRPr="0034771E">
        <w:rPr>
          <w:rFonts w:ascii="Times New Roman" w:hAnsi="Times New Roman" w:cs="Times New Roman"/>
          <w:color w:val="000000" w:themeColor="text1"/>
          <w:sz w:val="24"/>
          <w:szCs w:val="24"/>
        </w:rPr>
        <w:t xml:space="preserve">Sauszemes transportlīdzekļu īpašnieku civiltiesiskās atbildības obligātās apdrošināšanas likuma (turpmāk – OCTA likums) </w:t>
      </w:r>
      <w:r w:rsidR="00FE06F8" w:rsidRPr="0034771E">
        <w:rPr>
          <w:rFonts w:ascii="Times New Roman" w:eastAsia="Times New Roman" w:hAnsi="Times New Roman" w:cs="Times New Roman"/>
          <w:color w:val="000000" w:themeColor="text1"/>
          <w:sz w:val="24"/>
          <w:szCs w:val="24"/>
          <w:lang w:eastAsia="en-GB"/>
        </w:rPr>
        <w:t xml:space="preserve">pārejas noteikumu 24.punktā doto uzdevumu Ministru kabinetam līdz 2021.gada 1.septembrim iesniegt Saeimai </w:t>
      </w:r>
      <w:proofErr w:type="spellStart"/>
      <w:r w:rsidR="00FE06F8" w:rsidRPr="0034771E">
        <w:rPr>
          <w:rFonts w:ascii="Times New Roman" w:eastAsia="Times New Roman" w:hAnsi="Times New Roman" w:cs="Times New Roman"/>
          <w:color w:val="000000" w:themeColor="text1"/>
          <w:sz w:val="24"/>
          <w:szCs w:val="24"/>
          <w:lang w:eastAsia="en-GB"/>
        </w:rPr>
        <w:t>izvērtējumu</w:t>
      </w:r>
      <w:proofErr w:type="spellEnd"/>
      <w:r w:rsidR="00FE06F8" w:rsidRPr="0034771E">
        <w:rPr>
          <w:rFonts w:ascii="Times New Roman" w:eastAsia="Times New Roman" w:hAnsi="Times New Roman" w:cs="Times New Roman"/>
          <w:color w:val="000000" w:themeColor="text1"/>
          <w:sz w:val="24"/>
          <w:szCs w:val="24"/>
          <w:lang w:eastAsia="en-GB"/>
        </w:rPr>
        <w:t xml:space="preserve"> par OCTA likuma 14.pantā noteikto tiesisko </w:t>
      </w:r>
      <w:r w:rsidR="00FE06F8" w:rsidRPr="00A05F3D">
        <w:rPr>
          <w:rFonts w:ascii="Times New Roman" w:eastAsia="Times New Roman" w:hAnsi="Times New Roman" w:cs="Times New Roman"/>
          <w:color w:val="000000" w:themeColor="text1"/>
          <w:sz w:val="24"/>
          <w:szCs w:val="24"/>
          <w:lang w:eastAsia="en-GB"/>
        </w:rPr>
        <w:t>regulējumu attiecībā uz apdrošināšanas prēmijas maksājuma samazinājumu un iespējamo šā maksājuma samazinājuma pakāpenisku atcelšanu un turpmāko risinājumu</w:t>
      </w:r>
      <w:r w:rsidR="0034771E" w:rsidRPr="00A05F3D">
        <w:rPr>
          <w:rFonts w:ascii="Times New Roman" w:eastAsia="Times New Roman" w:hAnsi="Times New Roman" w:cs="Times New Roman"/>
          <w:color w:val="000000" w:themeColor="text1"/>
          <w:sz w:val="24"/>
          <w:szCs w:val="24"/>
          <w:lang w:eastAsia="en-GB"/>
        </w:rPr>
        <w:t xml:space="preserve">, kā arī informētu par </w:t>
      </w:r>
      <w:r w:rsidR="005155B0" w:rsidRPr="00A05F3D">
        <w:rPr>
          <w:rFonts w:ascii="Times New Roman" w:eastAsia="Times New Roman" w:hAnsi="Times New Roman" w:cs="Times New Roman"/>
          <w:color w:val="000000" w:themeColor="text1"/>
          <w:sz w:val="24"/>
          <w:szCs w:val="24"/>
          <w:lang w:eastAsia="en-GB"/>
        </w:rPr>
        <w:t xml:space="preserve">OCTA likuma 14.pantā noteiktā regulējuma </w:t>
      </w:r>
      <w:r w:rsidR="0034771E" w:rsidRPr="00A05F3D">
        <w:rPr>
          <w:rFonts w:ascii="Times New Roman" w:eastAsia="Times New Roman" w:hAnsi="Times New Roman" w:cs="Times New Roman"/>
          <w:color w:val="000000" w:themeColor="text1"/>
          <w:sz w:val="24"/>
          <w:szCs w:val="24"/>
          <w:lang w:eastAsia="en-GB"/>
        </w:rPr>
        <w:t xml:space="preserve">ietekmi uz </w:t>
      </w:r>
      <w:r w:rsidR="005155B0" w:rsidRPr="00A05F3D">
        <w:rPr>
          <w:rFonts w:ascii="Times New Roman" w:hAnsi="Times New Roman" w:cs="Times New Roman"/>
          <w:color w:val="000000" w:themeColor="text1"/>
          <w:sz w:val="24"/>
          <w:szCs w:val="24"/>
        </w:rPr>
        <w:t xml:space="preserve">sauszemes transportlīdzekļu īpašnieku civiltiesiskās atbildības obligātās apdrošināšanas </w:t>
      </w:r>
      <w:r w:rsidR="005155B0" w:rsidRPr="00A05F3D">
        <w:rPr>
          <w:rFonts w:ascii="Times New Roman" w:eastAsia="Times New Roman" w:hAnsi="Times New Roman" w:cs="Times New Roman"/>
          <w:color w:val="000000" w:themeColor="text1"/>
          <w:sz w:val="24"/>
          <w:szCs w:val="24"/>
          <w:lang w:eastAsia="en-GB"/>
        </w:rPr>
        <w:t>garantijas fondu</w:t>
      </w:r>
      <w:r w:rsidR="005155B0" w:rsidRPr="00A05F3D">
        <w:rPr>
          <w:rFonts w:ascii="Times New Roman" w:hAnsi="Times New Roman" w:cs="Times New Roman"/>
          <w:color w:val="000000" w:themeColor="text1"/>
          <w:sz w:val="24"/>
          <w:szCs w:val="24"/>
        </w:rPr>
        <w:t xml:space="preserve"> </w:t>
      </w:r>
      <w:r w:rsidR="005155B0" w:rsidRPr="00A05F3D">
        <w:rPr>
          <w:rFonts w:ascii="Times New Roman" w:eastAsia="Times New Roman" w:hAnsi="Times New Roman" w:cs="Times New Roman"/>
          <w:color w:val="000000" w:themeColor="text1"/>
          <w:sz w:val="24"/>
          <w:szCs w:val="24"/>
          <w:lang w:eastAsia="en-GB"/>
        </w:rPr>
        <w:t>(turpmāk – Garantijas fonds).</w:t>
      </w:r>
    </w:p>
    <w:p w14:paraId="2A8D817B" w14:textId="77777777" w:rsidR="006E3BA8" w:rsidRPr="0034771E" w:rsidRDefault="006E3BA8" w:rsidP="00DA3D86">
      <w:pPr>
        <w:spacing w:after="0"/>
        <w:ind w:firstLine="720"/>
        <w:jc w:val="both"/>
        <w:rPr>
          <w:rFonts w:ascii="Times New Roman" w:eastAsia="Times New Roman" w:hAnsi="Times New Roman" w:cs="Times New Roman"/>
          <w:b/>
          <w:bCs/>
          <w:color w:val="000000" w:themeColor="text1"/>
          <w:sz w:val="24"/>
          <w:szCs w:val="24"/>
          <w:lang w:eastAsia="en-GB"/>
        </w:rPr>
      </w:pPr>
    </w:p>
    <w:p w14:paraId="11AD20E1" w14:textId="77777777" w:rsidR="009C7B3E" w:rsidRPr="00B9719A" w:rsidRDefault="001C06E3" w:rsidP="00B9719A">
      <w:pPr>
        <w:spacing w:after="0"/>
        <w:jc w:val="both"/>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ab/>
      </w:r>
      <w:r w:rsidR="00DF177A" w:rsidRPr="00B9719A">
        <w:rPr>
          <w:rFonts w:ascii="Times New Roman" w:eastAsia="Times New Roman" w:hAnsi="Times New Roman" w:cs="Times New Roman"/>
          <w:b/>
          <w:bCs/>
          <w:color w:val="000000" w:themeColor="text1"/>
          <w:sz w:val="24"/>
          <w:szCs w:val="24"/>
          <w:lang w:eastAsia="en-GB"/>
        </w:rPr>
        <w:t xml:space="preserve">1. </w:t>
      </w:r>
      <w:r w:rsidR="009C7B3E" w:rsidRPr="00B9719A">
        <w:rPr>
          <w:rFonts w:ascii="Times New Roman" w:eastAsia="Times New Roman" w:hAnsi="Times New Roman" w:cs="Times New Roman"/>
          <w:b/>
          <w:bCs/>
          <w:color w:val="000000" w:themeColor="text1"/>
          <w:sz w:val="24"/>
          <w:szCs w:val="24"/>
          <w:lang w:eastAsia="en-GB"/>
        </w:rPr>
        <w:t>Apdrošināšanas prēmijas samazinājums personām ar invaliditāti</w:t>
      </w:r>
    </w:p>
    <w:p w14:paraId="39D31F5F" w14:textId="047D5A66" w:rsidR="00B139F4" w:rsidRDefault="00B139F4" w:rsidP="000B2D24">
      <w:pPr>
        <w:spacing w:after="0"/>
        <w:ind w:firstLine="720"/>
        <w:jc w:val="both"/>
        <w:rPr>
          <w:rFonts w:ascii="Times New Roman" w:hAnsi="Times New Roman" w:cs="Times New Roman"/>
          <w:iCs/>
          <w:sz w:val="24"/>
          <w:szCs w:val="24"/>
        </w:rPr>
      </w:pPr>
      <w:r>
        <w:rPr>
          <w:rFonts w:ascii="Times New Roman" w:eastAsia="Times New Roman" w:hAnsi="Times New Roman" w:cs="Times New Roman"/>
          <w:color w:val="000000" w:themeColor="text1"/>
          <w:sz w:val="24"/>
          <w:szCs w:val="24"/>
          <w:lang w:eastAsia="en-GB"/>
        </w:rPr>
        <w:t>Sauszemes transportlīdzekļu civiltiesiskās atbilstības obligātās apdrošināšanas</w:t>
      </w:r>
      <w:r w:rsidR="00DF177A">
        <w:rPr>
          <w:rFonts w:ascii="Times New Roman" w:eastAsia="Times New Roman" w:hAnsi="Times New Roman" w:cs="Times New Roman"/>
          <w:color w:val="000000" w:themeColor="text1"/>
          <w:sz w:val="24"/>
          <w:szCs w:val="24"/>
          <w:lang w:eastAsia="en-GB"/>
        </w:rPr>
        <w:t xml:space="preserve"> (turpmāk – OCTA)</w:t>
      </w:r>
      <w:r>
        <w:rPr>
          <w:rFonts w:ascii="Times New Roman" w:eastAsia="Times New Roman" w:hAnsi="Times New Roman" w:cs="Times New Roman"/>
          <w:color w:val="000000" w:themeColor="text1"/>
          <w:sz w:val="24"/>
          <w:szCs w:val="24"/>
          <w:lang w:eastAsia="en-GB"/>
        </w:rPr>
        <w:t xml:space="preserve"> sistēma Latvijā tika izveidota 1997.gadā, un tās darbību regulēja </w:t>
      </w:r>
      <w:r>
        <w:rPr>
          <w:rFonts w:ascii="Times New Roman" w:hAnsi="Times New Roman" w:cs="Times New Roman"/>
          <w:iCs/>
          <w:sz w:val="24"/>
          <w:szCs w:val="24"/>
        </w:rPr>
        <w:t xml:space="preserve">iepriekšējais </w:t>
      </w:r>
      <w:r w:rsidRPr="0034771E">
        <w:rPr>
          <w:rFonts w:ascii="Times New Roman" w:hAnsi="Times New Roman" w:cs="Times New Roman"/>
          <w:iCs/>
          <w:sz w:val="24"/>
          <w:szCs w:val="24"/>
        </w:rPr>
        <w:t>Sauszemes transportlīdzekļu īpašnieku civiltiesiskās atbildības obligātās apdrošināšanas likum</w:t>
      </w:r>
      <w:r>
        <w:rPr>
          <w:rFonts w:ascii="Times New Roman" w:hAnsi="Times New Roman" w:cs="Times New Roman"/>
          <w:iCs/>
          <w:sz w:val="24"/>
          <w:szCs w:val="24"/>
        </w:rPr>
        <w:t>s</w:t>
      </w:r>
      <w:r w:rsidRPr="0034771E">
        <w:rPr>
          <w:rFonts w:ascii="Times New Roman" w:hAnsi="Times New Roman" w:cs="Times New Roman"/>
          <w:iCs/>
          <w:sz w:val="24"/>
          <w:szCs w:val="24"/>
        </w:rPr>
        <w:t>, kas tika pieņemts 1997.gada 13.martā un bija spēkā līdz 2004.gada 30.aprīlim. Š</w:t>
      </w:r>
      <w:r w:rsidR="00DF177A">
        <w:rPr>
          <w:rFonts w:ascii="Times New Roman" w:hAnsi="Times New Roman" w:cs="Times New Roman"/>
          <w:iCs/>
          <w:sz w:val="24"/>
          <w:szCs w:val="24"/>
        </w:rPr>
        <w:t>ā</w:t>
      </w:r>
      <w:r w:rsidRPr="0034771E">
        <w:rPr>
          <w:rFonts w:ascii="Times New Roman" w:hAnsi="Times New Roman" w:cs="Times New Roman"/>
          <w:iCs/>
          <w:sz w:val="24"/>
          <w:szCs w:val="24"/>
        </w:rPr>
        <w:t xml:space="preserve"> likuma 16.pants noteica, ka personām ar invaliditāti tiek samazināta apdrošināšanas prēmija par 40 procentiem. </w:t>
      </w:r>
      <w:r>
        <w:rPr>
          <w:rFonts w:ascii="Times New Roman" w:hAnsi="Times New Roman" w:cs="Times New Roman"/>
          <w:iCs/>
          <w:sz w:val="24"/>
          <w:szCs w:val="24"/>
        </w:rPr>
        <w:t>V</w:t>
      </w:r>
      <w:r w:rsidR="00F95B5D">
        <w:rPr>
          <w:rFonts w:ascii="Times New Roman" w:hAnsi="Times New Roman" w:cs="Times New Roman"/>
          <w:iCs/>
          <w:sz w:val="24"/>
          <w:szCs w:val="24"/>
        </w:rPr>
        <w:t>ēršam uzmanību</w:t>
      </w:r>
      <w:r>
        <w:rPr>
          <w:rFonts w:ascii="Times New Roman" w:hAnsi="Times New Roman" w:cs="Times New Roman"/>
          <w:iCs/>
          <w:sz w:val="24"/>
          <w:szCs w:val="24"/>
        </w:rPr>
        <w:t xml:space="preserve">, ka šī likuma darbības posmā </w:t>
      </w:r>
      <w:r w:rsidR="00DF177A">
        <w:rPr>
          <w:rFonts w:ascii="Times New Roman" w:hAnsi="Times New Roman" w:cs="Times New Roman"/>
          <w:iCs/>
          <w:sz w:val="24"/>
          <w:szCs w:val="24"/>
        </w:rPr>
        <w:t xml:space="preserve">apdrošināšanas prēmiju apmēru atbilstoši likumdevēja pilnvarojumam noteica Ministru kabinets. </w:t>
      </w:r>
    </w:p>
    <w:p w14:paraId="73674BDC" w14:textId="5ABFC6A1" w:rsidR="00DF177A" w:rsidRDefault="00DF177A" w:rsidP="00DF177A">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Kopš 2004.gada spēkā ir pašreizējais OCTA likums, ar kuru, Latvijai gatavojoties kļūt par Eiropas Savienības dalībvalsti, tika pārņemts Eiropas Savienības regulējums OCTA jomā, kā arī ANO Eiropas Ekonomiskās komisijas Sauszemes transporta apakškomisijas Rekomendācijā nr.5 un Zaļās kartes sistēmas Biroju Padomes konstitūcijā minētajām prasībām. Līdz ar jauno regulējumu, cita starpā tika mainīta apdrošināšanas prēmiju noteikšanas kārtība</w:t>
      </w:r>
      <w:r w:rsidR="00F95B5D">
        <w:rPr>
          <w:rFonts w:ascii="Times New Roman" w:hAnsi="Times New Roman" w:cs="Times New Roman"/>
          <w:iCs/>
          <w:sz w:val="24"/>
          <w:szCs w:val="24"/>
        </w:rPr>
        <w:t>, paredzot</w:t>
      </w:r>
      <w:r>
        <w:rPr>
          <w:rFonts w:ascii="Times New Roman" w:hAnsi="Times New Roman" w:cs="Times New Roman"/>
          <w:iCs/>
          <w:sz w:val="24"/>
          <w:szCs w:val="24"/>
        </w:rPr>
        <w:t xml:space="preserve">, ka turpmāk </w:t>
      </w:r>
      <w:r w:rsidR="00F95B5D">
        <w:rPr>
          <w:rFonts w:ascii="Times New Roman" w:hAnsi="Times New Roman" w:cs="Times New Roman"/>
          <w:iCs/>
          <w:sz w:val="24"/>
          <w:szCs w:val="24"/>
        </w:rPr>
        <w:t xml:space="preserve">katrs </w:t>
      </w:r>
      <w:r>
        <w:rPr>
          <w:rFonts w:ascii="Times New Roman" w:hAnsi="Times New Roman" w:cs="Times New Roman"/>
          <w:iCs/>
          <w:sz w:val="24"/>
          <w:szCs w:val="24"/>
        </w:rPr>
        <w:t>apdrošinātā</w:t>
      </w:r>
      <w:r w:rsidR="00F95B5D">
        <w:rPr>
          <w:rFonts w:ascii="Times New Roman" w:hAnsi="Times New Roman" w:cs="Times New Roman"/>
          <w:iCs/>
          <w:sz w:val="24"/>
          <w:szCs w:val="24"/>
        </w:rPr>
        <w:t xml:space="preserve">js pats </w:t>
      </w:r>
      <w:r>
        <w:rPr>
          <w:rFonts w:ascii="Times New Roman" w:hAnsi="Times New Roman" w:cs="Times New Roman"/>
          <w:iCs/>
          <w:sz w:val="24"/>
          <w:szCs w:val="24"/>
        </w:rPr>
        <w:t>noteiks apdrošināšanas prēmiju apmēr</w:t>
      </w:r>
      <w:r w:rsidR="00843ED7">
        <w:rPr>
          <w:rFonts w:ascii="Times New Roman" w:hAnsi="Times New Roman" w:cs="Times New Roman"/>
          <w:iCs/>
          <w:sz w:val="24"/>
          <w:szCs w:val="24"/>
        </w:rPr>
        <w:t>u</w:t>
      </w:r>
      <w:r w:rsidR="00F95B5D">
        <w:rPr>
          <w:rFonts w:ascii="Times New Roman" w:hAnsi="Times New Roman" w:cs="Times New Roman"/>
          <w:iCs/>
          <w:sz w:val="24"/>
          <w:szCs w:val="24"/>
        </w:rPr>
        <w:t xml:space="preserve"> veidošanas politiku.</w:t>
      </w:r>
      <w:r>
        <w:rPr>
          <w:rFonts w:ascii="Times New Roman" w:hAnsi="Times New Roman" w:cs="Times New Roman"/>
          <w:iCs/>
          <w:sz w:val="24"/>
          <w:szCs w:val="24"/>
        </w:rPr>
        <w:t xml:space="preserve"> </w:t>
      </w:r>
      <w:r w:rsidR="00843ED7">
        <w:rPr>
          <w:rFonts w:ascii="Times New Roman" w:hAnsi="Times New Roman" w:cs="Times New Roman"/>
          <w:iCs/>
          <w:sz w:val="24"/>
          <w:szCs w:val="24"/>
        </w:rPr>
        <w:t xml:space="preserve">Vienlaikus, regulējums attiecībā uz apdrošināšanas prēmijas samazinājumu personām ar invaliditāti palika nemainīgs. </w:t>
      </w:r>
    </w:p>
    <w:p w14:paraId="5CD63AA5" w14:textId="77777777" w:rsidR="00FB5E46" w:rsidRDefault="003925BD" w:rsidP="00FB5E46">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Ņemot vērā praksē identificēto problēmu, ka personām ar invaliditāti paredzētais apdrošināšanas prēmijas samazinājums nereti tika piemērots lielam skaitam vienai personai piederošu transportlīdzekli, OCTA likumā tika veikti grozījumi, kas paredz, ka OCTA 14.panta otrajā daļā personām ar invaliditāti paredzētais prēmijas samazinājums tiek piemērots tikai vienam </w:t>
      </w:r>
      <w:r w:rsidR="00FB5E46">
        <w:rPr>
          <w:rFonts w:ascii="Times New Roman" w:eastAsia="Times New Roman" w:hAnsi="Times New Roman" w:cs="Times New Roman"/>
          <w:color w:val="000000" w:themeColor="text1"/>
          <w:sz w:val="24"/>
          <w:szCs w:val="24"/>
          <w:lang w:eastAsia="en-GB"/>
        </w:rPr>
        <w:t>transportlīdzeklim</w:t>
      </w:r>
      <w:r>
        <w:rPr>
          <w:rFonts w:ascii="Times New Roman" w:eastAsia="Times New Roman" w:hAnsi="Times New Roman" w:cs="Times New Roman"/>
          <w:color w:val="000000" w:themeColor="text1"/>
          <w:sz w:val="24"/>
          <w:szCs w:val="24"/>
          <w:lang w:eastAsia="en-GB"/>
        </w:rPr>
        <w:t xml:space="preserve">, un šo atlaidi nevar piemērot, ja transportlīdzekļa turētājs ir juridiska persona. Šie grozījumi stājās spēkā 2021.gada 21.janvārī. </w:t>
      </w:r>
      <w:r w:rsidR="00FB5E46">
        <w:rPr>
          <w:rFonts w:ascii="Times New Roman" w:eastAsia="Times New Roman" w:hAnsi="Times New Roman" w:cs="Times New Roman"/>
          <w:color w:val="000000" w:themeColor="text1"/>
          <w:sz w:val="24"/>
          <w:szCs w:val="24"/>
          <w:lang w:eastAsia="en-GB"/>
        </w:rPr>
        <w:t xml:space="preserve">Savukārt ar OCTA likuma grozījumiem, kuri stājās spēkā 2021.gada </w:t>
      </w:r>
      <w:r w:rsidR="00DB1820">
        <w:rPr>
          <w:rFonts w:ascii="Times New Roman" w:eastAsia="Times New Roman" w:hAnsi="Times New Roman" w:cs="Times New Roman"/>
          <w:color w:val="000000" w:themeColor="text1"/>
          <w:sz w:val="24"/>
          <w:szCs w:val="24"/>
          <w:lang w:eastAsia="en-GB"/>
        </w:rPr>
        <w:t>1.jūlijā</w:t>
      </w:r>
      <w:r w:rsidR="00FB5E46">
        <w:rPr>
          <w:rFonts w:ascii="Times New Roman" w:eastAsia="Times New Roman" w:hAnsi="Times New Roman" w:cs="Times New Roman"/>
          <w:color w:val="000000" w:themeColor="text1"/>
          <w:sz w:val="24"/>
          <w:szCs w:val="24"/>
          <w:lang w:eastAsia="en-GB"/>
        </w:rPr>
        <w:t xml:space="preserve">, apdrošināšanas prēmijas samazinājums tika attiecināts arī uz bērnu ar invaliditāti vecākiem, aizgādņiem un audžuģimenēm. Ar šiem grozījumiem tika nodrošināts, ka </w:t>
      </w:r>
      <w:r w:rsidR="00FB5E46" w:rsidRPr="00B9719A">
        <w:rPr>
          <w:rFonts w:ascii="Times New Roman" w:eastAsia="Times New Roman" w:hAnsi="Times New Roman" w:cs="Times New Roman"/>
          <w:color w:val="000000" w:themeColor="text1"/>
          <w:sz w:val="24"/>
          <w:szCs w:val="24"/>
          <w:lang w:eastAsia="en-GB"/>
        </w:rPr>
        <w:t xml:space="preserve">personai, kura </w:t>
      </w:r>
      <w:r w:rsidR="00FB5E46">
        <w:rPr>
          <w:rFonts w:ascii="Times New Roman" w:eastAsia="Times New Roman" w:hAnsi="Times New Roman" w:cs="Times New Roman"/>
          <w:color w:val="000000" w:themeColor="text1"/>
          <w:sz w:val="24"/>
          <w:szCs w:val="24"/>
          <w:lang w:eastAsia="en-GB"/>
        </w:rPr>
        <w:t xml:space="preserve">nodrošina nepilngadīgas personas ar invaliditāti pārvietošanos </w:t>
      </w:r>
      <w:r w:rsidR="00FB5E46" w:rsidRPr="00B9719A">
        <w:rPr>
          <w:rFonts w:ascii="Times New Roman" w:eastAsia="Times New Roman" w:hAnsi="Times New Roman" w:cs="Times New Roman"/>
          <w:color w:val="000000" w:themeColor="text1"/>
          <w:sz w:val="24"/>
          <w:szCs w:val="24"/>
          <w:lang w:eastAsia="en-GB"/>
        </w:rPr>
        <w:t xml:space="preserve">(vecākam, aizbildnim vai audžuģimenei), </w:t>
      </w:r>
      <w:r w:rsidR="00DB1820">
        <w:rPr>
          <w:rFonts w:ascii="Times New Roman" w:eastAsia="Times New Roman" w:hAnsi="Times New Roman" w:cs="Times New Roman"/>
          <w:color w:val="000000" w:themeColor="text1"/>
          <w:sz w:val="24"/>
          <w:szCs w:val="24"/>
          <w:lang w:eastAsia="en-GB"/>
        </w:rPr>
        <w:t xml:space="preserve">arī </w:t>
      </w:r>
      <w:r w:rsidR="00FB5E46">
        <w:rPr>
          <w:rFonts w:ascii="Times New Roman" w:eastAsia="Times New Roman" w:hAnsi="Times New Roman" w:cs="Times New Roman"/>
          <w:color w:val="000000" w:themeColor="text1"/>
          <w:sz w:val="24"/>
          <w:szCs w:val="24"/>
          <w:lang w:eastAsia="en-GB"/>
        </w:rPr>
        <w:t>ir iespēja saņemt atlaidi OCTA prēmijas maksājumam.</w:t>
      </w:r>
    </w:p>
    <w:p w14:paraId="2194B25F" w14:textId="77777777" w:rsidR="000B2D24" w:rsidRPr="0034771E" w:rsidRDefault="003925BD" w:rsidP="000B2D24">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Līdz ar to p</w:t>
      </w:r>
      <w:r w:rsidR="000B2D24" w:rsidRPr="0034771E">
        <w:rPr>
          <w:rFonts w:ascii="Times New Roman" w:eastAsia="Times New Roman" w:hAnsi="Times New Roman" w:cs="Times New Roman"/>
          <w:color w:val="000000" w:themeColor="text1"/>
          <w:sz w:val="24"/>
          <w:szCs w:val="24"/>
          <w:lang w:eastAsia="en-GB"/>
        </w:rPr>
        <w:t>ašlaik OCTA likuma 14.panta otrā daļa nosaka, ka apdrošinātāja noteiktās apdrošināšanas prēmijas maksājums par 40 procentiem tiek samazināts transportlīdzekļu īpašniekiem, kuri ir:</w:t>
      </w:r>
    </w:p>
    <w:p w14:paraId="608BA59A" w14:textId="77777777" w:rsidR="000B2D24" w:rsidRPr="0034771E" w:rsidRDefault="000B2D24" w:rsidP="000B2D24">
      <w:pPr>
        <w:spacing w:after="0"/>
        <w:ind w:firstLine="720"/>
        <w:jc w:val="both"/>
        <w:rPr>
          <w:rFonts w:ascii="Times New Roman" w:eastAsia="Times New Roman" w:hAnsi="Times New Roman" w:cs="Times New Roman"/>
          <w:color w:val="000000" w:themeColor="text1"/>
          <w:sz w:val="24"/>
          <w:szCs w:val="24"/>
          <w:lang w:eastAsia="en-GB"/>
        </w:rPr>
      </w:pPr>
      <w:r w:rsidRPr="0034771E">
        <w:rPr>
          <w:rFonts w:ascii="Times New Roman" w:eastAsia="Times New Roman" w:hAnsi="Times New Roman" w:cs="Times New Roman"/>
          <w:color w:val="000000" w:themeColor="text1"/>
          <w:sz w:val="24"/>
          <w:szCs w:val="24"/>
          <w:lang w:eastAsia="en-GB"/>
        </w:rPr>
        <w:t>1) personas ar I un II grupas invaliditāti;</w:t>
      </w:r>
    </w:p>
    <w:p w14:paraId="685CDC89" w14:textId="77777777" w:rsidR="000B2D24" w:rsidRDefault="000B2D24" w:rsidP="000B2D24">
      <w:pPr>
        <w:spacing w:after="0"/>
        <w:ind w:firstLine="720"/>
        <w:jc w:val="both"/>
        <w:rPr>
          <w:rFonts w:ascii="Times New Roman" w:eastAsia="Times New Roman" w:hAnsi="Times New Roman" w:cs="Times New Roman"/>
          <w:color w:val="000000" w:themeColor="text1"/>
          <w:sz w:val="24"/>
          <w:szCs w:val="24"/>
          <w:lang w:eastAsia="en-GB"/>
        </w:rPr>
      </w:pPr>
      <w:r w:rsidRPr="0034771E">
        <w:rPr>
          <w:rFonts w:ascii="Times New Roman" w:eastAsia="Times New Roman" w:hAnsi="Times New Roman" w:cs="Times New Roman"/>
          <w:color w:val="000000" w:themeColor="text1"/>
          <w:sz w:val="24"/>
          <w:szCs w:val="24"/>
          <w:lang w:eastAsia="en-GB"/>
        </w:rPr>
        <w:lastRenderedPageBreak/>
        <w:t>2) personas ar III grupas invaliditāti, kuriem ir apgrūtināta pārvietošanās [to apliecina attiecīgs Veselības un darbspēju ekspertīzes ārstu komisijas atzinums (apdrošinot vieglo automobili)];</w:t>
      </w:r>
    </w:p>
    <w:p w14:paraId="4D855A92" w14:textId="77777777" w:rsidR="000B2D24" w:rsidRDefault="00952CB4" w:rsidP="000B2D24">
      <w:pPr>
        <w:spacing w:after="0"/>
        <w:ind w:firstLine="720"/>
        <w:jc w:val="both"/>
        <w:rPr>
          <w:rFonts w:ascii="Times New Roman" w:eastAsia="Times New Roman" w:hAnsi="Times New Roman" w:cs="Times New Roman"/>
          <w:color w:val="000000" w:themeColor="text1"/>
          <w:sz w:val="24"/>
          <w:szCs w:val="24"/>
          <w:lang w:eastAsia="en-GB"/>
        </w:rPr>
      </w:pPr>
      <w:r w:rsidRPr="00952CB4">
        <w:rPr>
          <w:rFonts w:ascii="Times New Roman" w:eastAsia="Times New Roman" w:hAnsi="Times New Roman" w:cs="Times New Roman"/>
          <w:color w:val="000000" w:themeColor="text1"/>
          <w:sz w:val="24"/>
          <w:szCs w:val="24"/>
          <w:lang w:eastAsia="en-GB"/>
        </w:rPr>
        <w:t>3) vecāki, aizbildņi vai audžuģimene, kura nodrošina nepilngadīga bērna ar invaliditāti aprūpi</w:t>
      </w:r>
      <w:r>
        <w:rPr>
          <w:rFonts w:ascii="Times New Roman" w:eastAsia="Times New Roman" w:hAnsi="Times New Roman" w:cs="Times New Roman"/>
          <w:color w:val="000000" w:themeColor="text1"/>
          <w:sz w:val="24"/>
          <w:szCs w:val="24"/>
          <w:lang w:eastAsia="en-GB"/>
        </w:rPr>
        <w:t>.</w:t>
      </w:r>
    </w:p>
    <w:p w14:paraId="0FF074F9" w14:textId="3AA9BAC1" w:rsidR="000B2D24" w:rsidRDefault="00FB5E46" w:rsidP="000B2D24">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Savukārt </w:t>
      </w:r>
      <w:r w:rsidR="000B2D24" w:rsidRPr="0034771E">
        <w:rPr>
          <w:rFonts w:ascii="Times New Roman" w:eastAsia="Times New Roman" w:hAnsi="Times New Roman" w:cs="Times New Roman"/>
          <w:color w:val="000000" w:themeColor="text1"/>
          <w:sz w:val="24"/>
          <w:szCs w:val="24"/>
          <w:lang w:eastAsia="en-GB"/>
        </w:rPr>
        <w:t xml:space="preserve">OCTA likuma 14.panta </w:t>
      </w:r>
      <w:bookmarkStart w:id="1" w:name="_Hlk71895038"/>
      <w:r w:rsidR="000B2D24" w:rsidRPr="0034771E">
        <w:rPr>
          <w:rFonts w:ascii="Times New Roman" w:eastAsia="Times New Roman" w:hAnsi="Times New Roman" w:cs="Times New Roman"/>
          <w:color w:val="000000" w:themeColor="text1"/>
          <w:sz w:val="24"/>
          <w:szCs w:val="24"/>
          <w:lang w:eastAsia="en-GB"/>
        </w:rPr>
        <w:t>2</w:t>
      </w:r>
      <w:r w:rsidR="000B2D24" w:rsidRPr="0034771E">
        <w:rPr>
          <w:rFonts w:ascii="Times New Roman" w:eastAsia="Times New Roman" w:hAnsi="Times New Roman" w:cs="Times New Roman"/>
          <w:color w:val="000000" w:themeColor="text1"/>
          <w:sz w:val="24"/>
          <w:szCs w:val="24"/>
          <w:vertAlign w:val="superscript"/>
          <w:lang w:eastAsia="en-GB"/>
        </w:rPr>
        <w:t xml:space="preserve">1 </w:t>
      </w:r>
      <w:r w:rsidR="000B2D24" w:rsidRPr="0034771E">
        <w:rPr>
          <w:rFonts w:ascii="Times New Roman" w:eastAsia="Times New Roman" w:hAnsi="Times New Roman" w:cs="Times New Roman"/>
          <w:color w:val="000000" w:themeColor="text1"/>
          <w:sz w:val="24"/>
          <w:szCs w:val="24"/>
          <w:lang w:eastAsia="en-GB"/>
        </w:rPr>
        <w:t>. daļa</w:t>
      </w:r>
      <w:bookmarkEnd w:id="1"/>
      <w:r w:rsidR="000B2D24" w:rsidRPr="0034771E">
        <w:rPr>
          <w:rFonts w:ascii="Times New Roman" w:eastAsia="Times New Roman" w:hAnsi="Times New Roman" w:cs="Times New Roman"/>
          <w:color w:val="000000" w:themeColor="text1"/>
          <w:sz w:val="24"/>
          <w:szCs w:val="24"/>
          <w:lang w:eastAsia="en-GB"/>
        </w:rPr>
        <w:t xml:space="preserve"> nosaka, ka OCTA likuma 14.panta otrajā daļā noteiktais apdrošināšanas prēmijas maksājuma samazinājums piemērojams vienam transportlīdzekļa īpašnieka (fiziskās personas) īpašumā vai — transportlīdzekļa līzinga gadījumā — transportlīdzekļa reģistrācijas apliecībā norādītā turētāja (fiziskās personas) vienam viņa turējumā esošam vieglajam transportlīdzeklim, kura pilna masa ir līdz 3,5 tonnām. Attiecībā uz šā panta otrās daļas</w:t>
      </w:r>
      <w:r w:rsidR="005C2E1B" w:rsidRPr="0034771E">
        <w:rPr>
          <w:rFonts w:ascii="Times New Roman" w:eastAsia="Times New Roman" w:hAnsi="Times New Roman" w:cs="Times New Roman"/>
          <w:color w:val="000000" w:themeColor="text1"/>
          <w:sz w:val="24"/>
          <w:szCs w:val="24"/>
          <w:lang w:eastAsia="en-GB"/>
        </w:rPr>
        <w:t xml:space="preserve"> </w:t>
      </w:r>
      <w:r w:rsidR="000B2D24" w:rsidRPr="0034771E">
        <w:rPr>
          <w:rFonts w:ascii="Times New Roman" w:eastAsia="Times New Roman" w:hAnsi="Times New Roman" w:cs="Times New Roman"/>
          <w:color w:val="000000" w:themeColor="text1"/>
          <w:sz w:val="24"/>
          <w:szCs w:val="24"/>
          <w:lang w:eastAsia="en-GB"/>
        </w:rPr>
        <w:t>3.punktā minētajiem tiesību subjektiem apdrošināšanas prēmijas maksājuma samazinājums, ievērojot šīs daļas pirmajā teikumā noteikto, piemērojams vienas personas (fiziskās personas) īpašumā vai — transportlīdzekļa</w:t>
      </w:r>
      <w:r w:rsidR="00456AF7" w:rsidRPr="0034771E">
        <w:rPr>
          <w:rFonts w:ascii="Times New Roman" w:eastAsia="Times New Roman" w:hAnsi="Times New Roman" w:cs="Times New Roman"/>
          <w:color w:val="000000" w:themeColor="text1"/>
          <w:sz w:val="24"/>
          <w:szCs w:val="24"/>
          <w:lang w:eastAsia="en-GB"/>
        </w:rPr>
        <w:t xml:space="preserve"> </w:t>
      </w:r>
      <w:r w:rsidR="000B2D24" w:rsidRPr="0034771E">
        <w:rPr>
          <w:rFonts w:ascii="Times New Roman" w:eastAsia="Times New Roman" w:hAnsi="Times New Roman" w:cs="Times New Roman"/>
          <w:color w:val="000000" w:themeColor="text1"/>
          <w:sz w:val="24"/>
          <w:szCs w:val="24"/>
          <w:lang w:eastAsia="en-GB"/>
        </w:rPr>
        <w:t xml:space="preserve"> līzinga gadījumā — transportlīdzekļa reģistrācijas apliecībā norādītā turētāja (fiziskās personas) turējumā esošam vienam transportlīdzeklim. Apdrošināšanas prēmijas maksājuma samazinājumu nepiemēro, ja transportlīdzekļa reģistrācijas apliecībā kā transportlīdzekļa turētājs ir norādīta juridiskā persona, neatkarīgi no tā, ka transportlīdzekļa īpašnieks ir šā panta otrajā daļā norādītā persona.</w:t>
      </w:r>
    </w:p>
    <w:p w14:paraId="1C6E4812" w14:textId="2049133E" w:rsidR="008B00E6" w:rsidRDefault="008B00E6" w:rsidP="000B2D24">
      <w:pPr>
        <w:spacing w:after="0"/>
        <w:ind w:firstLine="720"/>
        <w:jc w:val="both"/>
        <w:rPr>
          <w:rFonts w:ascii="Times New Roman" w:eastAsia="Times New Roman" w:hAnsi="Times New Roman" w:cs="Times New Roman"/>
          <w:color w:val="000000" w:themeColor="text1"/>
          <w:sz w:val="24"/>
          <w:szCs w:val="24"/>
          <w:lang w:eastAsia="en-GB"/>
        </w:rPr>
      </w:pPr>
      <w:r w:rsidRPr="008B00E6">
        <w:rPr>
          <w:rFonts w:ascii="Times New Roman" w:eastAsia="Times New Roman" w:hAnsi="Times New Roman" w:cs="Times New Roman"/>
          <w:color w:val="000000" w:themeColor="text1"/>
          <w:sz w:val="24"/>
          <w:szCs w:val="24"/>
          <w:lang w:eastAsia="en-GB"/>
        </w:rPr>
        <w:t xml:space="preserve">Pēc </w:t>
      </w:r>
      <w:bookmarkStart w:id="2" w:name="_GoBack"/>
      <w:r w:rsidRPr="008B00E6">
        <w:rPr>
          <w:rFonts w:ascii="Times New Roman" w:eastAsia="Times New Roman" w:hAnsi="Times New Roman" w:cs="Times New Roman"/>
          <w:color w:val="000000" w:themeColor="text1"/>
          <w:sz w:val="24"/>
          <w:szCs w:val="24"/>
          <w:lang w:eastAsia="en-GB"/>
        </w:rPr>
        <w:t xml:space="preserve">Finanšu ministrijas </w:t>
      </w:r>
      <w:bookmarkEnd w:id="2"/>
      <w:r w:rsidRPr="008B00E6">
        <w:rPr>
          <w:rFonts w:ascii="Times New Roman" w:eastAsia="Times New Roman" w:hAnsi="Times New Roman" w:cs="Times New Roman"/>
          <w:color w:val="000000" w:themeColor="text1"/>
          <w:sz w:val="24"/>
          <w:szCs w:val="24"/>
          <w:lang w:eastAsia="en-GB"/>
        </w:rPr>
        <w:t>lūguma Labklājības ministrija ar 2020.gada 21.janvāra vēstuli Nr. 40-1-04/85 un 2021.gada 8.marta vēstuli Nr. 40-1-04/405 sniedza viedokli par</w:t>
      </w:r>
      <w:r>
        <w:rPr>
          <w:rFonts w:ascii="Times New Roman" w:eastAsia="Times New Roman" w:hAnsi="Times New Roman" w:cs="Times New Roman"/>
          <w:color w:val="000000" w:themeColor="text1"/>
          <w:sz w:val="24"/>
          <w:szCs w:val="24"/>
          <w:lang w:eastAsia="en-GB"/>
        </w:rPr>
        <w:t xml:space="preserve"> </w:t>
      </w:r>
      <w:r w:rsidRPr="008B00E6">
        <w:rPr>
          <w:rFonts w:ascii="Times New Roman" w:eastAsia="Times New Roman" w:hAnsi="Times New Roman" w:cs="Times New Roman"/>
          <w:color w:val="000000" w:themeColor="text1"/>
          <w:sz w:val="24"/>
          <w:szCs w:val="24"/>
          <w:lang w:eastAsia="en-GB"/>
        </w:rPr>
        <w:t>OCTA</w:t>
      </w:r>
      <w:r>
        <w:rPr>
          <w:rFonts w:ascii="Times New Roman" w:eastAsia="Times New Roman" w:hAnsi="Times New Roman" w:cs="Times New Roman"/>
          <w:color w:val="000000" w:themeColor="text1"/>
          <w:sz w:val="24"/>
          <w:szCs w:val="24"/>
          <w:lang w:eastAsia="en-GB"/>
        </w:rPr>
        <w:t xml:space="preserve"> </w:t>
      </w:r>
      <w:r w:rsidRPr="008B00E6">
        <w:rPr>
          <w:rFonts w:ascii="Times New Roman" w:eastAsia="Times New Roman" w:hAnsi="Times New Roman" w:cs="Times New Roman"/>
          <w:color w:val="000000" w:themeColor="text1"/>
          <w:sz w:val="24"/>
          <w:szCs w:val="24"/>
          <w:lang w:eastAsia="en-GB"/>
        </w:rPr>
        <w:t>prēmijas samazinājuma lietderību, samērīgumu un ietekmi uz personu ar invaliditāti finansiālo situāciju</w:t>
      </w:r>
      <w:r>
        <w:rPr>
          <w:rFonts w:ascii="Times New Roman" w:eastAsia="Times New Roman" w:hAnsi="Times New Roman" w:cs="Times New Roman"/>
          <w:color w:val="000000" w:themeColor="text1"/>
          <w:sz w:val="24"/>
          <w:szCs w:val="24"/>
          <w:lang w:eastAsia="en-GB"/>
        </w:rPr>
        <w:t xml:space="preserve">, kā arī </w:t>
      </w:r>
      <w:r w:rsidRPr="008B00E6">
        <w:rPr>
          <w:rFonts w:ascii="Times New Roman" w:eastAsia="Times New Roman" w:hAnsi="Times New Roman" w:cs="Times New Roman"/>
          <w:color w:val="000000" w:themeColor="text1"/>
          <w:sz w:val="24"/>
          <w:szCs w:val="24"/>
          <w:lang w:eastAsia="en-GB"/>
        </w:rPr>
        <w:t>atspoguļ</w:t>
      </w:r>
      <w:r>
        <w:rPr>
          <w:rFonts w:ascii="Times New Roman" w:eastAsia="Times New Roman" w:hAnsi="Times New Roman" w:cs="Times New Roman"/>
          <w:color w:val="000000" w:themeColor="text1"/>
          <w:sz w:val="24"/>
          <w:szCs w:val="24"/>
          <w:lang w:eastAsia="en-GB"/>
        </w:rPr>
        <w:t xml:space="preserve">oja </w:t>
      </w:r>
      <w:r w:rsidRPr="008B00E6">
        <w:rPr>
          <w:rFonts w:ascii="Times New Roman" w:eastAsia="Times New Roman" w:hAnsi="Times New Roman" w:cs="Times New Roman"/>
          <w:color w:val="000000" w:themeColor="text1"/>
          <w:sz w:val="24"/>
          <w:szCs w:val="24"/>
          <w:lang w:eastAsia="en-GB"/>
        </w:rPr>
        <w:t>informācij</w:t>
      </w:r>
      <w:r>
        <w:rPr>
          <w:rFonts w:ascii="Times New Roman" w:eastAsia="Times New Roman" w:hAnsi="Times New Roman" w:cs="Times New Roman"/>
          <w:color w:val="000000" w:themeColor="text1"/>
          <w:sz w:val="24"/>
          <w:szCs w:val="24"/>
          <w:lang w:eastAsia="en-GB"/>
        </w:rPr>
        <w:t>u</w:t>
      </w:r>
      <w:r w:rsidRPr="008B00E6">
        <w:rPr>
          <w:rFonts w:ascii="Times New Roman" w:eastAsia="Times New Roman" w:hAnsi="Times New Roman" w:cs="Times New Roman"/>
          <w:color w:val="000000" w:themeColor="text1"/>
          <w:sz w:val="24"/>
          <w:szCs w:val="24"/>
          <w:lang w:eastAsia="en-GB"/>
        </w:rPr>
        <w:t xml:space="preserve"> par šīs </w:t>
      </w:r>
      <w:proofErr w:type="spellStart"/>
      <w:r w:rsidRPr="008B00E6">
        <w:rPr>
          <w:rFonts w:ascii="Times New Roman" w:eastAsia="Times New Roman" w:hAnsi="Times New Roman" w:cs="Times New Roman"/>
          <w:color w:val="000000" w:themeColor="text1"/>
          <w:sz w:val="24"/>
          <w:szCs w:val="24"/>
          <w:lang w:eastAsia="en-GB"/>
        </w:rPr>
        <w:t>mērķgrupas</w:t>
      </w:r>
      <w:proofErr w:type="spellEnd"/>
      <w:r w:rsidRPr="008B00E6">
        <w:rPr>
          <w:rFonts w:ascii="Times New Roman" w:eastAsia="Times New Roman" w:hAnsi="Times New Roman" w:cs="Times New Roman"/>
          <w:color w:val="000000" w:themeColor="text1"/>
          <w:sz w:val="24"/>
          <w:szCs w:val="24"/>
          <w:lang w:eastAsia="en-GB"/>
        </w:rPr>
        <w:t xml:space="preserve"> ienākumu līmeni un OCTA</w:t>
      </w:r>
      <w:r>
        <w:rPr>
          <w:rFonts w:ascii="Times New Roman" w:eastAsia="Times New Roman" w:hAnsi="Times New Roman" w:cs="Times New Roman"/>
          <w:color w:val="000000" w:themeColor="text1"/>
          <w:sz w:val="24"/>
          <w:szCs w:val="24"/>
          <w:lang w:eastAsia="en-GB"/>
        </w:rPr>
        <w:t xml:space="preserve"> </w:t>
      </w:r>
      <w:r w:rsidRPr="008B00E6">
        <w:rPr>
          <w:rFonts w:ascii="Times New Roman" w:eastAsia="Times New Roman" w:hAnsi="Times New Roman" w:cs="Times New Roman"/>
          <w:color w:val="000000" w:themeColor="text1"/>
          <w:sz w:val="24"/>
          <w:szCs w:val="24"/>
          <w:lang w:eastAsia="en-GB"/>
        </w:rPr>
        <w:t>prēmijas samazinājuma nozīmību</w:t>
      </w:r>
      <w:r>
        <w:rPr>
          <w:rFonts w:ascii="Times New Roman" w:eastAsia="Times New Roman" w:hAnsi="Times New Roman" w:cs="Times New Roman"/>
          <w:color w:val="000000" w:themeColor="text1"/>
          <w:sz w:val="24"/>
          <w:szCs w:val="24"/>
          <w:lang w:eastAsia="en-GB"/>
        </w:rPr>
        <w:t xml:space="preserve"> (</w:t>
      </w:r>
      <w:r w:rsidR="00C8275F">
        <w:rPr>
          <w:rFonts w:ascii="Times New Roman" w:eastAsia="Times New Roman" w:hAnsi="Times New Roman" w:cs="Times New Roman"/>
          <w:color w:val="000000" w:themeColor="text1"/>
          <w:sz w:val="24"/>
          <w:szCs w:val="24"/>
          <w:lang w:eastAsia="en-GB"/>
        </w:rPr>
        <w:t xml:space="preserve">sk. </w:t>
      </w:r>
      <w:r w:rsidR="00696D51">
        <w:rPr>
          <w:rFonts w:ascii="Times New Roman" w:eastAsia="Times New Roman" w:hAnsi="Times New Roman" w:cs="Times New Roman"/>
          <w:color w:val="000000" w:themeColor="text1"/>
          <w:sz w:val="24"/>
          <w:szCs w:val="24"/>
          <w:lang w:eastAsia="en-GB"/>
        </w:rPr>
        <w:t xml:space="preserve">1. un 2. </w:t>
      </w:r>
      <w:r>
        <w:rPr>
          <w:rFonts w:ascii="Times New Roman" w:eastAsia="Times New Roman" w:hAnsi="Times New Roman" w:cs="Times New Roman"/>
          <w:color w:val="000000" w:themeColor="text1"/>
          <w:sz w:val="24"/>
          <w:szCs w:val="24"/>
          <w:lang w:eastAsia="en-GB"/>
        </w:rPr>
        <w:t>pielikum</w:t>
      </w:r>
      <w:r w:rsidR="00C8275F">
        <w:rPr>
          <w:rFonts w:ascii="Times New Roman" w:eastAsia="Times New Roman" w:hAnsi="Times New Roman" w:cs="Times New Roman"/>
          <w:color w:val="000000" w:themeColor="text1"/>
          <w:sz w:val="24"/>
          <w:szCs w:val="24"/>
          <w:lang w:eastAsia="en-GB"/>
        </w:rPr>
        <w:t>u</w:t>
      </w:r>
      <w:r>
        <w:rPr>
          <w:rFonts w:ascii="Times New Roman" w:eastAsia="Times New Roman" w:hAnsi="Times New Roman" w:cs="Times New Roman"/>
          <w:color w:val="000000" w:themeColor="text1"/>
          <w:sz w:val="24"/>
          <w:szCs w:val="24"/>
          <w:lang w:eastAsia="en-GB"/>
        </w:rPr>
        <w:t>).</w:t>
      </w:r>
    </w:p>
    <w:p w14:paraId="16C43772" w14:textId="77777777" w:rsidR="00966901" w:rsidRDefault="00966901" w:rsidP="000B2D24">
      <w:pPr>
        <w:spacing w:after="0"/>
        <w:ind w:firstLine="720"/>
        <w:jc w:val="both"/>
        <w:rPr>
          <w:rFonts w:ascii="Times New Roman" w:eastAsia="Times New Roman" w:hAnsi="Times New Roman" w:cs="Times New Roman"/>
          <w:color w:val="000000" w:themeColor="text1"/>
          <w:sz w:val="24"/>
          <w:szCs w:val="24"/>
          <w:lang w:eastAsia="en-GB"/>
        </w:rPr>
      </w:pPr>
    </w:p>
    <w:p w14:paraId="008FD2BB" w14:textId="77777777" w:rsidR="00966901" w:rsidRPr="00B9719A" w:rsidRDefault="00FB5E46" w:rsidP="00B9719A">
      <w:pPr>
        <w:spacing w:after="0"/>
        <w:ind w:firstLine="720"/>
        <w:rPr>
          <w:rFonts w:ascii="Times New Roman" w:eastAsia="Times New Roman" w:hAnsi="Times New Roman" w:cs="Times New Roman"/>
          <w:b/>
          <w:bCs/>
          <w:color w:val="000000" w:themeColor="text1"/>
          <w:sz w:val="24"/>
          <w:szCs w:val="24"/>
          <w:lang w:eastAsia="en-GB"/>
        </w:rPr>
      </w:pPr>
      <w:r w:rsidRPr="00B9719A">
        <w:rPr>
          <w:rFonts w:ascii="Times New Roman" w:eastAsia="Times New Roman" w:hAnsi="Times New Roman" w:cs="Times New Roman"/>
          <w:b/>
          <w:bCs/>
          <w:color w:val="000000" w:themeColor="text1"/>
          <w:sz w:val="24"/>
          <w:szCs w:val="24"/>
          <w:lang w:eastAsia="en-GB"/>
        </w:rPr>
        <w:t xml:space="preserve">2. </w:t>
      </w:r>
      <w:r w:rsidR="00966901" w:rsidRPr="00B9719A">
        <w:rPr>
          <w:rFonts w:ascii="Times New Roman" w:eastAsia="Times New Roman" w:hAnsi="Times New Roman" w:cs="Times New Roman"/>
          <w:b/>
          <w:bCs/>
          <w:color w:val="000000" w:themeColor="text1"/>
          <w:sz w:val="24"/>
          <w:szCs w:val="24"/>
          <w:lang w:eastAsia="en-GB"/>
        </w:rPr>
        <w:t>Apdrošināšanas prēmijas samazinājums lauksaimniekiem</w:t>
      </w:r>
    </w:p>
    <w:p w14:paraId="2893F9E5" w14:textId="77777777" w:rsidR="00DF1AF0" w:rsidRPr="007C55D6" w:rsidRDefault="00DF1AF0" w:rsidP="00DF1AF0">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Laika posmā no 1997.gada līdz 2004.gada 30.aprīlim iepriekšējā Sauszemes transportlīdzekļu īpašnieku civiltiesiskās atbildības obligātās apdrošināšanas likuma darbības laikā attiecībā uz lauksaimniecības produkcijas ražotājiem pastāvēja speciāls regulējums – iespēja slēgt komplekso līgumu. Šāds kompleksais līgums varēja tikt noslēgts attiecībā uz ne vairāk kā pieciem transportlīdzekļiem (tostarp vienu vieglo pasažieru auto), un apdrošināšanas prēmija tika noteikta atbilstoši apdrošināšanas prēmijai par to transportlīdzekli, kuram tā ir visaugstākā atbilstoši transportlīdzekļa riska pakāpei. Apdrošināšanas </w:t>
      </w:r>
      <w:r w:rsidRPr="007C55D6">
        <w:rPr>
          <w:rFonts w:ascii="Times New Roman" w:eastAsia="Times New Roman" w:hAnsi="Times New Roman" w:cs="Times New Roman"/>
          <w:color w:val="000000" w:themeColor="text1"/>
          <w:sz w:val="24"/>
          <w:szCs w:val="24"/>
          <w:lang w:eastAsia="en-GB"/>
        </w:rPr>
        <w:t xml:space="preserve">prēmiju apmēru </w:t>
      </w:r>
      <w:r w:rsidRPr="007C55D6">
        <w:rPr>
          <w:rFonts w:ascii="Times New Roman" w:hAnsi="Times New Roman" w:cs="Times New Roman"/>
          <w:iCs/>
          <w:sz w:val="24"/>
          <w:szCs w:val="24"/>
        </w:rPr>
        <w:t>noteica Ministru kabinets.</w:t>
      </w:r>
    </w:p>
    <w:p w14:paraId="4FE6953E" w14:textId="132BEA3B" w:rsidR="00DB1820" w:rsidRDefault="00DF1AF0" w:rsidP="00DF1AF0">
      <w:pPr>
        <w:spacing w:after="0"/>
        <w:ind w:firstLine="720"/>
        <w:jc w:val="both"/>
        <w:rPr>
          <w:rFonts w:ascii="Times New Roman" w:hAnsi="Times New Roman" w:cs="Times New Roman"/>
          <w:iCs/>
          <w:sz w:val="24"/>
          <w:szCs w:val="24"/>
        </w:rPr>
      </w:pPr>
      <w:r w:rsidRPr="007C55D6">
        <w:rPr>
          <w:rFonts w:ascii="Times New Roman" w:hAnsi="Times New Roman" w:cs="Times New Roman"/>
          <w:iCs/>
          <w:sz w:val="24"/>
          <w:szCs w:val="24"/>
        </w:rPr>
        <w:t>2004.gadā, spē</w:t>
      </w:r>
      <w:r w:rsidR="003E013A" w:rsidRPr="007C55D6">
        <w:rPr>
          <w:rFonts w:ascii="Times New Roman" w:hAnsi="Times New Roman" w:cs="Times New Roman"/>
          <w:iCs/>
          <w:sz w:val="24"/>
          <w:szCs w:val="24"/>
        </w:rPr>
        <w:t>k</w:t>
      </w:r>
      <w:r w:rsidRPr="007C55D6">
        <w:rPr>
          <w:rFonts w:ascii="Times New Roman" w:hAnsi="Times New Roman" w:cs="Times New Roman"/>
          <w:iCs/>
          <w:sz w:val="24"/>
          <w:szCs w:val="24"/>
        </w:rPr>
        <w:t xml:space="preserve">ā stājoties pašreizējam OCTA likumam, </w:t>
      </w:r>
      <w:r w:rsidR="00DB1820" w:rsidRPr="007C55D6">
        <w:rPr>
          <w:rFonts w:ascii="Times New Roman" w:hAnsi="Times New Roman" w:cs="Times New Roman"/>
          <w:iCs/>
          <w:sz w:val="24"/>
          <w:szCs w:val="24"/>
        </w:rPr>
        <w:t>tika mainīta gan apdrošināšanas prēmiju noteikšanas kārtība, nosakot, ka</w:t>
      </w:r>
      <w:r w:rsidR="007C55D6" w:rsidRPr="007C55D6">
        <w:rPr>
          <w:rFonts w:ascii="Times New Roman" w:hAnsi="Times New Roman" w:cs="Times New Roman"/>
          <w:iCs/>
          <w:sz w:val="24"/>
          <w:szCs w:val="24"/>
        </w:rPr>
        <w:t xml:space="preserve"> apdrošinātāji paši veido prēmiju </w:t>
      </w:r>
      <w:r w:rsidR="007C55D6" w:rsidRPr="007C55D6">
        <w:rPr>
          <w:rFonts w:ascii="Times New Roman" w:eastAsia="Times New Roman" w:hAnsi="Times New Roman" w:cs="Times New Roman"/>
          <w:color w:val="000000" w:themeColor="text1"/>
          <w:sz w:val="24"/>
          <w:szCs w:val="24"/>
          <w:lang w:eastAsia="en-GB"/>
        </w:rPr>
        <w:t xml:space="preserve">apmēru </w:t>
      </w:r>
      <w:r w:rsidR="007C55D6" w:rsidRPr="007C55D6">
        <w:rPr>
          <w:rFonts w:ascii="Times New Roman" w:hAnsi="Times New Roman" w:cs="Times New Roman"/>
          <w:iCs/>
          <w:sz w:val="24"/>
          <w:szCs w:val="24"/>
        </w:rPr>
        <w:t>noteikšanas politiku</w:t>
      </w:r>
      <w:r w:rsidR="00DB1820" w:rsidRPr="007C55D6">
        <w:rPr>
          <w:rFonts w:ascii="Times New Roman" w:hAnsi="Times New Roman" w:cs="Times New Roman"/>
          <w:iCs/>
          <w:sz w:val="24"/>
          <w:szCs w:val="24"/>
        </w:rPr>
        <w:t>, gan arī tika izslēgts regulējums, kas deva iespēju ar lauksaimniecības produkcijas ražotājiem slēgt kompleksos līgumus. Tā vietā tika paredzēts</w:t>
      </w:r>
      <w:r w:rsidR="00DB1820">
        <w:rPr>
          <w:rFonts w:ascii="Times New Roman" w:hAnsi="Times New Roman" w:cs="Times New Roman"/>
          <w:iCs/>
          <w:sz w:val="24"/>
          <w:szCs w:val="24"/>
        </w:rPr>
        <w:t xml:space="preserve"> jauns regulējums, kas paredzēja apdrošināšanas prēmijas</w:t>
      </w:r>
      <w:r w:rsidR="00272F0F">
        <w:rPr>
          <w:rFonts w:ascii="Times New Roman" w:hAnsi="Times New Roman" w:cs="Times New Roman"/>
          <w:iCs/>
          <w:sz w:val="24"/>
          <w:szCs w:val="24"/>
        </w:rPr>
        <w:t xml:space="preserve"> maksājuma samazinājumu par 30 procentiem</w:t>
      </w:r>
      <w:r w:rsidR="00DB1820">
        <w:rPr>
          <w:rFonts w:ascii="Times New Roman" w:hAnsi="Times New Roman" w:cs="Times New Roman"/>
          <w:iCs/>
          <w:sz w:val="24"/>
          <w:szCs w:val="24"/>
        </w:rPr>
        <w:t xml:space="preserve">, apdrošinot lauksaimniecības tehniku. </w:t>
      </w:r>
    </w:p>
    <w:p w14:paraId="5BF842B3" w14:textId="3A803E87" w:rsidR="00EA2453" w:rsidRDefault="000B2D24" w:rsidP="000B2D24">
      <w:pPr>
        <w:spacing w:after="0"/>
        <w:ind w:firstLine="720"/>
        <w:jc w:val="both"/>
        <w:rPr>
          <w:rFonts w:ascii="Times New Roman" w:eastAsia="Times New Roman" w:hAnsi="Times New Roman" w:cs="Times New Roman"/>
          <w:color w:val="000000" w:themeColor="text1"/>
          <w:sz w:val="24"/>
          <w:szCs w:val="24"/>
          <w:lang w:eastAsia="en-GB"/>
        </w:rPr>
      </w:pPr>
      <w:r w:rsidRPr="0034771E">
        <w:rPr>
          <w:rFonts w:ascii="Times New Roman" w:eastAsia="Times New Roman" w:hAnsi="Times New Roman" w:cs="Times New Roman"/>
          <w:color w:val="000000" w:themeColor="text1"/>
          <w:sz w:val="24"/>
          <w:szCs w:val="24"/>
          <w:lang w:eastAsia="en-GB"/>
        </w:rPr>
        <w:t xml:space="preserve">Pašlaik OCTA likuma 14.panta trešā daļa nosaka, ka, apdrošinot traktortehniku vai tās piekabi, kas reģistrēta Valsts tehniskās uzraudzības aģentūrā, apdrošinātāja noteiktās apdrošināšanas prēmijas maksājums par 30 procentiem tiek samazināts, noslēdzot apdrošināšanas līgumu ar transportlīdzekļa īpašnieku — zemnieku vai zvejnieku saimniecību un lauksaimniecības pakalpojumu kooperatīvo sabiedrību. </w:t>
      </w:r>
      <w:r w:rsidR="00986394" w:rsidRPr="0034771E">
        <w:rPr>
          <w:rFonts w:ascii="Times New Roman" w:eastAsia="Times New Roman" w:hAnsi="Times New Roman" w:cs="Times New Roman"/>
          <w:color w:val="000000" w:themeColor="text1"/>
          <w:sz w:val="24"/>
          <w:szCs w:val="24"/>
          <w:lang w:eastAsia="en-GB"/>
        </w:rPr>
        <w:t xml:space="preserve">Minētais </w:t>
      </w:r>
      <w:r w:rsidRPr="0034771E">
        <w:rPr>
          <w:rFonts w:ascii="Times New Roman" w:eastAsia="Times New Roman" w:hAnsi="Times New Roman" w:cs="Times New Roman"/>
          <w:color w:val="000000" w:themeColor="text1"/>
          <w:sz w:val="24"/>
          <w:szCs w:val="24"/>
          <w:lang w:eastAsia="en-GB"/>
        </w:rPr>
        <w:t>apdrošināšanas prēmijas maksājuma samazinājums piešķirams arī lauksaimniecības produkcijas ražotājam — komersantam un fiziskajai personai, ja apdrošinātājam ir iesniegta pašvaldības izziņa par attiecīgajā kalendāra gadā īpašumā, pastāvīgā lietošanā vai nomā esošo zemes platību, kas tiek izmantota lauksaimniecības produkcijas ražošanai.</w:t>
      </w:r>
    </w:p>
    <w:p w14:paraId="64EB91E3" w14:textId="77777777" w:rsidR="007B65AB" w:rsidRDefault="007B65AB" w:rsidP="000B2D24">
      <w:pPr>
        <w:spacing w:after="0"/>
        <w:ind w:firstLine="720"/>
        <w:jc w:val="both"/>
        <w:rPr>
          <w:rFonts w:ascii="Times New Roman" w:eastAsia="Times New Roman" w:hAnsi="Times New Roman" w:cs="Times New Roman"/>
          <w:color w:val="000000" w:themeColor="text1"/>
          <w:sz w:val="24"/>
          <w:szCs w:val="24"/>
          <w:lang w:eastAsia="en-GB"/>
        </w:rPr>
      </w:pPr>
    </w:p>
    <w:p w14:paraId="5E23C702" w14:textId="77777777" w:rsidR="00272F0F" w:rsidRDefault="00272F0F" w:rsidP="000B2D24">
      <w:pPr>
        <w:spacing w:after="0"/>
        <w:ind w:firstLine="720"/>
        <w:jc w:val="both"/>
        <w:rPr>
          <w:rFonts w:ascii="Times New Roman" w:eastAsia="Times New Roman" w:hAnsi="Times New Roman" w:cs="Times New Roman"/>
          <w:color w:val="000000" w:themeColor="text1"/>
          <w:sz w:val="24"/>
          <w:szCs w:val="24"/>
          <w:lang w:eastAsia="en-GB"/>
        </w:rPr>
      </w:pPr>
    </w:p>
    <w:p w14:paraId="1D968CD8" w14:textId="77777777" w:rsidR="00FB5E46" w:rsidRPr="00B9719A" w:rsidRDefault="00FB5E46" w:rsidP="00B9719A">
      <w:pPr>
        <w:spacing w:after="0"/>
        <w:ind w:firstLine="720"/>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lastRenderedPageBreak/>
        <w:t xml:space="preserve">3. </w:t>
      </w:r>
      <w:r w:rsidR="00DB1820">
        <w:rPr>
          <w:rFonts w:ascii="Times New Roman" w:eastAsia="Times New Roman" w:hAnsi="Times New Roman" w:cs="Times New Roman"/>
          <w:b/>
          <w:bCs/>
          <w:color w:val="000000" w:themeColor="text1"/>
          <w:sz w:val="24"/>
          <w:szCs w:val="24"/>
          <w:lang w:eastAsia="en-GB"/>
        </w:rPr>
        <w:t xml:space="preserve">Apdrošināšanas prēmiju </w:t>
      </w:r>
      <w:r w:rsidR="00272F0F">
        <w:rPr>
          <w:rFonts w:ascii="Times New Roman" w:eastAsia="Times New Roman" w:hAnsi="Times New Roman" w:cs="Times New Roman"/>
          <w:b/>
          <w:bCs/>
          <w:color w:val="000000" w:themeColor="text1"/>
          <w:sz w:val="24"/>
          <w:szCs w:val="24"/>
          <w:lang w:eastAsia="en-GB"/>
        </w:rPr>
        <w:t xml:space="preserve">maksājumu samazināšanas </w:t>
      </w:r>
      <w:r w:rsidR="00DB1820">
        <w:rPr>
          <w:rFonts w:ascii="Times New Roman" w:eastAsia="Times New Roman" w:hAnsi="Times New Roman" w:cs="Times New Roman"/>
          <w:b/>
          <w:bCs/>
          <w:color w:val="000000" w:themeColor="text1"/>
          <w:sz w:val="24"/>
          <w:szCs w:val="24"/>
          <w:lang w:eastAsia="en-GB"/>
        </w:rPr>
        <w:t>finansēšanas kārtīb</w:t>
      </w:r>
      <w:r w:rsidR="00272F0F">
        <w:rPr>
          <w:rFonts w:ascii="Times New Roman" w:eastAsia="Times New Roman" w:hAnsi="Times New Roman" w:cs="Times New Roman"/>
          <w:b/>
          <w:bCs/>
          <w:color w:val="000000" w:themeColor="text1"/>
          <w:sz w:val="24"/>
          <w:szCs w:val="24"/>
          <w:lang w:eastAsia="en-GB"/>
        </w:rPr>
        <w:t>a</w:t>
      </w:r>
    </w:p>
    <w:p w14:paraId="33A5EA46" w14:textId="1AA57106" w:rsidR="00DB1820" w:rsidRPr="007B7083" w:rsidRDefault="001C06E3" w:rsidP="00B9719A">
      <w:pPr>
        <w:spacing w:after="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b/>
      </w:r>
      <w:r w:rsidR="00272F0F">
        <w:rPr>
          <w:rFonts w:ascii="Times New Roman" w:eastAsia="Times New Roman" w:hAnsi="Times New Roman" w:cs="Times New Roman"/>
          <w:color w:val="000000" w:themeColor="text1"/>
          <w:sz w:val="24"/>
          <w:szCs w:val="24"/>
          <w:lang w:eastAsia="en-GB"/>
        </w:rPr>
        <w:t xml:space="preserve">Laika posmā no 1997.gada līdz 2004.gada 30.aprīlim iepriekšējā Sauszemes transportlīdzekļu īpašnieku civiltiesiskās atbildības obligātās </w:t>
      </w:r>
      <w:r w:rsidR="00272F0F" w:rsidRPr="007B7083">
        <w:rPr>
          <w:rFonts w:ascii="Times New Roman" w:eastAsia="Times New Roman" w:hAnsi="Times New Roman" w:cs="Times New Roman"/>
          <w:color w:val="000000" w:themeColor="text1"/>
          <w:sz w:val="24"/>
          <w:szCs w:val="24"/>
          <w:lang w:eastAsia="en-GB"/>
        </w:rPr>
        <w:t xml:space="preserve">apdrošināšanas likuma darbības laikā apdrošināšanas prēmiju apmērus noteica Ministru kabinets, savukārt apdrošināšanas prēmiju samazinājums personām ar invaliditāti bija noteikts likumā. </w:t>
      </w:r>
      <w:r w:rsidR="00272F0F" w:rsidRPr="007B7083">
        <w:rPr>
          <w:rFonts w:ascii="Times New Roman" w:hAnsi="Times New Roman" w:cs="Times New Roman"/>
          <w:iCs/>
          <w:sz w:val="24"/>
          <w:szCs w:val="24"/>
        </w:rPr>
        <w:t>2004.gadā, spē</w:t>
      </w:r>
      <w:r w:rsidR="007C55D6" w:rsidRPr="007B7083">
        <w:rPr>
          <w:rFonts w:ascii="Times New Roman" w:hAnsi="Times New Roman" w:cs="Times New Roman"/>
          <w:iCs/>
          <w:sz w:val="24"/>
          <w:szCs w:val="24"/>
        </w:rPr>
        <w:t>k</w:t>
      </w:r>
      <w:r w:rsidR="00272F0F" w:rsidRPr="007B7083">
        <w:rPr>
          <w:rFonts w:ascii="Times New Roman" w:hAnsi="Times New Roman" w:cs="Times New Roman"/>
          <w:iCs/>
          <w:sz w:val="24"/>
          <w:szCs w:val="24"/>
        </w:rPr>
        <w:t>ā stājoties pašreizējam OCTA likumam un paredzot, ka apdrošinātāji</w:t>
      </w:r>
      <w:r w:rsidR="007C55D6" w:rsidRPr="007B7083">
        <w:rPr>
          <w:rFonts w:ascii="Times New Roman" w:hAnsi="Times New Roman" w:cs="Times New Roman"/>
          <w:iCs/>
          <w:sz w:val="24"/>
          <w:szCs w:val="24"/>
        </w:rPr>
        <w:t xml:space="preserve"> paši veido</w:t>
      </w:r>
      <w:r w:rsidR="00272F0F" w:rsidRPr="007B7083">
        <w:rPr>
          <w:rFonts w:ascii="Times New Roman" w:hAnsi="Times New Roman" w:cs="Times New Roman"/>
          <w:iCs/>
          <w:sz w:val="24"/>
          <w:szCs w:val="24"/>
        </w:rPr>
        <w:t xml:space="preserve"> prēmiju</w:t>
      </w:r>
      <w:r w:rsidR="007C55D6" w:rsidRPr="007B7083">
        <w:rPr>
          <w:rFonts w:ascii="Times New Roman" w:hAnsi="Times New Roman" w:cs="Times New Roman"/>
          <w:iCs/>
          <w:sz w:val="24"/>
          <w:szCs w:val="24"/>
        </w:rPr>
        <w:t xml:space="preserve"> </w:t>
      </w:r>
      <w:r w:rsidR="007C55D6" w:rsidRPr="007B7083">
        <w:rPr>
          <w:rFonts w:ascii="Times New Roman" w:eastAsia="Times New Roman" w:hAnsi="Times New Roman" w:cs="Times New Roman"/>
          <w:color w:val="000000" w:themeColor="text1"/>
          <w:sz w:val="24"/>
          <w:szCs w:val="24"/>
          <w:lang w:eastAsia="en-GB"/>
        </w:rPr>
        <w:t xml:space="preserve">apmēru </w:t>
      </w:r>
      <w:r w:rsidR="007C55D6" w:rsidRPr="007B7083">
        <w:rPr>
          <w:rFonts w:ascii="Times New Roman" w:hAnsi="Times New Roman" w:cs="Times New Roman"/>
          <w:iCs/>
          <w:sz w:val="24"/>
          <w:szCs w:val="24"/>
        </w:rPr>
        <w:t>noteikšanas politiku</w:t>
      </w:r>
      <w:r w:rsidR="00272F0F" w:rsidRPr="007B7083">
        <w:rPr>
          <w:rFonts w:ascii="Times New Roman" w:hAnsi="Times New Roman" w:cs="Times New Roman"/>
          <w:iCs/>
          <w:sz w:val="24"/>
          <w:szCs w:val="24"/>
        </w:rPr>
        <w:t>, OCTA likumā tika ietverts jauns regulējums, kas paredz, ka apdrošināšanas prēmijas maksājumu samazinājums tiek kompensēts no Garantij</w:t>
      </w:r>
      <w:r w:rsidR="00DC7F9C" w:rsidRPr="007B7083">
        <w:rPr>
          <w:rFonts w:ascii="Times New Roman" w:hAnsi="Times New Roman" w:cs="Times New Roman"/>
          <w:iCs/>
          <w:sz w:val="24"/>
          <w:szCs w:val="24"/>
        </w:rPr>
        <w:t>as</w:t>
      </w:r>
      <w:r w:rsidR="00272F0F" w:rsidRPr="007B7083">
        <w:rPr>
          <w:rFonts w:ascii="Times New Roman" w:hAnsi="Times New Roman" w:cs="Times New Roman"/>
          <w:iCs/>
          <w:sz w:val="24"/>
          <w:szCs w:val="24"/>
        </w:rPr>
        <w:t xml:space="preserve"> fonda. </w:t>
      </w:r>
    </w:p>
    <w:p w14:paraId="7F1954EB" w14:textId="77777777" w:rsidR="008D77B2" w:rsidRDefault="00986394" w:rsidP="00272F0F">
      <w:pPr>
        <w:spacing w:after="0"/>
        <w:ind w:firstLine="720"/>
        <w:jc w:val="both"/>
        <w:rPr>
          <w:rFonts w:ascii="Times New Roman" w:eastAsia="Times New Roman" w:hAnsi="Times New Roman" w:cs="Times New Roman"/>
          <w:color w:val="000000" w:themeColor="text1"/>
          <w:sz w:val="24"/>
          <w:szCs w:val="24"/>
          <w:lang w:eastAsia="en-GB"/>
        </w:rPr>
      </w:pPr>
      <w:r w:rsidRPr="007B7083">
        <w:rPr>
          <w:rFonts w:ascii="Times New Roman" w:eastAsia="Times New Roman" w:hAnsi="Times New Roman" w:cs="Times New Roman"/>
          <w:color w:val="000000" w:themeColor="text1"/>
          <w:sz w:val="24"/>
          <w:szCs w:val="24"/>
          <w:lang w:eastAsia="en-GB"/>
        </w:rPr>
        <w:t>Saskaņā ar OCTA likuma 14.panta ceturto daļu a</w:t>
      </w:r>
      <w:r w:rsidR="000B2D24" w:rsidRPr="007B7083">
        <w:rPr>
          <w:rFonts w:ascii="Times New Roman" w:eastAsia="Times New Roman" w:hAnsi="Times New Roman" w:cs="Times New Roman"/>
          <w:color w:val="000000" w:themeColor="text1"/>
          <w:sz w:val="24"/>
          <w:szCs w:val="24"/>
          <w:lang w:eastAsia="en-GB"/>
        </w:rPr>
        <w:t>pdrošināšanas</w:t>
      </w:r>
      <w:r w:rsidR="000B2D24" w:rsidRPr="0034771E">
        <w:rPr>
          <w:rFonts w:ascii="Times New Roman" w:eastAsia="Times New Roman" w:hAnsi="Times New Roman" w:cs="Times New Roman"/>
          <w:color w:val="000000" w:themeColor="text1"/>
          <w:sz w:val="24"/>
          <w:szCs w:val="24"/>
          <w:lang w:eastAsia="en-GB"/>
        </w:rPr>
        <w:t xml:space="preserve"> prēmijas maksājuma samazinājumu apdrošinā</w:t>
      </w:r>
      <w:r w:rsidR="00D2008B" w:rsidRPr="0034771E">
        <w:rPr>
          <w:rFonts w:ascii="Times New Roman" w:eastAsia="Times New Roman" w:hAnsi="Times New Roman" w:cs="Times New Roman"/>
          <w:color w:val="000000" w:themeColor="text1"/>
          <w:sz w:val="24"/>
          <w:szCs w:val="24"/>
          <w:lang w:eastAsia="en-GB"/>
        </w:rPr>
        <w:t xml:space="preserve">šanas </w:t>
      </w:r>
      <w:r w:rsidR="00D2008B" w:rsidRPr="005155B0">
        <w:rPr>
          <w:rFonts w:ascii="Times New Roman" w:eastAsia="Times New Roman" w:hAnsi="Times New Roman" w:cs="Times New Roman"/>
          <w:color w:val="000000" w:themeColor="text1"/>
          <w:sz w:val="24"/>
          <w:szCs w:val="24"/>
          <w:lang w:eastAsia="en-GB"/>
        </w:rPr>
        <w:t>sabiedrībai</w:t>
      </w:r>
      <w:r w:rsidR="000B2D24" w:rsidRPr="005155B0">
        <w:rPr>
          <w:rFonts w:ascii="Times New Roman" w:eastAsia="Times New Roman" w:hAnsi="Times New Roman" w:cs="Times New Roman"/>
          <w:color w:val="000000" w:themeColor="text1"/>
          <w:sz w:val="24"/>
          <w:szCs w:val="24"/>
          <w:lang w:eastAsia="en-GB"/>
        </w:rPr>
        <w:t xml:space="preserve"> kompensē </w:t>
      </w:r>
      <w:r w:rsidR="00D2008B" w:rsidRPr="005155B0">
        <w:rPr>
          <w:rFonts w:ascii="Times New Roman" w:eastAsia="Times New Roman" w:hAnsi="Times New Roman" w:cs="Times New Roman"/>
          <w:color w:val="000000" w:themeColor="text1"/>
          <w:sz w:val="24"/>
          <w:szCs w:val="24"/>
          <w:lang w:eastAsia="en-GB"/>
        </w:rPr>
        <w:t xml:space="preserve">Latvijas Transportlīdzekļu apdrošinātāju birojs (turpmāk – LTAB) </w:t>
      </w:r>
      <w:r w:rsidR="000B2D24" w:rsidRPr="005155B0">
        <w:rPr>
          <w:rFonts w:ascii="Times New Roman" w:eastAsia="Times New Roman" w:hAnsi="Times New Roman" w:cs="Times New Roman"/>
          <w:color w:val="000000" w:themeColor="text1"/>
          <w:sz w:val="24"/>
          <w:szCs w:val="24"/>
          <w:lang w:eastAsia="en-GB"/>
        </w:rPr>
        <w:t>no Garantijas fond</w:t>
      </w:r>
      <w:r w:rsidR="005155B0" w:rsidRPr="005155B0">
        <w:rPr>
          <w:rFonts w:ascii="Times New Roman" w:eastAsia="Times New Roman" w:hAnsi="Times New Roman" w:cs="Times New Roman"/>
          <w:color w:val="000000" w:themeColor="text1"/>
          <w:sz w:val="24"/>
          <w:szCs w:val="24"/>
          <w:lang w:eastAsia="en-GB"/>
        </w:rPr>
        <w:t>a.</w:t>
      </w:r>
      <w:r w:rsidRPr="005155B0">
        <w:rPr>
          <w:rFonts w:ascii="Times New Roman" w:eastAsia="Times New Roman" w:hAnsi="Times New Roman" w:cs="Times New Roman"/>
          <w:color w:val="000000" w:themeColor="text1"/>
          <w:sz w:val="24"/>
          <w:szCs w:val="24"/>
          <w:lang w:eastAsia="en-GB"/>
        </w:rPr>
        <w:t xml:space="preserve"> </w:t>
      </w:r>
      <w:r w:rsidR="00D2008B" w:rsidRPr="005155B0">
        <w:rPr>
          <w:rFonts w:ascii="Times New Roman" w:eastAsia="Times New Roman" w:hAnsi="Times New Roman" w:cs="Times New Roman"/>
          <w:color w:val="000000" w:themeColor="text1"/>
          <w:sz w:val="24"/>
          <w:szCs w:val="24"/>
          <w:lang w:eastAsia="en-GB"/>
        </w:rPr>
        <w:t xml:space="preserve">Savukārt </w:t>
      </w:r>
      <w:r w:rsidR="000B2D24" w:rsidRPr="005155B0">
        <w:rPr>
          <w:rFonts w:ascii="Times New Roman" w:eastAsia="Times New Roman" w:hAnsi="Times New Roman" w:cs="Times New Roman"/>
          <w:color w:val="000000" w:themeColor="text1"/>
          <w:sz w:val="24"/>
          <w:szCs w:val="24"/>
          <w:lang w:eastAsia="en-GB"/>
        </w:rPr>
        <w:t xml:space="preserve">Garantijas fonda līdzekļus veido apdrošināšanas sabiedrību atskaitījumi no </w:t>
      </w:r>
      <w:r w:rsidR="00CB5CC9" w:rsidRPr="005155B0">
        <w:rPr>
          <w:rFonts w:ascii="Times New Roman" w:eastAsia="Times New Roman" w:hAnsi="Times New Roman" w:cs="Times New Roman"/>
          <w:color w:val="000000" w:themeColor="text1"/>
          <w:sz w:val="24"/>
          <w:szCs w:val="24"/>
          <w:lang w:eastAsia="en-GB"/>
        </w:rPr>
        <w:t xml:space="preserve">OCTA </w:t>
      </w:r>
      <w:r w:rsidR="000B2D24" w:rsidRPr="005155B0">
        <w:rPr>
          <w:rFonts w:ascii="Times New Roman" w:eastAsia="Times New Roman" w:hAnsi="Times New Roman" w:cs="Times New Roman"/>
          <w:color w:val="000000" w:themeColor="text1"/>
          <w:sz w:val="24"/>
          <w:szCs w:val="24"/>
          <w:lang w:eastAsia="en-GB"/>
        </w:rPr>
        <w:t xml:space="preserve">apdrošināšanas prēmijām, kuras apdrošināšanas sabiedrības saņem no </w:t>
      </w:r>
      <w:r w:rsidR="00B56F60">
        <w:rPr>
          <w:rFonts w:ascii="Times New Roman" w:eastAsia="Times New Roman" w:hAnsi="Times New Roman" w:cs="Times New Roman"/>
          <w:color w:val="000000" w:themeColor="text1"/>
          <w:sz w:val="24"/>
          <w:szCs w:val="24"/>
          <w:lang w:eastAsia="en-GB"/>
        </w:rPr>
        <w:t>t</w:t>
      </w:r>
      <w:r w:rsidR="00B56F60" w:rsidRPr="005155B0">
        <w:rPr>
          <w:rFonts w:ascii="Times New Roman" w:eastAsia="Times New Roman" w:hAnsi="Times New Roman" w:cs="Times New Roman"/>
          <w:color w:val="000000" w:themeColor="text1"/>
          <w:sz w:val="24"/>
          <w:szCs w:val="24"/>
          <w:lang w:eastAsia="en-GB"/>
        </w:rPr>
        <w:t xml:space="preserve">ransportlīdzekļu </w:t>
      </w:r>
      <w:r w:rsidR="00B56F60">
        <w:rPr>
          <w:rFonts w:ascii="Times New Roman" w:eastAsia="Times New Roman" w:hAnsi="Times New Roman" w:cs="Times New Roman"/>
          <w:color w:val="000000" w:themeColor="text1"/>
          <w:sz w:val="24"/>
          <w:szCs w:val="24"/>
          <w:lang w:eastAsia="en-GB"/>
        </w:rPr>
        <w:t>īpašniekiem</w:t>
      </w:r>
      <w:r w:rsidR="002F2071">
        <w:rPr>
          <w:rFonts w:ascii="Times New Roman" w:eastAsia="Times New Roman" w:hAnsi="Times New Roman" w:cs="Times New Roman"/>
          <w:color w:val="000000" w:themeColor="text1"/>
          <w:sz w:val="24"/>
          <w:szCs w:val="24"/>
          <w:lang w:eastAsia="en-GB"/>
        </w:rPr>
        <w:t xml:space="preserve"> </w:t>
      </w:r>
      <w:r w:rsidR="00D2008B" w:rsidRPr="005155B0">
        <w:rPr>
          <w:rFonts w:ascii="Times New Roman" w:eastAsia="Times New Roman" w:hAnsi="Times New Roman" w:cs="Times New Roman"/>
          <w:color w:val="000000" w:themeColor="text1"/>
          <w:sz w:val="24"/>
          <w:szCs w:val="24"/>
          <w:lang w:eastAsia="en-GB"/>
        </w:rPr>
        <w:t>(OCTA polišu pircējiem)</w:t>
      </w:r>
      <w:r w:rsidR="000B2D24" w:rsidRPr="005155B0">
        <w:rPr>
          <w:rFonts w:ascii="Times New Roman" w:eastAsia="Times New Roman" w:hAnsi="Times New Roman" w:cs="Times New Roman"/>
          <w:color w:val="000000" w:themeColor="text1"/>
          <w:sz w:val="24"/>
          <w:szCs w:val="24"/>
          <w:lang w:eastAsia="en-GB"/>
        </w:rPr>
        <w:t xml:space="preserve">. </w:t>
      </w:r>
      <w:r w:rsidR="00CB5CC9" w:rsidRPr="005155B0">
        <w:rPr>
          <w:rFonts w:ascii="Times New Roman" w:eastAsia="Times New Roman" w:hAnsi="Times New Roman" w:cs="Times New Roman"/>
          <w:color w:val="000000" w:themeColor="text1"/>
          <w:sz w:val="24"/>
          <w:szCs w:val="24"/>
          <w:lang w:eastAsia="en-GB"/>
        </w:rPr>
        <w:t>Veicamo</w:t>
      </w:r>
      <w:r w:rsidR="000B2D24" w:rsidRPr="005155B0">
        <w:rPr>
          <w:rFonts w:ascii="Times New Roman" w:eastAsia="Times New Roman" w:hAnsi="Times New Roman" w:cs="Times New Roman"/>
          <w:color w:val="000000" w:themeColor="text1"/>
          <w:sz w:val="24"/>
          <w:szCs w:val="24"/>
          <w:lang w:eastAsia="en-GB"/>
        </w:rPr>
        <w:t xml:space="preserve"> atskaitījumu apmēru nosaka Ministru kabineta 2005.gada 22.maija noteikumi Nr.195 “Sauszemes transportlīdzekļu īpašnieku civiltiesiskās atbildības obligātās apdrošināšanas garantijas fonda izveidošanas, uzkrāšanas un administrēšanas kārtība” (turpmāk</w:t>
      </w:r>
      <w:r w:rsidR="000B2D24" w:rsidRPr="0034771E">
        <w:rPr>
          <w:rFonts w:ascii="Times New Roman" w:eastAsia="Times New Roman" w:hAnsi="Times New Roman" w:cs="Times New Roman"/>
          <w:color w:val="000000" w:themeColor="text1"/>
          <w:sz w:val="24"/>
          <w:szCs w:val="24"/>
          <w:lang w:eastAsia="en-GB"/>
        </w:rPr>
        <w:t xml:space="preserve"> – MK noteikumi Nr.195).</w:t>
      </w:r>
      <w:r w:rsidR="00EE622A">
        <w:rPr>
          <w:rFonts w:ascii="Times New Roman" w:eastAsia="Times New Roman" w:hAnsi="Times New Roman" w:cs="Times New Roman"/>
          <w:color w:val="000000" w:themeColor="text1"/>
          <w:sz w:val="24"/>
          <w:szCs w:val="24"/>
          <w:lang w:eastAsia="en-GB"/>
        </w:rPr>
        <w:t xml:space="preserve"> </w:t>
      </w:r>
    </w:p>
    <w:p w14:paraId="09DBC53E" w14:textId="77777777" w:rsidR="00DB1820" w:rsidRPr="00B9719A" w:rsidRDefault="00DB1820" w:rsidP="00B9719A">
      <w:pPr>
        <w:spacing w:after="0"/>
        <w:ind w:firstLine="720"/>
        <w:jc w:val="center"/>
        <w:rPr>
          <w:rFonts w:ascii="Times New Roman" w:eastAsia="Times New Roman" w:hAnsi="Times New Roman" w:cs="Times New Roman"/>
          <w:b/>
          <w:bCs/>
          <w:color w:val="000000" w:themeColor="text1"/>
          <w:sz w:val="24"/>
          <w:szCs w:val="24"/>
          <w:lang w:eastAsia="en-GB"/>
        </w:rPr>
      </w:pPr>
    </w:p>
    <w:p w14:paraId="4F2A9764" w14:textId="77777777" w:rsidR="00DB1820" w:rsidRPr="00B9719A" w:rsidRDefault="00DB1820" w:rsidP="00B9719A">
      <w:pPr>
        <w:spacing w:after="0"/>
        <w:ind w:firstLine="720"/>
        <w:rPr>
          <w:rFonts w:ascii="Times New Roman" w:eastAsia="Times New Roman" w:hAnsi="Times New Roman" w:cs="Times New Roman"/>
          <w:b/>
          <w:bCs/>
          <w:color w:val="000000" w:themeColor="text1"/>
          <w:sz w:val="24"/>
          <w:szCs w:val="24"/>
          <w:lang w:eastAsia="en-GB"/>
        </w:rPr>
      </w:pPr>
      <w:r w:rsidRPr="00B9719A">
        <w:rPr>
          <w:rFonts w:ascii="Times New Roman" w:eastAsia="Times New Roman" w:hAnsi="Times New Roman" w:cs="Times New Roman"/>
          <w:b/>
          <w:bCs/>
          <w:color w:val="000000" w:themeColor="text1"/>
          <w:sz w:val="24"/>
          <w:szCs w:val="24"/>
          <w:lang w:eastAsia="en-GB"/>
        </w:rPr>
        <w:t>4. Garantijas fonda darbība un finansēšanas kārtība</w:t>
      </w:r>
    </w:p>
    <w:p w14:paraId="2FFEB630" w14:textId="77777777" w:rsidR="00582157" w:rsidRDefault="00582157" w:rsidP="00582157">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Laika posmā no 1997.gada līdz 2004.gada 30.aprīlim iepriekšējā Sauszemes transportlīdzekļu īpašnieku civiltiesiskās atbildības obligātās apdrošināšanas likuma darbības laikā pastāvēja divi garantij</w:t>
      </w:r>
      <w:r w:rsidR="00DC7F9C">
        <w:rPr>
          <w:rFonts w:ascii="Times New Roman" w:eastAsia="Times New Roman" w:hAnsi="Times New Roman" w:cs="Times New Roman"/>
          <w:color w:val="000000" w:themeColor="text1"/>
          <w:sz w:val="24"/>
          <w:szCs w:val="24"/>
          <w:lang w:eastAsia="en-GB"/>
        </w:rPr>
        <w:t>as</w:t>
      </w:r>
      <w:r>
        <w:rPr>
          <w:rFonts w:ascii="Times New Roman" w:eastAsia="Times New Roman" w:hAnsi="Times New Roman" w:cs="Times New Roman"/>
          <w:color w:val="000000" w:themeColor="text1"/>
          <w:sz w:val="24"/>
          <w:szCs w:val="24"/>
          <w:lang w:eastAsia="en-GB"/>
        </w:rPr>
        <w:t xml:space="preserve"> fondi:</w:t>
      </w:r>
    </w:p>
    <w:p w14:paraId="59A027A0" w14:textId="77777777" w:rsidR="00582157" w:rsidRPr="00B9719A" w:rsidRDefault="00582157" w:rsidP="00B9719A">
      <w:pPr>
        <w:spacing w:after="0"/>
        <w:ind w:firstLine="720"/>
        <w:jc w:val="both"/>
        <w:rPr>
          <w:rFonts w:ascii="Times New Roman" w:hAnsi="Times New Roman" w:cs="Times New Roman"/>
          <w:color w:val="000000" w:themeColor="text1"/>
          <w:sz w:val="24"/>
          <w:szCs w:val="24"/>
        </w:rPr>
      </w:pPr>
      <w:r w:rsidRPr="00B9719A">
        <w:rPr>
          <w:rFonts w:ascii="Times New Roman" w:hAnsi="Times New Roman" w:cs="Times New Roman"/>
          <w:color w:val="000000" w:themeColor="text1"/>
          <w:sz w:val="24"/>
          <w:szCs w:val="24"/>
        </w:rPr>
        <w:t xml:space="preserve">1) </w:t>
      </w:r>
      <w:r w:rsidRPr="00B9719A">
        <w:rPr>
          <w:rFonts w:ascii="Times New Roman" w:eastAsia="Times New Roman" w:hAnsi="Times New Roman" w:cs="Times New Roman"/>
          <w:color w:val="000000" w:themeColor="text1"/>
          <w:sz w:val="24"/>
          <w:szCs w:val="24"/>
          <w:lang w:eastAsia="en-GB"/>
        </w:rPr>
        <w:t xml:space="preserve">Sauszemes transportlīdzekļu īpašnieku civiltiesiskās atbildības obligātās apdrošināšanas garantijas (rezerves) </w:t>
      </w:r>
      <w:r w:rsidRPr="00224AC4">
        <w:rPr>
          <w:rFonts w:ascii="Times New Roman" w:eastAsia="Times New Roman" w:hAnsi="Times New Roman" w:cs="Times New Roman"/>
          <w:color w:val="000000" w:themeColor="text1"/>
          <w:sz w:val="24"/>
          <w:szCs w:val="24"/>
          <w:lang w:eastAsia="en-GB"/>
        </w:rPr>
        <w:t>fonds, no kura tika segti zaudējumi, kurus radījuši neapdrošināti, neidentificēti vai zagti transportlīdzekļi;</w:t>
      </w:r>
    </w:p>
    <w:p w14:paraId="701D1D4F" w14:textId="77777777" w:rsidR="00582157" w:rsidRPr="00B9719A" w:rsidRDefault="00582157" w:rsidP="00582157">
      <w:pPr>
        <w:pStyle w:val="tv213"/>
        <w:shd w:val="clear" w:color="auto" w:fill="FFFFFF"/>
        <w:spacing w:before="0" w:beforeAutospacing="0" w:after="0" w:afterAutospacing="0" w:line="293" w:lineRule="atLeast"/>
        <w:ind w:left="600"/>
        <w:jc w:val="both"/>
        <w:rPr>
          <w:color w:val="000000" w:themeColor="text1"/>
        </w:rPr>
      </w:pPr>
      <w:r w:rsidRPr="00B9719A">
        <w:rPr>
          <w:color w:val="000000" w:themeColor="text1"/>
        </w:rPr>
        <w:t>2) Sauszemes transportlīdzekļu īpašnieku civiltiesiskās atbildības obligātās apdrošināšanas apdrošinājuma ņēmēju interešu aizsardzības fond</w:t>
      </w:r>
      <w:r>
        <w:rPr>
          <w:color w:val="000000" w:themeColor="text1"/>
        </w:rPr>
        <w:t xml:space="preserve">s, no kura tika izmaksātas apdrošināšanas atlīdzības izmaksas apdrošinātāja maksātnespējas gadījumā. </w:t>
      </w:r>
    </w:p>
    <w:p w14:paraId="27FA4707" w14:textId="77777777" w:rsidR="00272F0F" w:rsidRDefault="00582157" w:rsidP="000B2D24">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Spēkā stājoties pašreizējam OCTA likumam, apdrošinājuma ņēmēju interešu aizsardzības fonds ar 2005.gada 1.janvāri tika pievienots Garantij</w:t>
      </w:r>
      <w:r w:rsidR="00DC7F9C">
        <w:rPr>
          <w:rFonts w:ascii="Times New Roman" w:eastAsia="Times New Roman" w:hAnsi="Times New Roman" w:cs="Times New Roman"/>
          <w:color w:val="000000" w:themeColor="text1"/>
          <w:sz w:val="24"/>
          <w:szCs w:val="24"/>
          <w:lang w:eastAsia="en-GB"/>
        </w:rPr>
        <w:t>as</w:t>
      </w:r>
      <w:r>
        <w:rPr>
          <w:rFonts w:ascii="Times New Roman" w:eastAsia="Times New Roman" w:hAnsi="Times New Roman" w:cs="Times New Roman"/>
          <w:color w:val="000000" w:themeColor="text1"/>
          <w:sz w:val="24"/>
          <w:szCs w:val="24"/>
          <w:lang w:eastAsia="en-GB"/>
        </w:rPr>
        <w:t xml:space="preserve"> fondam.</w:t>
      </w:r>
    </w:p>
    <w:p w14:paraId="47839D9A" w14:textId="77777777" w:rsidR="00AD5307" w:rsidRPr="00B9719A" w:rsidRDefault="00582157" w:rsidP="00AD5307">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Saskaņā ar OCTA likumu</w:t>
      </w:r>
      <w:r w:rsidR="00AD5307">
        <w:rPr>
          <w:rFonts w:ascii="Times New Roman" w:eastAsia="Times New Roman" w:hAnsi="Times New Roman" w:cs="Times New Roman"/>
          <w:color w:val="000000" w:themeColor="text1"/>
          <w:sz w:val="24"/>
          <w:szCs w:val="24"/>
          <w:lang w:eastAsia="en-GB"/>
        </w:rPr>
        <w:t xml:space="preserve"> apdrošinātāji izveido un LTAB administrē</w:t>
      </w:r>
      <w:r>
        <w:rPr>
          <w:rFonts w:ascii="Times New Roman" w:eastAsia="Times New Roman" w:hAnsi="Times New Roman" w:cs="Times New Roman"/>
          <w:color w:val="000000" w:themeColor="text1"/>
          <w:sz w:val="24"/>
          <w:szCs w:val="24"/>
          <w:lang w:eastAsia="en-GB"/>
        </w:rPr>
        <w:t xml:space="preserve"> Garantij</w:t>
      </w:r>
      <w:r w:rsidR="00DC7F9C">
        <w:rPr>
          <w:rFonts w:ascii="Times New Roman" w:eastAsia="Times New Roman" w:hAnsi="Times New Roman" w:cs="Times New Roman"/>
          <w:color w:val="000000" w:themeColor="text1"/>
          <w:sz w:val="24"/>
          <w:szCs w:val="24"/>
          <w:lang w:eastAsia="en-GB"/>
        </w:rPr>
        <w:t>as</w:t>
      </w:r>
      <w:r>
        <w:rPr>
          <w:rFonts w:ascii="Times New Roman" w:eastAsia="Times New Roman" w:hAnsi="Times New Roman" w:cs="Times New Roman"/>
          <w:color w:val="000000" w:themeColor="text1"/>
          <w:sz w:val="24"/>
          <w:szCs w:val="24"/>
          <w:lang w:eastAsia="en-GB"/>
        </w:rPr>
        <w:t xml:space="preserve"> fond</w:t>
      </w:r>
      <w:r w:rsidR="00AD5307">
        <w:rPr>
          <w:rFonts w:ascii="Times New Roman" w:eastAsia="Times New Roman" w:hAnsi="Times New Roman" w:cs="Times New Roman"/>
          <w:color w:val="000000" w:themeColor="text1"/>
          <w:sz w:val="24"/>
          <w:szCs w:val="24"/>
          <w:lang w:eastAsia="en-GB"/>
        </w:rPr>
        <w:t xml:space="preserve">u, un </w:t>
      </w:r>
      <w:r w:rsidR="00CD3B3D">
        <w:rPr>
          <w:rFonts w:ascii="Times New Roman" w:eastAsia="Times New Roman" w:hAnsi="Times New Roman" w:cs="Times New Roman"/>
          <w:color w:val="000000" w:themeColor="text1"/>
          <w:sz w:val="24"/>
          <w:szCs w:val="24"/>
          <w:lang w:eastAsia="en-GB"/>
        </w:rPr>
        <w:t>t</w:t>
      </w:r>
      <w:r w:rsidR="00AD5307">
        <w:rPr>
          <w:rFonts w:ascii="Times New Roman" w:eastAsia="Times New Roman" w:hAnsi="Times New Roman" w:cs="Times New Roman"/>
          <w:color w:val="000000" w:themeColor="text1"/>
          <w:sz w:val="24"/>
          <w:szCs w:val="24"/>
          <w:lang w:eastAsia="en-GB"/>
        </w:rPr>
        <w:t xml:space="preserve">ā izveides </w:t>
      </w:r>
      <w:r w:rsidR="00AD5307" w:rsidRPr="0034771E">
        <w:rPr>
          <w:rFonts w:ascii="Times New Roman" w:eastAsia="Times New Roman" w:hAnsi="Times New Roman" w:cs="Times New Roman"/>
          <w:color w:val="000000" w:themeColor="text1"/>
          <w:sz w:val="24"/>
          <w:szCs w:val="24"/>
          <w:lang w:eastAsia="en-GB"/>
        </w:rPr>
        <w:t>mērķis ir veikt zaudējumu atlīdzības izmaksu ceļu satiksmes negadījumā cietušajām personām, ja zaudējumus nodarījis neapdrošināts vai nenoskaidrots transportlīdzeklis</w:t>
      </w:r>
      <w:r w:rsidR="00AD5307">
        <w:rPr>
          <w:rFonts w:ascii="Times New Roman" w:eastAsia="Times New Roman" w:hAnsi="Times New Roman" w:cs="Times New Roman"/>
          <w:color w:val="000000" w:themeColor="text1"/>
          <w:sz w:val="24"/>
          <w:szCs w:val="24"/>
          <w:lang w:eastAsia="en-GB"/>
        </w:rPr>
        <w:t xml:space="preserve">, </w:t>
      </w:r>
      <w:r w:rsidR="00AD5307" w:rsidRPr="0034771E">
        <w:rPr>
          <w:rFonts w:ascii="Times New Roman" w:eastAsia="Times New Roman" w:hAnsi="Times New Roman" w:cs="Times New Roman"/>
          <w:color w:val="000000" w:themeColor="text1"/>
          <w:sz w:val="24"/>
          <w:szCs w:val="24"/>
          <w:lang w:eastAsia="en-GB"/>
        </w:rPr>
        <w:t xml:space="preserve">t.sk., gadījumā, kad ceļu satiksmes negadījums noticis ārpus Latvijas), </w:t>
      </w:r>
      <w:r w:rsidR="00AD5307">
        <w:rPr>
          <w:rFonts w:ascii="Times New Roman" w:eastAsia="Times New Roman" w:hAnsi="Times New Roman" w:cs="Times New Roman"/>
          <w:color w:val="000000" w:themeColor="text1"/>
          <w:sz w:val="24"/>
          <w:szCs w:val="24"/>
          <w:lang w:eastAsia="en-GB"/>
        </w:rPr>
        <w:t xml:space="preserve">vai ir </w:t>
      </w:r>
      <w:r w:rsidR="00AD5307" w:rsidRPr="0034771E">
        <w:rPr>
          <w:rFonts w:ascii="Times New Roman" w:eastAsia="Times New Roman" w:hAnsi="Times New Roman" w:cs="Times New Roman"/>
          <w:color w:val="000000" w:themeColor="text1"/>
          <w:sz w:val="24"/>
          <w:szCs w:val="24"/>
          <w:lang w:eastAsia="en-GB"/>
        </w:rPr>
        <w:t>iestājusies apdrošināšanas sabiedrības maksātnespēja</w:t>
      </w:r>
      <w:r w:rsidR="00AD5307">
        <w:rPr>
          <w:rFonts w:ascii="Times New Roman" w:eastAsia="Times New Roman" w:hAnsi="Times New Roman" w:cs="Times New Roman"/>
          <w:color w:val="000000" w:themeColor="text1"/>
          <w:sz w:val="24"/>
          <w:szCs w:val="24"/>
          <w:lang w:eastAsia="en-GB"/>
        </w:rPr>
        <w:t xml:space="preserve"> (</w:t>
      </w:r>
      <w:r w:rsidR="00AD5307" w:rsidRPr="0034771E">
        <w:rPr>
          <w:rFonts w:ascii="Times New Roman" w:eastAsia="Times New Roman" w:hAnsi="Times New Roman" w:cs="Times New Roman"/>
          <w:color w:val="000000" w:themeColor="text1"/>
          <w:sz w:val="24"/>
          <w:szCs w:val="24"/>
          <w:lang w:eastAsia="en-GB"/>
        </w:rPr>
        <w:t>OCTA likuma  51. pant</w:t>
      </w:r>
      <w:r w:rsidR="00AD5307">
        <w:rPr>
          <w:rFonts w:ascii="Times New Roman" w:eastAsia="Times New Roman" w:hAnsi="Times New Roman" w:cs="Times New Roman"/>
          <w:color w:val="000000" w:themeColor="text1"/>
          <w:sz w:val="24"/>
          <w:szCs w:val="24"/>
          <w:lang w:eastAsia="en-GB"/>
        </w:rPr>
        <w:t>s).</w:t>
      </w:r>
      <w:r w:rsidR="00AD5307" w:rsidRPr="0034771E">
        <w:rPr>
          <w:rFonts w:ascii="Times New Roman" w:eastAsia="Times New Roman" w:hAnsi="Times New Roman" w:cs="Times New Roman"/>
          <w:color w:val="000000" w:themeColor="text1"/>
          <w:sz w:val="24"/>
          <w:szCs w:val="24"/>
          <w:lang w:eastAsia="en-GB"/>
        </w:rPr>
        <w:t xml:space="preserve"> </w:t>
      </w:r>
      <w:r w:rsidR="00AD5307" w:rsidRPr="0034771E">
        <w:rPr>
          <w:rFonts w:ascii="Times New Roman" w:hAnsi="Times New Roman" w:cs="Times New Roman"/>
          <w:color w:val="000000"/>
          <w:sz w:val="24"/>
          <w:szCs w:val="24"/>
        </w:rPr>
        <w:t xml:space="preserve">Minētais regulējums īsteno </w:t>
      </w:r>
      <w:r w:rsidR="00AD5307" w:rsidRPr="0034771E">
        <w:rPr>
          <w:rFonts w:ascii="Times New Roman" w:eastAsia="Times New Roman" w:hAnsi="Times New Roman" w:cs="Times New Roman"/>
          <w:color w:val="000000" w:themeColor="text1"/>
          <w:sz w:val="24"/>
          <w:szCs w:val="24"/>
          <w:lang w:eastAsia="en-GB"/>
        </w:rPr>
        <w:t xml:space="preserve">Eiropas Parlamenta un Padomes 2009.gada 16.septembra direktīvā Nr.2009/103/EK par civiltiesiskās atbildības apdrošināšanu saistībā ar mehānisko transportlīdzekļu izmantošanu un kontroli saistībā ar pienākumu apdrošināt šādu atbildību </w:t>
      </w:r>
      <w:r w:rsidR="00AD5307" w:rsidRPr="0034771E">
        <w:rPr>
          <w:rFonts w:ascii="Times New Roman" w:hAnsi="Times New Roman" w:cs="Times New Roman"/>
          <w:color w:val="000000"/>
          <w:sz w:val="24"/>
          <w:szCs w:val="24"/>
        </w:rPr>
        <w:t>noteikto dalībvalsts pienākumu un Zaļās kartes sistēmas dokumentos noteikto dalībvalsts pienākumu izveidot šādu fondu un nodrošināt tā darbību.</w:t>
      </w:r>
      <w:r w:rsidR="00AD5307" w:rsidRPr="0034771E">
        <w:rPr>
          <w:color w:val="000000"/>
          <w:sz w:val="24"/>
          <w:szCs w:val="24"/>
        </w:rPr>
        <w:t xml:space="preserve"> </w:t>
      </w:r>
    </w:p>
    <w:p w14:paraId="1F41F06B" w14:textId="77777777" w:rsidR="00AD5307" w:rsidRDefault="00AD5307" w:rsidP="00AD5307">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Tāpat no Garantijas fonda līdzekļiem sedz izdevumus par atlīdzības lietu administrēšanu, ar Garantijas fonda līdzekļu glabāšanu un ieguldīšanu saistītus līdzekļus, kā arī izmaksā kompensāciju apdrošinātājiem par apdrošināšanas prēmijas maksājuma samazinājumu. </w:t>
      </w:r>
    </w:p>
    <w:p w14:paraId="03678CFD" w14:textId="6D5A6663" w:rsidR="00947B4B" w:rsidRDefault="00224AC4" w:rsidP="00B9719A">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Atbilstoši OCTA likumā noteiktajam apdrošinātājiem ir pienākums veikt maksājumus Garantij</w:t>
      </w:r>
      <w:r w:rsidR="00CD3B3D">
        <w:rPr>
          <w:rFonts w:ascii="Times New Roman" w:eastAsia="Times New Roman" w:hAnsi="Times New Roman" w:cs="Times New Roman"/>
          <w:color w:val="000000" w:themeColor="text1"/>
          <w:sz w:val="24"/>
          <w:szCs w:val="24"/>
          <w:lang w:eastAsia="en-GB"/>
        </w:rPr>
        <w:t>as</w:t>
      </w:r>
      <w:r>
        <w:rPr>
          <w:rFonts w:ascii="Times New Roman" w:eastAsia="Times New Roman" w:hAnsi="Times New Roman" w:cs="Times New Roman"/>
          <w:color w:val="000000" w:themeColor="text1"/>
          <w:sz w:val="24"/>
          <w:szCs w:val="24"/>
          <w:lang w:eastAsia="en-GB"/>
        </w:rPr>
        <w:t xml:space="preserve"> fondā. </w:t>
      </w:r>
      <w:r w:rsidR="00EE622A">
        <w:rPr>
          <w:rFonts w:ascii="Times New Roman" w:eastAsia="Times New Roman" w:hAnsi="Times New Roman" w:cs="Times New Roman"/>
          <w:color w:val="000000" w:themeColor="text1"/>
          <w:sz w:val="24"/>
          <w:szCs w:val="24"/>
          <w:lang w:eastAsia="en-GB"/>
        </w:rPr>
        <w:t xml:space="preserve">Saskaņā ar MK noteikumiem Nr.195, ja Garantijas fonda atlikums ir virs 20 milj. EUR, apdrošināšanas sabiedrības atskaitījumus neveic, ja tas ir apjomā 15 līdz 20.milj. EUR, tās veic iemaksas MK noteikumos Nr.195 noteiktajā apjomā, savukārt, ja Garantijas fonda apjoms samazinās zem 15 milj. EUR apmēra, apdrošināšanas sabiedrības veic atskaitījumus divkāršā apmērā. Atbilstoši MK noteikumos Nr.195 noteiktajam, atskaitījumi atkarībā no apdrošināmā transportlīdzekļa veida ir no 0,10 līdz 3,43 EUR par vienu polisi. Piemēram, vieglā </w:t>
      </w:r>
      <w:r w:rsidR="00EE622A">
        <w:rPr>
          <w:rFonts w:ascii="Times New Roman" w:eastAsia="Times New Roman" w:hAnsi="Times New Roman" w:cs="Times New Roman"/>
          <w:color w:val="000000" w:themeColor="text1"/>
          <w:sz w:val="24"/>
          <w:szCs w:val="24"/>
          <w:lang w:eastAsia="en-GB"/>
        </w:rPr>
        <w:lastRenderedPageBreak/>
        <w:t>transportlīdzekļa gadījumā polisei ar termiņu viens gads atskaitījums ir 0,92 EUR</w:t>
      </w:r>
      <w:r w:rsidR="00465FAF">
        <w:rPr>
          <w:rFonts w:ascii="Times New Roman" w:eastAsia="Times New Roman" w:hAnsi="Times New Roman" w:cs="Times New Roman"/>
          <w:color w:val="000000" w:themeColor="text1"/>
          <w:sz w:val="24"/>
          <w:szCs w:val="24"/>
          <w:lang w:eastAsia="en-GB"/>
        </w:rPr>
        <w:t xml:space="preserve"> apmērā</w:t>
      </w:r>
      <w:r w:rsidR="00AD5307">
        <w:rPr>
          <w:rFonts w:ascii="Times New Roman" w:eastAsia="Times New Roman" w:hAnsi="Times New Roman" w:cs="Times New Roman"/>
          <w:color w:val="000000" w:themeColor="text1"/>
          <w:sz w:val="24"/>
          <w:szCs w:val="24"/>
          <w:lang w:eastAsia="en-GB"/>
        </w:rPr>
        <w:t>, savukārt dubultā apmērā tie būtu 1,84 EUR</w:t>
      </w:r>
      <w:r w:rsidR="00CE19C0">
        <w:rPr>
          <w:rFonts w:ascii="Times New Roman" w:eastAsia="Times New Roman" w:hAnsi="Times New Roman" w:cs="Times New Roman"/>
          <w:color w:val="000000" w:themeColor="text1"/>
          <w:sz w:val="24"/>
          <w:szCs w:val="24"/>
          <w:lang w:eastAsia="en-GB"/>
        </w:rPr>
        <w:t>.</w:t>
      </w:r>
    </w:p>
    <w:p w14:paraId="4016C7EB" w14:textId="5074C5D2" w:rsidR="00944D4B" w:rsidRPr="00840A8B" w:rsidRDefault="00944D4B" w:rsidP="00B9719A">
      <w:pPr>
        <w:spacing w:after="0"/>
        <w:ind w:firstLine="720"/>
        <w:jc w:val="both"/>
        <w:rPr>
          <w:rFonts w:ascii="Times New Roman" w:eastAsia="Times New Roman" w:hAnsi="Times New Roman" w:cs="Times New Roman"/>
          <w:color w:val="000000" w:themeColor="text1"/>
          <w:sz w:val="24"/>
          <w:szCs w:val="24"/>
          <w:lang w:eastAsia="en-GB"/>
        </w:rPr>
      </w:pPr>
      <w:r w:rsidRPr="00944D4B">
        <w:rPr>
          <w:rFonts w:ascii="Times New Roman" w:eastAsia="Times New Roman" w:hAnsi="Times New Roman" w:cs="Times New Roman"/>
          <w:color w:val="000000" w:themeColor="text1"/>
          <w:sz w:val="24"/>
          <w:szCs w:val="24"/>
          <w:lang w:eastAsia="en-GB"/>
        </w:rPr>
        <w:t>Papildus, saskaņā ar grozījumiem Ministru kabineta noteikumos Nr. 195 “Sauszemes transportlīdzekļu īpašnieku civiltiesiskās atbildības obligātās apdrošināšanas garantijas fonda izveidošanas, uzkrāšanas un administrēšanas kārtība”, kas stājās spēkā 2020.gada 1.aprīlī, Transportlīdzekļu apdrošinātāju birojs reizi gadā pārskata ikmēneša atskaitījumu apmēru, piemērojot Centrālās statistikas pārvaldes oficiāli noteikto iepriekšējā gada patēriņa cenu indeksu.</w:t>
      </w:r>
    </w:p>
    <w:p w14:paraId="3698744B" w14:textId="367021BB" w:rsidR="002C7698" w:rsidRDefault="002C7698" w:rsidP="00B9719A">
      <w:pPr>
        <w:spacing w:after="0" w:line="240" w:lineRule="auto"/>
        <w:ind w:firstLine="720"/>
        <w:jc w:val="both"/>
        <w:rPr>
          <w:rFonts w:ascii="Times New Roman" w:hAnsi="Times New Roman" w:cs="Times New Roman"/>
          <w:sz w:val="24"/>
          <w:szCs w:val="24"/>
        </w:rPr>
      </w:pPr>
      <w:r w:rsidRPr="00B9719A">
        <w:rPr>
          <w:rFonts w:ascii="Times New Roman" w:eastAsia="Times New Roman" w:hAnsi="Times New Roman" w:cs="Times New Roman"/>
          <w:color w:val="000000" w:themeColor="text1"/>
          <w:sz w:val="24"/>
          <w:szCs w:val="24"/>
          <w:lang w:eastAsia="en-GB"/>
        </w:rPr>
        <w:t>Kopumā 2020.gadā apdrošinātāji veikuši iemaksas Garantijas fondā 1 509</w:t>
      </w:r>
      <w:r w:rsidR="00944D4B">
        <w:rPr>
          <w:rFonts w:ascii="Times New Roman" w:eastAsia="Times New Roman" w:hAnsi="Times New Roman" w:cs="Times New Roman"/>
          <w:color w:val="000000" w:themeColor="text1"/>
          <w:sz w:val="24"/>
          <w:szCs w:val="24"/>
          <w:lang w:eastAsia="en-GB"/>
        </w:rPr>
        <w:t> </w:t>
      </w:r>
      <w:r w:rsidRPr="00B9719A">
        <w:rPr>
          <w:rFonts w:ascii="Times New Roman" w:eastAsia="Times New Roman" w:hAnsi="Times New Roman" w:cs="Times New Roman"/>
          <w:color w:val="000000" w:themeColor="text1"/>
          <w:sz w:val="24"/>
          <w:szCs w:val="24"/>
          <w:lang w:eastAsia="en-GB"/>
        </w:rPr>
        <w:t>686</w:t>
      </w:r>
      <w:r w:rsidR="00944D4B">
        <w:rPr>
          <w:rFonts w:ascii="Times New Roman" w:eastAsia="Times New Roman" w:hAnsi="Times New Roman" w:cs="Times New Roman"/>
          <w:color w:val="000000" w:themeColor="text1"/>
          <w:sz w:val="24"/>
          <w:szCs w:val="24"/>
          <w:lang w:eastAsia="en-GB"/>
        </w:rPr>
        <w:t xml:space="preserve"> </w:t>
      </w:r>
      <w:r w:rsidRPr="00B9719A">
        <w:rPr>
          <w:rFonts w:ascii="Times New Roman" w:eastAsia="Times New Roman" w:hAnsi="Times New Roman" w:cs="Times New Roman"/>
          <w:color w:val="000000" w:themeColor="text1"/>
          <w:sz w:val="24"/>
          <w:szCs w:val="24"/>
          <w:lang w:eastAsia="en-GB"/>
        </w:rPr>
        <w:t>EUR apmērā, savukārt</w:t>
      </w:r>
      <w:r>
        <w:rPr>
          <w:rFonts w:ascii="Times New Roman" w:hAnsi="Times New Roman" w:cs="Times New Roman"/>
          <w:sz w:val="24"/>
          <w:szCs w:val="24"/>
        </w:rPr>
        <w:t xml:space="preserve"> 2019.gadā 1 795 554 EUR apmērā.</w:t>
      </w:r>
    </w:p>
    <w:p w14:paraId="11B2256F" w14:textId="77777777" w:rsidR="00D95EB9" w:rsidRPr="0034771E" w:rsidRDefault="00D95EB9" w:rsidP="00D95EB9">
      <w:pPr>
        <w:pStyle w:val="ListParagraph"/>
        <w:spacing w:after="0" w:line="240" w:lineRule="auto"/>
        <w:ind w:left="0" w:firstLine="720"/>
        <w:jc w:val="both"/>
        <w:rPr>
          <w:rFonts w:ascii="Times New Roman" w:hAnsi="Times New Roman" w:cs="Times New Roman"/>
          <w:bCs/>
          <w:sz w:val="24"/>
          <w:szCs w:val="24"/>
          <w:shd w:val="clear" w:color="auto" w:fill="FFFFFF"/>
        </w:rPr>
      </w:pPr>
      <w:r w:rsidRPr="0034771E">
        <w:rPr>
          <w:rFonts w:ascii="Times New Roman" w:hAnsi="Times New Roman" w:cs="Times New Roman"/>
          <w:bCs/>
          <w:sz w:val="24"/>
          <w:szCs w:val="24"/>
          <w:shd w:val="clear" w:color="auto" w:fill="FFFFFF"/>
        </w:rPr>
        <w:t>Laika periodā no</w:t>
      </w:r>
      <w:r>
        <w:rPr>
          <w:rFonts w:ascii="Times New Roman" w:hAnsi="Times New Roman" w:cs="Times New Roman"/>
          <w:bCs/>
          <w:sz w:val="24"/>
          <w:szCs w:val="24"/>
          <w:shd w:val="clear" w:color="auto" w:fill="FFFFFF"/>
        </w:rPr>
        <w:t xml:space="preserve"> 2014.gada 1.janvāra</w:t>
      </w:r>
      <w:r w:rsidRPr="0034771E">
        <w:rPr>
          <w:rFonts w:ascii="Times New Roman" w:hAnsi="Times New Roman" w:cs="Times New Roman"/>
          <w:bCs/>
          <w:sz w:val="24"/>
          <w:szCs w:val="24"/>
          <w:shd w:val="clear" w:color="auto" w:fill="FFFFFF"/>
        </w:rPr>
        <w:t xml:space="preserve"> līdz</w:t>
      </w:r>
      <w:r>
        <w:rPr>
          <w:rFonts w:ascii="Times New Roman" w:hAnsi="Times New Roman" w:cs="Times New Roman"/>
          <w:bCs/>
          <w:sz w:val="24"/>
          <w:szCs w:val="24"/>
          <w:shd w:val="clear" w:color="auto" w:fill="FFFFFF"/>
        </w:rPr>
        <w:t xml:space="preserve"> 2021.gada 30.jūnijam</w:t>
      </w:r>
      <w:r w:rsidRPr="0034771E">
        <w:rPr>
          <w:rFonts w:ascii="Times New Roman" w:hAnsi="Times New Roman" w:cs="Times New Roman"/>
          <w:bCs/>
          <w:sz w:val="24"/>
          <w:szCs w:val="24"/>
          <w:shd w:val="clear" w:color="auto" w:fill="FFFFFF"/>
        </w:rPr>
        <w:t xml:space="preserve"> no Garantijas fonda ir izmaksāts </w:t>
      </w:r>
      <w:r>
        <w:rPr>
          <w:rFonts w:ascii="Times New Roman" w:hAnsi="Times New Roman" w:cs="Times New Roman"/>
          <w:bCs/>
          <w:sz w:val="24"/>
          <w:szCs w:val="24"/>
          <w:shd w:val="clear" w:color="auto" w:fill="FFFFFF"/>
        </w:rPr>
        <w:t>26</w:t>
      </w:r>
      <w:r w:rsidRPr="0034771E">
        <w:rPr>
          <w:rFonts w:ascii="Times New Roman" w:hAnsi="Times New Roman" w:cs="Times New Roman"/>
          <w:bCs/>
          <w:sz w:val="24"/>
          <w:szCs w:val="24"/>
          <w:shd w:val="clear" w:color="auto" w:fill="FFFFFF"/>
        </w:rPr>
        <w:t> milj.</w:t>
      </w:r>
      <w:r>
        <w:rPr>
          <w:rFonts w:ascii="Times New Roman" w:hAnsi="Times New Roman" w:cs="Times New Roman"/>
          <w:bCs/>
          <w:iCs/>
          <w:sz w:val="24"/>
          <w:szCs w:val="24"/>
          <w:shd w:val="clear" w:color="auto" w:fill="FFFFFF"/>
        </w:rPr>
        <w:t xml:space="preserve"> EUR</w:t>
      </w:r>
      <w:r w:rsidRPr="0034771E">
        <w:rPr>
          <w:rFonts w:ascii="Times New Roman" w:hAnsi="Times New Roman" w:cs="Times New Roman"/>
          <w:bCs/>
          <w:i/>
          <w:sz w:val="24"/>
          <w:szCs w:val="24"/>
          <w:shd w:val="clear" w:color="auto" w:fill="FFFFFF"/>
        </w:rPr>
        <w:t xml:space="preserve"> </w:t>
      </w:r>
      <w:r w:rsidRPr="0034771E">
        <w:rPr>
          <w:rFonts w:ascii="Times New Roman" w:hAnsi="Times New Roman" w:cs="Times New Roman"/>
          <w:bCs/>
          <w:iCs/>
          <w:sz w:val="24"/>
          <w:szCs w:val="24"/>
          <w:shd w:val="clear" w:color="auto" w:fill="FFFFFF"/>
        </w:rPr>
        <w:t>(skat. 2. tabulu un 2. grafiku)</w:t>
      </w:r>
      <w:r w:rsidRPr="0034771E">
        <w:rPr>
          <w:rFonts w:ascii="Times New Roman" w:hAnsi="Times New Roman" w:cs="Times New Roman"/>
          <w:bCs/>
          <w:sz w:val="24"/>
          <w:szCs w:val="24"/>
          <w:shd w:val="clear" w:color="auto" w:fill="FFFFFF"/>
        </w:rPr>
        <w:t>, no tiem:</w:t>
      </w:r>
    </w:p>
    <w:p w14:paraId="7A52D209" w14:textId="77777777" w:rsidR="00D95EB9" w:rsidRPr="0034771E" w:rsidRDefault="00D95EB9" w:rsidP="00D95EB9">
      <w:pPr>
        <w:pStyle w:val="ListParagraph"/>
        <w:spacing w:after="0" w:line="240" w:lineRule="auto"/>
        <w:ind w:left="0" w:firstLine="709"/>
        <w:jc w:val="both"/>
        <w:rPr>
          <w:rFonts w:ascii="Times New Roman" w:hAnsi="Times New Roman" w:cs="Times New Roman"/>
          <w:bCs/>
          <w:sz w:val="24"/>
          <w:szCs w:val="24"/>
          <w:shd w:val="clear" w:color="auto" w:fill="FFFFFF"/>
        </w:rPr>
      </w:pPr>
      <w:r w:rsidRPr="0034771E">
        <w:rPr>
          <w:rFonts w:ascii="Times New Roman" w:hAnsi="Times New Roman" w:cs="Times New Roman"/>
          <w:bCs/>
          <w:sz w:val="24"/>
          <w:szCs w:val="24"/>
          <w:shd w:val="clear" w:color="auto" w:fill="FFFFFF"/>
        </w:rPr>
        <w:t xml:space="preserve">1) </w:t>
      </w:r>
      <w:r>
        <w:rPr>
          <w:rFonts w:ascii="Times New Roman" w:hAnsi="Times New Roman" w:cs="Times New Roman"/>
          <w:bCs/>
          <w:sz w:val="24"/>
          <w:szCs w:val="24"/>
          <w:shd w:val="clear" w:color="auto" w:fill="FFFFFF"/>
        </w:rPr>
        <w:t>38,1 </w:t>
      </w:r>
      <w:r w:rsidRPr="0034771E">
        <w:rPr>
          <w:rFonts w:ascii="Times New Roman" w:hAnsi="Times New Roman" w:cs="Times New Roman"/>
          <w:bCs/>
          <w:sz w:val="24"/>
          <w:szCs w:val="24"/>
          <w:shd w:val="clear" w:color="auto" w:fill="FFFFFF"/>
        </w:rPr>
        <w:t>% jeb 9.</w:t>
      </w:r>
      <w:r>
        <w:rPr>
          <w:rFonts w:ascii="Times New Roman" w:hAnsi="Times New Roman" w:cs="Times New Roman"/>
          <w:bCs/>
          <w:sz w:val="24"/>
          <w:szCs w:val="24"/>
          <w:shd w:val="clear" w:color="auto" w:fill="FFFFFF"/>
        </w:rPr>
        <w:t>9</w:t>
      </w:r>
      <w:r w:rsidRPr="0034771E">
        <w:rPr>
          <w:rFonts w:ascii="Times New Roman" w:hAnsi="Times New Roman" w:cs="Times New Roman"/>
          <w:bCs/>
          <w:sz w:val="24"/>
          <w:szCs w:val="24"/>
          <w:shd w:val="clear" w:color="auto" w:fill="FFFFFF"/>
        </w:rPr>
        <w:t> milj.</w:t>
      </w:r>
      <w:r>
        <w:rPr>
          <w:rFonts w:ascii="Times New Roman" w:hAnsi="Times New Roman" w:cs="Times New Roman"/>
          <w:bCs/>
          <w:iCs/>
          <w:sz w:val="24"/>
          <w:szCs w:val="24"/>
          <w:shd w:val="clear" w:color="auto" w:fill="FFFFFF"/>
        </w:rPr>
        <w:t xml:space="preserve"> EUR</w:t>
      </w:r>
      <w:r w:rsidRPr="0034771E">
        <w:rPr>
          <w:rFonts w:ascii="Times New Roman" w:hAnsi="Times New Roman" w:cs="Times New Roman"/>
          <w:bCs/>
          <w:sz w:val="24"/>
          <w:szCs w:val="24"/>
          <w:shd w:val="clear" w:color="auto" w:fill="FFFFFF"/>
        </w:rPr>
        <w:t xml:space="preserve"> ir apdrošināšanas atlīdzību izmaksas;</w:t>
      </w:r>
    </w:p>
    <w:p w14:paraId="5650A4BF" w14:textId="77777777" w:rsidR="00D95EB9" w:rsidRPr="0034771E" w:rsidRDefault="00D95EB9" w:rsidP="00D95EB9">
      <w:pPr>
        <w:pStyle w:val="ListParagraph"/>
        <w:spacing w:after="0" w:line="240" w:lineRule="auto"/>
        <w:ind w:left="0" w:firstLine="709"/>
        <w:jc w:val="both"/>
        <w:rPr>
          <w:rFonts w:ascii="Times New Roman" w:hAnsi="Times New Roman" w:cs="Times New Roman"/>
          <w:bCs/>
          <w:sz w:val="24"/>
          <w:szCs w:val="24"/>
          <w:shd w:val="clear" w:color="auto" w:fill="FFFFFF"/>
        </w:rPr>
      </w:pPr>
      <w:r w:rsidRPr="0034771E">
        <w:rPr>
          <w:rFonts w:ascii="Times New Roman" w:hAnsi="Times New Roman" w:cs="Times New Roman"/>
          <w:bCs/>
          <w:sz w:val="24"/>
          <w:szCs w:val="24"/>
          <w:shd w:val="clear" w:color="auto" w:fill="FFFFFF"/>
        </w:rPr>
        <w:t xml:space="preserve">2) </w:t>
      </w:r>
      <w:r>
        <w:rPr>
          <w:rFonts w:ascii="Times New Roman" w:hAnsi="Times New Roman" w:cs="Times New Roman"/>
          <w:bCs/>
          <w:sz w:val="24"/>
          <w:szCs w:val="24"/>
          <w:shd w:val="clear" w:color="auto" w:fill="FFFFFF"/>
        </w:rPr>
        <w:t>19,2 </w:t>
      </w:r>
      <w:r w:rsidRPr="0034771E">
        <w:rPr>
          <w:rFonts w:ascii="Times New Roman" w:hAnsi="Times New Roman" w:cs="Times New Roman"/>
          <w:bCs/>
          <w:sz w:val="24"/>
          <w:szCs w:val="24"/>
          <w:shd w:val="clear" w:color="auto" w:fill="FFFFFF"/>
        </w:rPr>
        <w:t xml:space="preserve">% jeb </w:t>
      </w:r>
      <w:r>
        <w:rPr>
          <w:rFonts w:ascii="Times New Roman" w:hAnsi="Times New Roman" w:cs="Times New Roman"/>
          <w:bCs/>
          <w:sz w:val="24"/>
          <w:szCs w:val="24"/>
          <w:shd w:val="clear" w:color="auto" w:fill="FFFFFF"/>
        </w:rPr>
        <w:t>nepilni 5</w:t>
      </w:r>
      <w:r w:rsidRPr="0034771E">
        <w:rPr>
          <w:rFonts w:ascii="Times New Roman" w:hAnsi="Times New Roman" w:cs="Times New Roman"/>
          <w:bCs/>
          <w:sz w:val="24"/>
          <w:szCs w:val="24"/>
          <w:shd w:val="clear" w:color="auto" w:fill="FFFFFF"/>
        </w:rPr>
        <w:t xml:space="preserve"> milj. </w:t>
      </w:r>
      <w:r>
        <w:rPr>
          <w:rFonts w:ascii="Times New Roman" w:hAnsi="Times New Roman" w:cs="Times New Roman"/>
          <w:bCs/>
          <w:iCs/>
          <w:sz w:val="24"/>
          <w:szCs w:val="24"/>
          <w:shd w:val="clear" w:color="auto" w:fill="FFFFFF"/>
        </w:rPr>
        <w:t xml:space="preserve">EUR </w:t>
      </w:r>
      <w:r w:rsidRPr="0034771E">
        <w:rPr>
          <w:rFonts w:ascii="Times New Roman" w:hAnsi="Times New Roman" w:cs="Times New Roman"/>
          <w:bCs/>
          <w:sz w:val="24"/>
          <w:szCs w:val="24"/>
          <w:shd w:val="clear" w:color="auto" w:fill="FFFFFF"/>
        </w:rPr>
        <w:t>ir maksātnespējīgās AAS “Balva” atlīdzību izmaksas;</w:t>
      </w:r>
    </w:p>
    <w:p w14:paraId="6ECD086E" w14:textId="77777777" w:rsidR="00D95EB9" w:rsidRDefault="00D95EB9" w:rsidP="00D95EB9">
      <w:pPr>
        <w:pStyle w:val="ListParagraph"/>
        <w:spacing w:after="0" w:line="240" w:lineRule="auto"/>
        <w:ind w:left="0" w:firstLine="709"/>
        <w:jc w:val="both"/>
        <w:rPr>
          <w:rFonts w:ascii="Times New Roman" w:hAnsi="Times New Roman" w:cs="Times New Roman"/>
          <w:bCs/>
          <w:sz w:val="24"/>
          <w:szCs w:val="24"/>
          <w:shd w:val="clear" w:color="auto" w:fill="FFFFFF"/>
        </w:rPr>
      </w:pPr>
      <w:r w:rsidRPr="0034771E">
        <w:rPr>
          <w:rFonts w:ascii="Times New Roman" w:hAnsi="Times New Roman" w:cs="Times New Roman"/>
          <w:bCs/>
          <w:sz w:val="24"/>
          <w:szCs w:val="24"/>
          <w:shd w:val="clear" w:color="auto" w:fill="FFFFFF"/>
        </w:rPr>
        <w:t xml:space="preserve">3) </w:t>
      </w:r>
      <w:r>
        <w:rPr>
          <w:rFonts w:ascii="Times New Roman" w:hAnsi="Times New Roman" w:cs="Times New Roman"/>
          <w:bCs/>
          <w:sz w:val="24"/>
          <w:szCs w:val="24"/>
          <w:shd w:val="clear" w:color="auto" w:fill="FFFFFF"/>
        </w:rPr>
        <w:t>1,6 %</w:t>
      </w:r>
      <w:r w:rsidRPr="0034771E">
        <w:rPr>
          <w:rFonts w:ascii="Times New Roman" w:hAnsi="Times New Roman" w:cs="Times New Roman"/>
          <w:sz w:val="24"/>
          <w:szCs w:val="24"/>
          <w:shd w:val="clear" w:color="auto" w:fill="FFFFFF"/>
        </w:rPr>
        <w:t xml:space="preserve"> jeb </w:t>
      </w:r>
      <w:r>
        <w:rPr>
          <w:rFonts w:ascii="Times New Roman" w:hAnsi="Times New Roman" w:cs="Times New Roman"/>
          <w:sz w:val="24"/>
          <w:szCs w:val="24"/>
          <w:shd w:val="clear" w:color="auto" w:fill="FFFFFF"/>
        </w:rPr>
        <w:t xml:space="preserve">nepilni 420 </w:t>
      </w:r>
      <w:proofErr w:type="spellStart"/>
      <w:r>
        <w:rPr>
          <w:rFonts w:ascii="Times New Roman" w:hAnsi="Times New Roman" w:cs="Times New Roman"/>
          <w:sz w:val="24"/>
          <w:szCs w:val="24"/>
          <w:shd w:val="clear" w:color="auto" w:fill="FFFFFF"/>
        </w:rPr>
        <w:t>tk</w:t>
      </w:r>
      <w:proofErr w:type="spellEnd"/>
      <w:r>
        <w:rPr>
          <w:rFonts w:ascii="Times New Roman" w:hAnsi="Times New Roman" w:cs="Times New Roman"/>
          <w:sz w:val="24"/>
          <w:szCs w:val="24"/>
          <w:shd w:val="clear" w:color="auto" w:fill="FFFFFF"/>
        </w:rPr>
        <w:t>. EUR</w:t>
      </w:r>
      <w:r w:rsidRPr="0034771E">
        <w:rPr>
          <w:rFonts w:ascii="Times New Roman" w:hAnsi="Times New Roman" w:cs="Times New Roman"/>
          <w:sz w:val="24"/>
          <w:szCs w:val="24"/>
          <w:shd w:val="clear" w:color="auto" w:fill="FFFFFF"/>
        </w:rPr>
        <w:t xml:space="preserve"> kompensācijas apdrošinātājiem par lauksaimniekiem pie</w:t>
      </w:r>
      <w:r>
        <w:rPr>
          <w:rFonts w:ascii="Times New Roman" w:hAnsi="Times New Roman" w:cs="Times New Roman"/>
          <w:sz w:val="24"/>
          <w:szCs w:val="24"/>
          <w:shd w:val="clear" w:color="auto" w:fill="FFFFFF"/>
        </w:rPr>
        <w:t>mēroto</w:t>
      </w:r>
      <w:r w:rsidRPr="0034771E">
        <w:rPr>
          <w:rFonts w:ascii="Times New Roman" w:hAnsi="Times New Roman" w:cs="Times New Roman"/>
          <w:sz w:val="24"/>
          <w:szCs w:val="24"/>
          <w:shd w:val="clear" w:color="auto" w:fill="FFFFFF"/>
        </w:rPr>
        <w:t xml:space="preserve"> OCTA prēmijas </w:t>
      </w:r>
      <w:r>
        <w:rPr>
          <w:rFonts w:ascii="Times New Roman" w:hAnsi="Times New Roman" w:cs="Times New Roman"/>
          <w:sz w:val="24"/>
          <w:szCs w:val="24"/>
          <w:shd w:val="clear" w:color="auto" w:fill="FFFFFF"/>
        </w:rPr>
        <w:t xml:space="preserve">maksājuma </w:t>
      </w:r>
      <w:r w:rsidRPr="0034771E">
        <w:rPr>
          <w:rFonts w:ascii="Times New Roman" w:hAnsi="Times New Roman" w:cs="Times New Roman"/>
          <w:sz w:val="24"/>
          <w:szCs w:val="24"/>
          <w:shd w:val="clear" w:color="auto" w:fill="FFFFFF"/>
        </w:rPr>
        <w:t>samazinājumu</w:t>
      </w:r>
      <w:r>
        <w:rPr>
          <w:rFonts w:ascii="Times New Roman" w:hAnsi="Times New Roman" w:cs="Times New Roman"/>
          <w:bCs/>
          <w:sz w:val="24"/>
          <w:szCs w:val="24"/>
          <w:shd w:val="clear" w:color="auto" w:fill="FFFFFF"/>
        </w:rPr>
        <w:t>;</w:t>
      </w:r>
    </w:p>
    <w:p w14:paraId="4AC94405" w14:textId="77777777" w:rsidR="00D95EB9" w:rsidRDefault="00D95EB9" w:rsidP="00D95EB9">
      <w:pPr>
        <w:pStyle w:val="ListParagraph"/>
        <w:spacing w:after="0" w:line="240" w:lineRule="auto"/>
        <w:ind w:left="0"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 17,9</w:t>
      </w:r>
      <w:r w:rsidRPr="003D21B5">
        <w:rPr>
          <w:rFonts w:ascii="Times New Roman" w:hAnsi="Times New Roman" w:cs="Times New Roman"/>
          <w:bCs/>
          <w:sz w:val="24"/>
          <w:szCs w:val="24"/>
          <w:shd w:val="clear" w:color="auto" w:fill="FFFFFF"/>
        </w:rPr>
        <w:t xml:space="preserve"> % jeb </w:t>
      </w:r>
      <w:r>
        <w:rPr>
          <w:rFonts w:ascii="Times New Roman" w:hAnsi="Times New Roman" w:cs="Times New Roman"/>
          <w:bCs/>
          <w:sz w:val="24"/>
          <w:szCs w:val="24"/>
          <w:shd w:val="clear" w:color="auto" w:fill="FFFFFF"/>
        </w:rPr>
        <w:t xml:space="preserve">4.7 milj. </w:t>
      </w:r>
      <w:r w:rsidRPr="003D21B5">
        <w:rPr>
          <w:rFonts w:ascii="Times New Roman" w:hAnsi="Times New Roman" w:cs="Times New Roman"/>
          <w:bCs/>
          <w:sz w:val="24"/>
          <w:szCs w:val="24"/>
          <w:shd w:val="clear" w:color="auto" w:fill="FFFFFF"/>
        </w:rPr>
        <w:t xml:space="preserve">EUR kompensācijas apdrošinātājiem par personām ar invaliditāti </w:t>
      </w:r>
      <w:r w:rsidRPr="0034771E">
        <w:rPr>
          <w:rFonts w:ascii="Times New Roman" w:hAnsi="Times New Roman" w:cs="Times New Roman"/>
          <w:sz w:val="24"/>
          <w:szCs w:val="24"/>
          <w:shd w:val="clear" w:color="auto" w:fill="FFFFFF"/>
        </w:rPr>
        <w:t>pie</w:t>
      </w:r>
      <w:r>
        <w:rPr>
          <w:rFonts w:ascii="Times New Roman" w:hAnsi="Times New Roman" w:cs="Times New Roman"/>
          <w:sz w:val="24"/>
          <w:szCs w:val="24"/>
          <w:shd w:val="clear" w:color="auto" w:fill="FFFFFF"/>
        </w:rPr>
        <w:t>mēroto</w:t>
      </w:r>
      <w:r>
        <w:rPr>
          <w:rFonts w:ascii="Times New Roman" w:hAnsi="Times New Roman" w:cs="Times New Roman"/>
          <w:bCs/>
          <w:sz w:val="24"/>
          <w:szCs w:val="24"/>
          <w:shd w:val="clear" w:color="auto" w:fill="FFFFFF"/>
        </w:rPr>
        <w:t xml:space="preserve"> </w:t>
      </w:r>
      <w:r w:rsidRPr="003D21B5">
        <w:rPr>
          <w:rFonts w:ascii="Times New Roman" w:hAnsi="Times New Roman" w:cs="Times New Roman"/>
          <w:bCs/>
          <w:sz w:val="24"/>
          <w:szCs w:val="24"/>
          <w:shd w:val="clear" w:color="auto" w:fill="FFFFFF"/>
        </w:rPr>
        <w:t xml:space="preserve">OCTA prēmijas </w:t>
      </w:r>
      <w:r>
        <w:rPr>
          <w:rFonts w:ascii="Times New Roman" w:hAnsi="Times New Roman" w:cs="Times New Roman"/>
          <w:sz w:val="24"/>
          <w:szCs w:val="24"/>
          <w:shd w:val="clear" w:color="auto" w:fill="FFFFFF"/>
        </w:rPr>
        <w:t>maksājuma</w:t>
      </w:r>
      <w:r w:rsidRPr="003D21B5">
        <w:rPr>
          <w:rFonts w:ascii="Times New Roman" w:hAnsi="Times New Roman" w:cs="Times New Roman"/>
          <w:bCs/>
          <w:sz w:val="24"/>
          <w:szCs w:val="24"/>
          <w:shd w:val="clear" w:color="auto" w:fill="FFFFFF"/>
        </w:rPr>
        <w:t xml:space="preserve"> samazinājumu.</w:t>
      </w:r>
    </w:p>
    <w:p w14:paraId="26434890" w14:textId="77777777" w:rsidR="00D95EB9" w:rsidRDefault="00D95EB9" w:rsidP="00D95EB9">
      <w:pPr>
        <w:spacing w:after="0" w:line="240" w:lineRule="auto"/>
        <w:rPr>
          <w:rFonts w:ascii="Times New Roman" w:hAnsi="Times New Roman" w:cs="Times New Roman"/>
          <w:sz w:val="24"/>
          <w:szCs w:val="24"/>
        </w:rPr>
      </w:pPr>
    </w:p>
    <w:p w14:paraId="7E43807E" w14:textId="77777777" w:rsidR="00D95EB9" w:rsidRDefault="00CE19C0" w:rsidP="00D95EB9">
      <w:pPr>
        <w:spacing w:after="0" w:line="240" w:lineRule="auto"/>
        <w:rPr>
          <w:rFonts w:ascii="Times New Roman" w:hAnsi="Times New Roman" w:cs="Times New Roman"/>
          <w:sz w:val="24"/>
          <w:szCs w:val="24"/>
        </w:rPr>
      </w:pPr>
      <w:r w:rsidRPr="003D21B5">
        <w:rPr>
          <w:noProof/>
          <w:lang w:eastAsia="lv-LV"/>
        </w:rPr>
        <w:drawing>
          <wp:anchor distT="0" distB="0" distL="114300" distR="114300" simplePos="0" relativeHeight="251663360" behindDoc="1" locked="0" layoutInCell="1" allowOverlap="1" wp14:anchorId="2174F950" wp14:editId="1F8D3CFE">
            <wp:simplePos x="0" y="0"/>
            <wp:positionH relativeFrom="margin">
              <wp:posOffset>-203835</wp:posOffset>
            </wp:positionH>
            <wp:positionV relativeFrom="paragraph">
              <wp:posOffset>311996</wp:posOffset>
            </wp:positionV>
            <wp:extent cx="6471073" cy="1452909"/>
            <wp:effectExtent l="0" t="0" r="6350" b="0"/>
            <wp:wrapTight wrapText="bothSides">
              <wp:wrapPolygon edited="0">
                <wp:start x="0" y="0"/>
                <wp:lineTo x="0" y="21241"/>
                <wp:lineTo x="21558" y="21241"/>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1073" cy="1452909"/>
                    </a:xfrm>
                    <a:prstGeom prst="rect">
                      <a:avLst/>
                    </a:prstGeom>
                    <a:noFill/>
                    <a:ln>
                      <a:noFill/>
                    </a:ln>
                  </pic:spPr>
                </pic:pic>
              </a:graphicData>
            </a:graphic>
            <wp14:sizeRelH relativeFrom="page">
              <wp14:pctWidth>0</wp14:pctWidth>
            </wp14:sizeRelH>
            <wp14:sizeRelV relativeFrom="page">
              <wp14:pctHeight>0</wp14:pctHeight>
            </wp14:sizeRelV>
          </wp:anchor>
        </w:drawing>
      </w:r>
      <w:r w:rsidR="00D95EB9">
        <w:rPr>
          <w:rFonts w:ascii="Times New Roman" w:hAnsi="Times New Roman" w:cs="Times New Roman"/>
          <w:sz w:val="24"/>
          <w:szCs w:val="24"/>
        </w:rPr>
        <w:tab/>
      </w:r>
      <w:r w:rsidR="002C7698">
        <w:rPr>
          <w:rFonts w:ascii="Times New Roman" w:hAnsi="Times New Roman" w:cs="Times New Roman"/>
          <w:sz w:val="24"/>
          <w:szCs w:val="24"/>
        </w:rPr>
        <w:t>1</w:t>
      </w:r>
      <w:r w:rsidR="00D95EB9" w:rsidRPr="0034771E">
        <w:rPr>
          <w:rFonts w:ascii="Times New Roman" w:hAnsi="Times New Roman" w:cs="Times New Roman"/>
          <w:sz w:val="24"/>
          <w:szCs w:val="24"/>
        </w:rPr>
        <w:t>. tabula</w:t>
      </w:r>
    </w:p>
    <w:p w14:paraId="7EA56D36" w14:textId="77777777" w:rsidR="00393873" w:rsidRPr="00204F83" w:rsidRDefault="00393873" w:rsidP="00204F83">
      <w:pPr>
        <w:spacing w:after="0"/>
        <w:ind w:firstLine="720"/>
        <w:jc w:val="center"/>
        <w:rPr>
          <w:rFonts w:ascii="Times New Roman" w:eastAsia="Times New Roman" w:hAnsi="Times New Roman" w:cs="Times New Roman"/>
          <w:b/>
          <w:bCs/>
          <w:color w:val="000000" w:themeColor="text1"/>
          <w:sz w:val="24"/>
          <w:szCs w:val="24"/>
          <w:lang w:eastAsia="en-GB"/>
        </w:rPr>
      </w:pPr>
    </w:p>
    <w:p w14:paraId="2B5BB22B" w14:textId="781F50FB" w:rsidR="00DC6270" w:rsidRDefault="002D331E" w:rsidP="00374A3C">
      <w:pPr>
        <w:spacing w:after="0"/>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Atbilstoši </w:t>
      </w:r>
      <w:r w:rsidR="000B2D24" w:rsidRPr="0034771E">
        <w:rPr>
          <w:rFonts w:ascii="Times New Roman" w:eastAsia="Times New Roman" w:hAnsi="Times New Roman" w:cs="Times New Roman"/>
          <w:color w:val="000000" w:themeColor="text1"/>
          <w:sz w:val="24"/>
          <w:szCs w:val="24"/>
          <w:lang w:eastAsia="en-GB"/>
        </w:rPr>
        <w:t xml:space="preserve">LTAB </w:t>
      </w:r>
      <w:r>
        <w:rPr>
          <w:rFonts w:ascii="Times New Roman" w:eastAsia="Times New Roman" w:hAnsi="Times New Roman" w:cs="Times New Roman"/>
          <w:color w:val="000000" w:themeColor="text1"/>
          <w:sz w:val="24"/>
          <w:szCs w:val="24"/>
          <w:lang w:eastAsia="en-GB"/>
        </w:rPr>
        <w:t xml:space="preserve">datiem </w:t>
      </w:r>
      <w:r w:rsidR="000B2D24" w:rsidRPr="0034771E">
        <w:rPr>
          <w:rFonts w:ascii="Times New Roman" w:eastAsia="Times New Roman" w:hAnsi="Times New Roman" w:cs="Times New Roman"/>
          <w:color w:val="000000" w:themeColor="text1"/>
          <w:sz w:val="24"/>
          <w:szCs w:val="24"/>
          <w:lang w:eastAsia="en-GB"/>
        </w:rPr>
        <w:t xml:space="preserve">laika periodā no 2014.gada </w:t>
      </w:r>
      <w:r w:rsidR="00F60734">
        <w:rPr>
          <w:rFonts w:ascii="Times New Roman" w:hAnsi="Times New Roman" w:cs="Times New Roman"/>
          <w:bCs/>
          <w:sz w:val="24"/>
          <w:szCs w:val="24"/>
          <w:shd w:val="clear" w:color="auto" w:fill="FFFFFF"/>
        </w:rPr>
        <w:t>1.janvāra</w:t>
      </w:r>
      <w:r w:rsidR="00F60734" w:rsidRPr="0034771E">
        <w:rPr>
          <w:rFonts w:ascii="Times New Roman" w:hAnsi="Times New Roman" w:cs="Times New Roman"/>
          <w:bCs/>
          <w:sz w:val="24"/>
          <w:szCs w:val="24"/>
          <w:shd w:val="clear" w:color="auto" w:fill="FFFFFF"/>
        </w:rPr>
        <w:t xml:space="preserve"> </w:t>
      </w:r>
      <w:r w:rsidR="000B2D24" w:rsidRPr="0034771E">
        <w:rPr>
          <w:rFonts w:ascii="Times New Roman" w:eastAsia="Times New Roman" w:hAnsi="Times New Roman" w:cs="Times New Roman"/>
          <w:color w:val="000000" w:themeColor="text1"/>
          <w:sz w:val="24"/>
          <w:szCs w:val="24"/>
          <w:lang w:eastAsia="en-GB"/>
        </w:rPr>
        <w:t>līdz 202</w:t>
      </w:r>
      <w:r w:rsidR="00B12160">
        <w:rPr>
          <w:rFonts w:ascii="Times New Roman" w:eastAsia="Times New Roman" w:hAnsi="Times New Roman" w:cs="Times New Roman"/>
          <w:color w:val="000000" w:themeColor="text1"/>
          <w:sz w:val="24"/>
          <w:szCs w:val="24"/>
          <w:lang w:eastAsia="en-GB"/>
        </w:rPr>
        <w:t>1.</w:t>
      </w:r>
      <w:r w:rsidR="000B2D24" w:rsidRPr="0034771E">
        <w:rPr>
          <w:rFonts w:ascii="Times New Roman" w:eastAsia="Times New Roman" w:hAnsi="Times New Roman" w:cs="Times New Roman"/>
          <w:color w:val="000000" w:themeColor="text1"/>
          <w:sz w:val="24"/>
          <w:szCs w:val="24"/>
          <w:lang w:eastAsia="en-GB"/>
        </w:rPr>
        <w:t>gada</w:t>
      </w:r>
      <w:r w:rsidR="00B12160">
        <w:rPr>
          <w:rFonts w:ascii="Times New Roman" w:eastAsia="Times New Roman" w:hAnsi="Times New Roman" w:cs="Times New Roman"/>
          <w:color w:val="000000" w:themeColor="text1"/>
          <w:sz w:val="24"/>
          <w:szCs w:val="24"/>
          <w:lang w:eastAsia="en-GB"/>
        </w:rPr>
        <w:t xml:space="preserve"> 30.jūnijam</w:t>
      </w:r>
      <w:r w:rsidR="000B2D24" w:rsidRPr="0034771E">
        <w:rPr>
          <w:rFonts w:ascii="Times New Roman" w:eastAsia="Times New Roman" w:hAnsi="Times New Roman" w:cs="Times New Roman"/>
          <w:color w:val="000000" w:themeColor="text1"/>
          <w:sz w:val="24"/>
          <w:szCs w:val="24"/>
          <w:lang w:eastAsia="en-GB"/>
        </w:rPr>
        <w:t xml:space="preserve"> </w:t>
      </w:r>
      <w:r w:rsidRPr="0034771E">
        <w:rPr>
          <w:rFonts w:ascii="Times New Roman" w:eastAsia="Times New Roman" w:hAnsi="Times New Roman" w:cs="Times New Roman"/>
          <w:color w:val="000000" w:themeColor="text1"/>
          <w:sz w:val="24"/>
          <w:szCs w:val="24"/>
          <w:lang w:eastAsia="en-GB"/>
        </w:rPr>
        <w:t xml:space="preserve">no Garantijas fonda </w:t>
      </w:r>
      <w:r w:rsidR="000B2D24" w:rsidRPr="0034771E">
        <w:rPr>
          <w:rFonts w:ascii="Times New Roman" w:eastAsia="Times New Roman" w:hAnsi="Times New Roman" w:cs="Times New Roman"/>
          <w:color w:val="000000" w:themeColor="text1"/>
          <w:sz w:val="24"/>
          <w:szCs w:val="24"/>
          <w:lang w:eastAsia="en-GB"/>
        </w:rPr>
        <w:t>izmaksāt</w:t>
      </w:r>
      <w:r>
        <w:rPr>
          <w:rFonts w:ascii="Times New Roman" w:eastAsia="Times New Roman" w:hAnsi="Times New Roman" w:cs="Times New Roman"/>
          <w:color w:val="000000" w:themeColor="text1"/>
          <w:sz w:val="24"/>
          <w:szCs w:val="24"/>
          <w:lang w:eastAsia="en-GB"/>
        </w:rPr>
        <w:t>ais līdzekļu apjoms</w:t>
      </w:r>
      <w:r w:rsidR="00CE19C0">
        <w:rPr>
          <w:rFonts w:ascii="Times New Roman" w:eastAsia="Times New Roman" w:hAnsi="Times New Roman" w:cs="Times New Roman"/>
          <w:color w:val="000000" w:themeColor="text1"/>
          <w:sz w:val="24"/>
          <w:szCs w:val="24"/>
          <w:lang w:eastAsia="en-GB"/>
        </w:rPr>
        <w:t xml:space="preserve"> </w:t>
      </w:r>
      <w:r w:rsidR="000B2D24" w:rsidRPr="0034771E">
        <w:rPr>
          <w:rFonts w:ascii="Times New Roman" w:eastAsia="Times New Roman" w:hAnsi="Times New Roman" w:cs="Times New Roman"/>
          <w:color w:val="000000" w:themeColor="text1"/>
          <w:sz w:val="24"/>
          <w:szCs w:val="24"/>
          <w:lang w:eastAsia="en-GB"/>
        </w:rPr>
        <w:t>apdrošinātājiem apdrošināšanas prēmijas samazinājuma kompensēšanai ir būtiski pieau</w:t>
      </w:r>
      <w:r>
        <w:rPr>
          <w:rFonts w:ascii="Times New Roman" w:eastAsia="Times New Roman" w:hAnsi="Times New Roman" w:cs="Times New Roman"/>
          <w:color w:val="000000" w:themeColor="text1"/>
          <w:sz w:val="24"/>
          <w:szCs w:val="24"/>
          <w:lang w:eastAsia="en-GB"/>
        </w:rPr>
        <w:t>dzis</w:t>
      </w:r>
      <w:r w:rsidR="00374A3C" w:rsidRPr="0034771E">
        <w:rPr>
          <w:rFonts w:ascii="Times New Roman" w:eastAsia="Times New Roman" w:hAnsi="Times New Roman" w:cs="Times New Roman"/>
          <w:color w:val="000000" w:themeColor="text1"/>
          <w:sz w:val="24"/>
          <w:szCs w:val="24"/>
          <w:lang w:eastAsia="en-GB"/>
        </w:rPr>
        <w:t xml:space="preserve"> </w:t>
      </w:r>
      <w:r w:rsidR="00374A3C" w:rsidRPr="0034771E">
        <w:rPr>
          <w:rFonts w:ascii="Times New Roman" w:eastAsia="Calibri" w:hAnsi="Times New Roman" w:cs="Times New Roman"/>
          <w:sz w:val="24"/>
          <w:szCs w:val="24"/>
          <w:shd w:val="clear" w:color="auto" w:fill="FFFFFF"/>
        </w:rPr>
        <w:t xml:space="preserve">(sk. 1. tabulu un 1. grafiku). </w:t>
      </w:r>
      <w:r w:rsidR="00DC6270" w:rsidRPr="0034771E">
        <w:rPr>
          <w:rFonts w:ascii="Times New Roman" w:hAnsi="Times New Roman" w:cs="Times New Roman"/>
          <w:sz w:val="24"/>
          <w:szCs w:val="24"/>
        </w:rPr>
        <w:t>Būtiski pieaugušas kompensācijas personām ar invaliditāti</w:t>
      </w:r>
      <w:r w:rsidR="0007148C" w:rsidRPr="0034771E">
        <w:rPr>
          <w:rFonts w:ascii="Times New Roman" w:hAnsi="Times New Roman" w:cs="Times New Roman"/>
          <w:sz w:val="24"/>
          <w:szCs w:val="24"/>
        </w:rPr>
        <w:t xml:space="preserve"> un</w:t>
      </w:r>
      <w:r w:rsidR="00DC6270" w:rsidRPr="0034771E">
        <w:rPr>
          <w:rFonts w:ascii="Times New Roman" w:hAnsi="Times New Roman" w:cs="Times New Roman"/>
          <w:sz w:val="24"/>
          <w:szCs w:val="24"/>
        </w:rPr>
        <w:t xml:space="preserve"> </w:t>
      </w:r>
      <w:r w:rsidR="0007148C" w:rsidRPr="0034771E">
        <w:rPr>
          <w:rFonts w:ascii="Times New Roman" w:hAnsi="Times New Roman" w:cs="Times New Roman"/>
          <w:sz w:val="24"/>
          <w:szCs w:val="24"/>
        </w:rPr>
        <w:t xml:space="preserve">lauksaimniekiem </w:t>
      </w:r>
      <w:r w:rsidR="00DC6270" w:rsidRPr="0034771E">
        <w:rPr>
          <w:rFonts w:ascii="Times New Roman" w:hAnsi="Times New Roman" w:cs="Times New Roman"/>
          <w:sz w:val="24"/>
          <w:szCs w:val="24"/>
        </w:rPr>
        <w:t xml:space="preserve">(2018., 2019. un 2020.gadā jau sasniedz </w:t>
      </w:r>
      <w:r>
        <w:rPr>
          <w:rFonts w:ascii="Times New Roman" w:hAnsi="Times New Roman" w:cs="Times New Roman"/>
          <w:sz w:val="24"/>
          <w:szCs w:val="24"/>
        </w:rPr>
        <w:t>gandrīz</w:t>
      </w:r>
      <w:r w:rsidRPr="0034771E">
        <w:rPr>
          <w:rFonts w:ascii="Times New Roman" w:hAnsi="Times New Roman" w:cs="Times New Roman"/>
          <w:sz w:val="24"/>
          <w:szCs w:val="24"/>
        </w:rPr>
        <w:t xml:space="preserve"> </w:t>
      </w:r>
      <w:r w:rsidR="00DC6270" w:rsidRPr="0034771E">
        <w:rPr>
          <w:rFonts w:ascii="Times New Roman" w:hAnsi="Times New Roman" w:cs="Times New Roman"/>
          <w:sz w:val="24"/>
          <w:szCs w:val="24"/>
        </w:rPr>
        <w:t xml:space="preserve">1 </w:t>
      </w:r>
      <w:r w:rsidR="00E96C6F" w:rsidRPr="0034771E">
        <w:rPr>
          <w:rFonts w:ascii="Times New Roman" w:hAnsi="Times New Roman" w:cs="Times New Roman"/>
          <w:sz w:val="24"/>
          <w:szCs w:val="24"/>
        </w:rPr>
        <w:t xml:space="preserve">milj. </w:t>
      </w:r>
      <w:proofErr w:type="spellStart"/>
      <w:r w:rsidR="00E96C6F" w:rsidRPr="0034771E">
        <w:rPr>
          <w:rFonts w:ascii="Times New Roman" w:hAnsi="Times New Roman" w:cs="Times New Roman"/>
          <w:sz w:val="24"/>
          <w:szCs w:val="24"/>
        </w:rPr>
        <w:t>euro</w:t>
      </w:r>
      <w:proofErr w:type="spellEnd"/>
      <w:r w:rsidR="00E96C6F" w:rsidRPr="0034771E">
        <w:rPr>
          <w:rFonts w:ascii="Times New Roman" w:hAnsi="Times New Roman" w:cs="Times New Roman"/>
          <w:sz w:val="24"/>
          <w:szCs w:val="24"/>
        </w:rPr>
        <w:t xml:space="preserve"> </w:t>
      </w:r>
      <w:r w:rsidR="00DC6270" w:rsidRPr="0034771E">
        <w:rPr>
          <w:rFonts w:ascii="Times New Roman" w:hAnsi="Times New Roman" w:cs="Times New Roman"/>
          <w:sz w:val="24"/>
          <w:szCs w:val="24"/>
        </w:rPr>
        <w:t>gadā)</w:t>
      </w:r>
      <w:r>
        <w:rPr>
          <w:rFonts w:ascii="Times New Roman" w:hAnsi="Times New Roman" w:cs="Times New Roman"/>
          <w:sz w:val="24"/>
          <w:szCs w:val="24"/>
        </w:rPr>
        <w:t xml:space="preserve">. Tāpat ievērojamu daļu izdevumu veido </w:t>
      </w:r>
      <w:r w:rsidR="00DC6270" w:rsidRPr="0034771E">
        <w:rPr>
          <w:rFonts w:ascii="Times New Roman" w:hAnsi="Times New Roman" w:cs="Times New Roman"/>
          <w:sz w:val="24"/>
          <w:szCs w:val="24"/>
        </w:rPr>
        <w:t xml:space="preserve">arī </w:t>
      </w:r>
      <w:r w:rsidR="0007148C" w:rsidRPr="0034771E">
        <w:rPr>
          <w:rFonts w:ascii="Times New Roman" w:hAnsi="Times New Roman" w:cs="Times New Roman"/>
          <w:sz w:val="24"/>
          <w:szCs w:val="24"/>
        </w:rPr>
        <w:t xml:space="preserve">zaudējumu </w:t>
      </w:r>
      <w:r w:rsidR="00DC6270" w:rsidRPr="0034771E">
        <w:rPr>
          <w:rFonts w:ascii="Times New Roman" w:hAnsi="Times New Roman" w:cs="Times New Roman"/>
          <w:sz w:val="24"/>
          <w:szCs w:val="24"/>
        </w:rPr>
        <w:t xml:space="preserve">atlīdzības </w:t>
      </w:r>
      <w:r w:rsidR="0007148C" w:rsidRPr="0034771E">
        <w:rPr>
          <w:rFonts w:ascii="Times New Roman" w:hAnsi="Times New Roman" w:cs="Times New Roman"/>
          <w:sz w:val="24"/>
          <w:szCs w:val="24"/>
        </w:rPr>
        <w:t xml:space="preserve">izmaksas </w:t>
      </w:r>
      <w:r w:rsidR="00DC6270" w:rsidRPr="0034771E">
        <w:rPr>
          <w:rFonts w:ascii="Times New Roman" w:hAnsi="Times New Roman" w:cs="Times New Roman"/>
          <w:sz w:val="24"/>
          <w:szCs w:val="24"/>
        </w:rPr>
        <w:t>maksātnespējīgās AAS “Balva” vietā. Līdz ar to OCTA apdrošinātāji katru mēnesi veic atskaitījumus Garantijas fondā</w:t>
      </w:r>
      <w:r w:rsidR="00EA618F" w:rsidRPr="0034771E">
        <w:rPr>
          <w:rFonts w:ascii="Times New Roman" w:hAnsi="Times New Roman" w:cs="Times New Roman"/>
          <w:sz w:val="24"/>
          <w:szCs w:val="24"/>
        </w:rPr>
        <w:t xml:space="preserve">, lai nodrošinātu </w:t>
      </w:r>
      <w:r w:rsidR="0007148C" w:rsidRPr="0034771E">
        <w:rPr>
          <w:rFonts w:ascii="Times New Roman" w:eastAsia="Times New Roman" w:hAnsi="Times New Roman" w:cs="Times New Roman"/>
          <w:color w:val="000000" w:themeColor="text1"/>
          <w:sz w:val="24"/>
          <w:szCs w:val="24"/>
          <w:lang w:eastAsia="en-GB"/>
        </w:rPr>
        <w:t>OCTA likuma 51.pant</w:t>
      </w:r>
      <w:r w:rsidR="00182F6F" w:rsidRPr="0034771E">
        <w:rPr>
          <w:rFonts w:ascii="Times New Roman" w:eastAsia="Times New Roman" w:hAnsi="Times New Roman" w:cs="Times New Roman"/>
          <w:color w:val="000000" w:themeColor="text1"/>
          <w:sz w:val="24"/>
          <w:szCs w:val="24"/>
          <w:lang w:eastAsia="en-GB"/>
        </w:rPr>
        <w:t>ā noteikto izmaksu segšanu.</w:t>
      </w:r>
    </w:p>
    <w:p w14:paraId="77CEF7B4" w14:textId="3C48B14B" w:rsidR="00743B0C" w:rsidRDefault="00743B0C" w:rsidP="00DC6270">
      <w:pPr>
        <w:spacing w:after="0" w:line="240" w:lineRule="auto"/>
        <w:rPr>
          <w:rFonts w:ascii="Times New Roman" w:hAnsi="Times New Roman" w:cs="Times New Roman"/>
          <w:sz w:val="24"/>
          <w:szCs w:val="24"/>
        </w:rPr>
      </w:pPr>
    </w:p>
    <w:p w14:paraId="4BC65F70" w14:textId="144839AF" w:rsidR="007B65AB" w:rsidRDefault="007B65AB" w:rsidP="00DC6270">
      <w:pPr>
        <w:spacing w:after="0" w:line="240" w:lineRule="auto"/>
        <w:rPr>
          <w:rFonts w:ascii="Times New Roman" w:hAnsi="Times New Roman" w:cs="Times New Roman"/>
          <w:sz w:val="24"/>
          <w:szCs w:val="24"/>
        </w:rPr>
      </w:pPr>
    </w:p>
    <w:p w14:paraId="31D9BAED" w14:textId="08E4F376" w:rsidR="007B65AB" w:rsidRDefault="007B65AB" w:rsidP="00DC6270">
      <w:pPr>
        <w:spacing w:after="0" w:line="240" w:lineRule="auto"/>
        <w:rPr>
          <w:rFonts w:ascii="Times New Roman" w:hAnsi="Times New Roman" w:cs="Times New Roman"/>
          <w:sz w:val="24"/>
          <w:szCs w:val="24"/>
        </w:rPr>
      </w:pPr>
    </w:p>
    <w:p w14:paraId="525CB5C8" w14:textId="49B6912C" w:rsidR="007B65AB" w:rsidRDefault="007B65AB" w:rsidP="00DC6270">
      <w:pPr>
        <w:spacing w:after="0" w:line="240" w:lineRule="auto"/>
        <w:rPr>
          <w:rFonts w:ascii="Times New Roman" w:hAnsi="Times New Roman" w:cs="Times New Roman"/>
          <w:sz w:val="24"/>
          <w:szCs w:val="24"/>
        </w:rPr>
      </w:pPr>
    </w:p>
    <w:p w14:paraId="7BEC24D0" w14:textId="2D4D4BFB" w:rsidR="007B65AB" w:rsidRDefault="007B65AB" w:rsidP="00DC6270">
      <w:pPr>
        <w:spacing w:after="0" w:line="240" w:lineRule="auto"/>
        <w:rPr>
          <w:rFonts w:ascii="Times New Roman" w:hAnsi="Times New Roman" w:cs="Times New Roman"/>
          <w:sz w:val="24"/>
          <w:szCs w:val="24"/>
        </w:rPr>
      </w:pPr>
    </w:p>
    <w:p w14:paraId="09689EF3" w14:textId="0DA67DB0" w:rsidR="007B65AB" w:rsidRDefault="007B65AB" w:rsidP="00DC6270">
      <w:pPr>
        <w:spacing w:after="0" w:line="240" w:lineRule="auto"/>
        <w:rPr>
          <w:rFonts w:ascii="Times New Roman" w:hAnsi="Times New Roman" w:cs="Times New Roman"/>
          <w:sz w:val="24"/>
          <w:szCs w:val="24"/>
        </w:rPr>
      </w:pPr>
    </w:p>
    <w:p w14:paraId="47307F43" w14:textId="2A8EFB44" w:rsidR="007B65AB" w:rsidRDefault="007B65AB" w:rsidP="00DC6270">
      <w:pPr>
        <w:spacing w:after="0" w:line="240" w:lineRule="auto"/>
        <w:rPr>
          <w:rFonts w:ascii="Times New Roman" w:hAnsi="Times New Roman" w:cs="Times New Roman"/>
          <w:sz w:val="24"/>
          <w:szCs w:val="24"/>
        </w:rPr>
      </w:pPr>
    </w:p>
    <w:p w14:paraId="4A4A35F2" w14:textId="1C046161" w:rsidR="007B65AB" w:rsidRDefault="007B65AB" w:rsidP="00DC6270">
      <w:pPr>
        <w:spacing w:after="0" w:line="240" w:lineRule="auto"/>
        <w:rPr>
          <w:rFonts w:ascii="Times New Roman" w:hAnsi="Times New Roman" w:cs="Times New Roman"/>
          <w:sz w:val="24"/>
          <w:szCs w:val="24"/>
        </w:rPr>
      </w:pPr>
    </w:p>
    <w:p w14:paraId="6F187F42" w14:textId="19D6E996" w:rsidR="007B65AB" w:rsidRDefault="007B65AB" w:rsidP="00DC6270">
      <w:pPr>
        <w:spacing w:after="0" w:line="240" w:lineRule="auto"/>
        <w:rPr>
          <w:rFonts w:ascii="Times New Roman" w:hAnsi="Times New Roman" w:cs="Times New Roman"/>
          <w:sz w:val="24"/>
          <w:szCs w:val="24"/>
        </w:rPr>
      </w:pPr>
    </w:p>
    <w:p w14:paraId="64CBD477" w14:textId="7AA2C32D" w:rsidR="007B65AB" w:rsidRDefault="007B65AB" w:rsidP="00DC6270">
      <w:pPr>
        <w:spacing w:after="0" w:line="240" w:lineRule="auto"/>
        <w:rPr>
          <w:rFonts w:ascii="Times New Roman" w:hAnsi="Times New Roman" w:cs="Times New Roman"/>
          <w:sz w:val="24"/>
          <w:szCs w:val="24"/>
        </w:rPr>
      </w:pPr>
    </w:p>
    <w:p w14:paraId="51268F68" w14:textId="4F585E93" w:rsidR="007B65AB" w:rsidRDefault="007B65AB" w:rsidP="00DC6270">
      <w:pPr>
        <w:spacing w:after="0" w:line="240" w:lineRule="auto"/>
        <w:rPr>
          <w:rFonts w:ascii="Times New Roman" w:hAnsi="Times New Roman" w:cs="Times New Roman"/>
          <w:sz w:val="24"/>
          <w:szCs w:val="24"/>
        </w:rPr>
      </w:pPr>
    </w:p>
    <w:p w14:paraId="0C31066C" w14:textId="4FD0089E" w:rsidR="007B65AB" w:rsidRDefault="007B65AB" w:rsidP="00DC6270">
      <w:pPr>
        <w:spacing w:after="0" w:line="240" w:lineRule="auto"/>
        <w:rPr>
          <w:rFonts w:ascii="Times New Roman" w:hAnsi="Times New Roman" w:cs="Times New Roman"/>
          <w:sz w:val="24"/>
          <w:szCs w:val="24"/>
        </w:rPr>
      </w:pPr>
    </w:p>
    <w:p w14:paraId="7AE775C1" w14:textId="77777777" w:rsidR="007B65AB" w:rsidRDefault="007B65AB" w:rsidP="00DC6270">
      <w:pPr>
        <w:spacing w:after="0" w:line="240" w:lineRule="auto"/>
        <w:rPr>
          <w:rFonts w:ascii="Times New Roman" w:hAnsi="Times New Roman" w:cs="Times New Roman"/>
          <w:sz w:val="24"/>
          <w:szCs w:val="24"/>
        </w:rPr>
      </w:pPr>
    </w:p>
    <w:p w14:paraId="5A01BDA8" w14:textId="1F1B5F2F" w:rsidR="000C0D9A" w:rsidRPr="00B9719A" w:rsidRDefault="000C0D9A" w:rsidP="001C06E3">
      <w:pPr>
        <w:spacing w:after="0" w:line="240" w:lineRule="auto"/>
        <w:jc w:val="both"/>
        <w:rPr>
          <w:rFonts w:ascii="Times New Roman" w:hAnsi="Times New Roman" w:cs="Times New Roman"/>
          <w:b/>
          <w:bCs/>
          <w:sz w:val="24"/>
          <w:szCs w:val="24"/>
          <w:shd w:val="clear" w:color="auto" w:fill="FFFFFF"/>
        </w:rPr>
      </w:pPr>
      <w:r w:rsidRPr="00B9719A">
        <w:rPr>
          <w:rFonts w:ascii="Times New Roman" w:hAnsi="Times New Roman" w:cs="Times New Roman"/>
          <w:b/>
          <w:bCs/>
          <w:sz w:val="24"/>
          <w:szCs w:val="24"/>
          <w:shd w:val="clear" w:color="auto" w:fill="FFFFFF"/>
        </w:rPr>
        <w:lastRenderedPageBreak/>
        <w:t>1. grafiks</w:t>
      </w:r>
    </w:p>
    <w:p w14:paraId="0FD5CD3F" w14:textId="3C131578" w:rsidR="001C06E3" w:rsidRPr="00B9719A" w:rsidRDefault="001C06E3" w:rsidP="00B9719A">
      <w:pPr>
        <w:spacing w:after="0" w:line="240" w:lineRule="auto"/>
        <w:jc w:val="both"/>
        <w:rPr>
          <w:rFonts w:ascii="Times New Roman" w:hAnsi="Times New Roman" w:cs="Times New Roman"/>
          <w:b/>
          <w:bCs/>
          <w:sz w:val="24"/>
          <w:szCs w:val="24"/>
          <w:shd w:val="clear" w:color="auto" w:fill="FFFFFF"/>
        </w:rPr>
      </w:pPr>
      <w:r w:rsidRPr="00B9719A">
        <w:rPr>
          <w:rFonts w:ascii="Times New Roman" w:hAnsi="Times New Roman" w:cs="Times New Roman"/>
          <w:b/>
          <w:bCs/>
          <w:sz w:val="24"/>
          <w:szCs w:val="24"/>
          <w:shd w:val="clear" w:color="auto" w:fill="FFFFFF"/>
        </w:rPr>
        <w:t>Garantijas fonda līdzekļu kopējā apmēra izmaiņas (2014. – 2021.gada I pusgads)</w:t>
      </w:r>
    </w:p>
    <w:p w14:paraId="798CCB03" w14:textId="77777777" w:rsidR="001662B4" w:rsidRDefault="000C0D9A" w:rsidP="001662B4">
      <w:pPr>
        <w:pStyle w:val="ListParagraph"/>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noProof/>
          <w:sz w:val="24"/>
          <w:szCs w:val="24"/>
          <w:shd w:val="clear" w:color="auto" w:fill="FFFFFF"/>
          <w:lang w:eastAsia="lv-LV"/>
        </w:rPr>
        <w:drawing>
          <wp:anchor distT="0" distB="0" distL="114300" distR="114300" simplePos="0" relativeHeight="251659264" behindDoc="0" locked="0" layoutInCell="1" allowOverlap="1" wp14:anchorId="0869A854" wp14:editId="3B83AFEC">
            <wp:simplePos x="0" y="0"/>
            <wp:positionH relativeFrom="column">
              <wp:posOffset>-257175</wp:posOffset>
            </wp:positionH>
            <wp:positionV relativeFrom="paragraph">
              <wp:posOffset>176530</wp:posOffset>
            </wp:positionV>
            <wp:extent cx="6663055" cy="2245360"/>
            <wp:effectExtent l="0" t="0" r="4445" b="2540"/>
            <wp:wrapSquare wrapText="bothSides"/>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3055" cy="2245360"/>
                    </a:xfrm>
                    <a:prstGeom prst="rect">
                      <a:avLst/>
                    </a:prstGeom>
                    <a:noFill/>
                  </pic:spPr>
                </pic:pic>
              </a:graphicData>
            </a:graphic>
            <wp14:sizeRelH relativeFrom="page">
              <wp14:pctWidth>0</wp14:pctWidth>
            </wp14:sizeRelH>
            <wp14:sizeRelV relativeFrom="page">
              <wp14:pctHeight>0</wp14:pctHeight>
            </wp14:sizeRelV>
          </wp:anchor>
        </w:drawing>
      </w:r>
    </w:p>
    <w:p w14:paraId="43B3C1CA" w14:textId="4D39905F" w:rsidR="001662B4" w:rsidRDefault="001662B4" w:rsidP="001662B4">
      <w:pPr>
        <w:pStyle w:val="ListParagraph"/>
        <w:spacing w:after="0" w:line="240" w:lineRule="auto"/>
        <w:jc w:val="center"/>
        <w:rPr>
          <w:rFonts w:ascii="Times New Roman" w:hAnsi="Times New Roman" w:cs="Times New Roman"/>
          <w:b/>
          <w:bCs/>
          <w:sz w:val="24"/>
          <w:szCs w:val="24"/>
          <w:shd w:val="clear" w:color="auto" w:fill="FFFFFF"/>
        </w:rPr>
      </w:pPr>
    </w:p>
    <w:p w14:paraId="34647650" w14:textId="77777777" w:rsidR="001662B4" w:rsidRDefault="001662B4" w:rsidP="001662B4">
      <w:pPr>
        <w:pStyle w:val="ListParagraph"/>
        <w:spacing w:after="0" w:line="240" w:lineRule="auto"/>
        <w:jc w:val="center"/>
        <w:rPr>
          <w:rFonts w:ascii="Times New Roman" w:hAnsi="Times New Roman" w:cs="Times New Roman"/>
          <w:b/>
          <w:bCs/>
          <w:sz w:val="24"/>
          <w:szCs w:val="24"/>
          <w:shd w:val="clear" w:color="auto" w:fill="FFFFFF"/>
        </w:rPr>
      </w:pPr>
    </w:p>
    <w:p w14:paraId="01356568" w14:textId="29552D33" w:rsidR="002D331E" w:rsidRDefault="00393873" w:rsidP="001662B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0D9A" w:rsidRPr="0034771E">
        <w:rPr>
          <w:rFonts w:ascii="Times New Roman" w:hAnsi="Times New Roman" w:cs="Times New Roman"/>
          <w:sz w:val="24"/>
          <w:szCs w:val="24"/>
        </w:rPr>
        <w:t xml:space="preserve">No </w:t>
      </w:r>
      <w:r w:rsidR="002D331E">
        <w:rPr>
          <w:rFonts w:ascii="Times New Roman" w:hAnsi="Times New Roman" w:cs="Times New Roman"/>
          <w:sz w:val="24"/>
          <w:szCs w:val="24"/>
        </w:rPr>
        <w:t>1</w:t>
      </w:r>
      <w:r w:rsidR="001C06E3">
        <w:rPr>
          <w:rFonts w:ascii="Times New Roman" w:hAnsi="Times New Roman" w:cs="Times New Roman"/>
          <w:sz w:val="24"/>
          <w:szCs w:val="24"/>
        </w:rPr>
        <w:t>.</w:t>
      </w:r>
      <w:r w:rsidR="000C0D9A" w:rsidRPr="0034771E">
        <w:rPr>
          <w:rFonts w:ascii="Times New Roman" w:hAnsi="Times New Roman" w:cs="Times New Roman"/>
          <w:sz w:val="24"/>
          <w:szCs w:val="24"/>
        </w:rPr>
        <w:t>tabulas ir secināms, ka izmaksāto kompensāciju</w:t>
      </w:r>
      <w:r w:rsidR="000C0D9A">
        <w:rPr>
          <w:rFonts w:ascii="Times New Roman" w:hAnsi="Times New Roman" w:cs="Times New Roman"/>
          <w:sz w:val="24"/>
          <w:szCs w:val="24"/>
        </w:rPr>
        <w:t xml:space="preserve"> </w:t>
      </w:r>
      <w:r w:rsidR="004C68FB">
        <w:rPr>
          <w:rFonts w:ascii="Times New Roman" w:hAnsi="Times New Roman" w:cs="Times New Roman"/>
          <w:sz w:val="24"/>
          <w:szCs w:val="24"/>
        </w:rPr>
        <w:t>par OCTA prēmiju</w:t>
      </w:r>
      <w:r w:rsidR="001D0112">
        <w:rPr>
          <w:rFonts w:ascii="Times New Roman" w:hAnsi="Times New Roman" w:cs="Times New Roman"/>
          <w:sz w:val="24"/>
          <w:szCs w:val="24"/>
        </w:rPr>
        <w:t xml:space="preserve"> maksājumu</w:t>
      </w:r>
      <w:r w:rsidR="004C68FB">
        <w:rPr>
          <w:rFonts w:ascii="Times New Roman" w:hAnsi="Times New Roman" w:cs="Times New Roman"/>
          <w:sz w:val="24"/>
          <w:szCs w:val="24"/>
        </w:rPr>
        <w:t xml:space="preserve"> samazinājum</w:t>
      </w:r>
      <w:r w:rsidR="001D0112">
        <w:rPr>
          <w:rFonts w:ascii="Times New Roman" w:hAnsi="Times New Roman" w:cs="Times New Roman"/>
          <w:sz w:val="24"/>
          <w:szCs w:val="24"/>
        </w:rPr>
        <w:t>iem</w:t>
      </w:r>
      <w:r w:rsidR="004C68FB">
        <w:rPr>
          <w:rFonts w:ascii="Times New Roman" w:hAnsi="Times New Roman" w:cs="Times New Roman"/>
          <w:sz w:val="24"/>
          <w:szCs w:val="24"/>
        </w:rPr>
        <w:t xml:space="preserve"> </w:t>
      </w:r>
      <w:r w:rsidR="000C0D9A">
        <w:rPr>
          <w:rFonts w:ascii="Times New Roman" w:hAnsi="Times New Roman" w:cs="Times New Roman"/>
          <w:sz w:val="24"/>
          <w:szCs w:val="24"/>
        </w:rPr>
        <w:t>lauksaimniekiem</w:t>
      </w:r>
      <w:r w:rsidR="000C0D9A" w:rsidRPr="0034771E">
        <w:rPr>
          <w:rFonts w:ascii="Times New Roman" w:hAnsi="Times New Roman" w:cs="Times New Roman"/>
          <w:sz w:val="24"/>
          <w:szCs w:val="24"/>
        </w:rPr>
        <w:t xml:space="preserve"> īpatsvars svārstās no </w:t>
      </w:r>
      <w:r w:rsidR="000C0D9A">
        <w:rPr>
          <w:rFonts w:ascii="Times New Roman" w:hAnsi="Times New Roman" w:cs="Times New Roman"/>
          <w:sz w:val="24"/>
          <w:szCs w:val="24"/>
        </w:rPr>
        <w:t>0</w:t>
      </w:r>
      <w:r w:rsidR="003B5985">
        <w:rPr>
          <w:rFonts w:ascii="Times New Roman" w:hAnsi="Times New Roman" w:cs="Times New Roman"/>
          <w:sz w:val="24"/>
          <w:szCs w:val="24"/>
        </w:rPr>
        <w:t>,</w:t>
      </w:r>
      <w:r w:rsidR="000C0D9A">
        <w:rPr>
          <w:rFonts w:ascii="Times New Roman" w:hAnsi="Times New Roman" w:cs="Times New Roman"/>
          <w:sz w:val="24"/>
          <w:szCs w:val="24"/>
        </w:rPr>
        <w:t>8 </w:t>
      </w:r>
      <w:r w:rsidR="000C0D9A" w:rsidRPr="0034771E">
        <w:rPr>
          <w:rFonts w:ascii="Times New Roman" w:hAnsi="Times New Roman" w:cs="Times New Roman"/>
          <w:sz w:val="24"/>
          <w:szCs w:val="24"/>
        </w:rPr>
        <w:t xml:space="preserve">% 2014.gadā līdz pat </w:t>
      </w:r>
      <w:r w:rsidR="000C0D9A">
        <w:rPr>
          <w:rFonts w:ascii="Times New Roman" w:hAnsi="Times New Roman" w:cs="Times New Roman"/>
          <w:sz w:val="24"/>
          <w:szCs w:val="24"/>
        </w:rPr>
        <w:t>2</w:t>
      </w:r>
      <w:r w:rsidR="003B5985">
        <w:rPr>
          <w:rFonts w:ascii="Times New Roman" w:hAnsi="Times New Roman" w:cs="Times New Roman"/>
          <w:sz w:val="24"/>
          <w:szCs w:val="24"/>
        </w:rPr>
        <w:t>,</w:t>
      </w:r>
      <w:r w:rsidR="000C0D9A">
        <w:rPr>
          <w:rFonts w:ascii="Times New Roman" w:hAnsi="Times New Roman" w:cs="Times New Roman"/>
          <w:sz w:val="24"/>
          <w:szCs w:val="24"/>
        </w:rPr>
        <w:t>5 </w:t>
      </w:r>
      <w:r w:rsidR="000C0D9A" w:rsidRPr="0034771E">
        <w:rPr>
          <w:rFonts w:ascii="Times New Roman" w:hAnsi="Times New Roman" w:cs="Times New Roman"/>
          <w:sz w:val="24"/>
          <w:szCs w:val="24"/>
        </w:rPr>
        <w:t>% 20</w:t>
      </w:r>
      <w:r w:rsidR="000C0D9A">
        <w:rPr>
          <w:rFonts w:ascii="Times New Roman" w:hAnsi="Times New Roman" w:cs="Times New Roman"/>
          <w:sz w:val="24"/>
          <w:szCs w:val="24"/>
        </w:rPr>
        <w:t>21</w:t>
      </w:r>
      <w:r w:rsidR="000C0D9A" w:rsidRPr="0034771E">
        <w:rPr>
          <w:rFonts w:ascii="Times New Roman" w:hAnsi="Times New Roman" w:cs="Times New Roman"/>
          <w:sz w:val="24"/>
          <w:szCs w:val="24"/>
        </w:rPr>
        <w:t>.gadā no ikgadējām Garantijas fonda izmaksām kopā</w:t>
      </w:r>
      <w:r w:rsidR="000C0D9A">
        <w:rPr>
          <w:rFonts w:ascii="Times New Roman" w:hAnsi="Times New Roman" w:cs="Times New Roman"/>
          <w:sz w:val="24"/>
          <w:szCs w:val="24"/>
        </w:rPr>
        <w:t>, savukārt kompensāciju par</w:t>
      </w:r>
      <w:r w:rsidR="001D0112" w:rsidRPr="001D0112">
        <w:rPr>
          <w:rFonts w:ascii="Times New Roman" w:hAnsi="Times New Roman" w:cs="Times New Roman"/>
          <w:sz w:val="24"/>
          <w:szCs w:val="24"/>
        </w:rPr>
        <w:t xml:space="preserve"> </w:t>
      </w:r>
      <w:r w:rsidR="001D0112">
        <w:rPr>
          <w:rFonts w:ascii="Times New Roman" w:hAnsi="Times New Roman" w:cs="Times New Roman"/>
          <w:sz w:val="24"/>
          <w:szCs w:val="24"/>
        </w:rPr>
        <w:t>OCTA prēmiju maksājumu samazinājumiem</w:t>
      </w:r>
      <w:r w:rsidR="000C0D9A">
        <w:rPr>
          <w:rFonts w:ascii="Times New Roman" w:hAnsi="Times New Roman" w:cs="Times New Roman"/>
          <w:sz w:val="24"/>
          <w:szCs w:val="24"/>
        </w:rPr>
        <w:t xml:space="preserve"> personām ar invaliditāti </w:t>
      </w:r>
      <w:r w:rsidR="000C0D9A" w:rsidRPr="005F0945">
        <w:rPr>
          <w:rFonts w:ascii="Times New Roman" w:hAnsi="Times New Roman" w:cs="Times New Roman"/>
          <w:sz w:val="24"/>
          <w:szCs w:val="24"/>
        </w:rPr>
        <w:t xml:space="preserve">īpatsvars svārstās no </w:t>
      </w:r>
      <w:r w:rsidR="000C0D9A">
        <w:rPr>
          <w:rFonts w:ascii="Times New Roman" w:hAnsi="Times New Roman" w:cs="Times New Roman"/>
          <w:sz w:val="24"/>
          <w:szCs w:val="24"/>
        </w:rPr>
        <w:t>8</w:t>
      </w:r>
      <w:r w:rsidR="003B5985">
        <w:rPr>
          <w:rFonts w:ascii="Times New Roman" w:hAnsi="Times New Roman" w:cs="Times New Roman"/>
          <w:sz w:val="24"/>
          <w:szCs w:val="24"/>
        </w:rPr>
        <w:t>,</w:t>
      </w:r>
      <w:r w:rsidR="000C0D9A">
        <w:rPr>
          <w:rFonts w:ascii="Times New Roman" w:hAnsi="Times New Roman" w:cs="Times New Roman"/>
          <w:sz w:val="24"/>
          <w:szCs w:val="24"/>
        </w:rPr>
        <w:t>6</w:t>
      </w:r>
      <w:r w:rsidR="000C0D9A" w:rsidRPr="005F0945">
        <w:rPr>
          <w:rFonts w:ascii="Times New Roman" w:hAnsi="Times New Roman" w:cs="Times New Roman"/>
          <w:sz w:val="24"/>
          <w:szCs w:val="24"/>
        </w:rPr>
        <w:t xml:space="preserve"> % 2014.gadā līdz pat 2</w:t>
      </w:r>
      <w:r w:rsidR="000C0D9A">
        <w:rPr>
          <w:rFonts w:ascii="Times New Roman" w:hAnsi="Times New Roman" w:cs="Times New Roman"/>
          <w:sz w:val="24"/>
          <w:szCs w:val="24"/>
        </w:rPr>
        <w:t>7</w:t>
      </w:r>
      <w:r w:rsidR="003B5985">
        <w:rPr>
          <w:rFonts w:ascii="Times New Roman" w:hAnsi="Times New Roman" w:cs="Times New Roman"/>
          <w:sz w:val="24"/>
          <w:szCs w:val="24"/>
        </w:rPr>
        <w:t>,</w:t>
      </w:r>
      <w:r w:rsidR="000C0D9A">
        <w:rPr>
          <w:rFonts w:ascii="Times New Roman" w:hAnsi="Times New Roman" w:cs="Times New Roman"/>
          <w:sz w:val="24"/>
          <w:szCs w:val="24"/>
        </w:rPr>
        <w:t>2</w:t>
      </w:r>
      <w:r w:rsidR="000C0D9A" w:rsidRPr="005F0945">
        <w:rPr>
          <w:rFonts w:ascii="Times New Roman" w:hAnsi="Times New Roman" w:cs="Times New Roman"/>
          <w:sz w:val="24"/>
          <w:szCs w:val="24"/>
        </w:rPr>
        <w:t xml:space="preserve"> % 20</w:t>
      </w:r>
      <w:r w:rsidR="000C0D9A">
        <w:rPr>
          <w:rFonts w:ascii="Times New Roman" w:hAnsi="Times New Roman" w:cs="Times New Roman"/>
          <w:sz w:val="24"/>
          <w:szCs w:val="24"/>
        </w:rPr>
        <w:t>19</w:t>
      </w:r>
      <w:r w:rsidR="000C0D9A" w:rsidRPr="005F0945">
        <w:rPr>
          <w:rFonts w:ascii="Times New Roman" w:hAnsi="Times New Roman" w:cs="Times New Roman"/>
          <w:sz w:val="24"/>
          <w:szCs w:val="24"/>
        </w:rPr>
        <w:t>.gadā</w:t>
      </w:r>
      <w:r w:rsidR="000C0D9A">
        <w:rPr>
          <w:rFonts w:ascii="Times New Roman" w:hAnsi="Times New Roman" w:cs="Times New Roman"/>
          <w:sz w:val="24"/>
          <w:szCs w:val="24"/>
        </w:rPr>
        <w:t xml:space="preserve"> </w:t>
      </w:r>
      <w:r w:rsidR="000C0D9A" w:rsidRPr="0034771E">
        <w:rPr>
          <w:rFonts w:ascii="Times New Roman" w:hAnsi="Times New Roman" w:cs="Times New Roman"/>
          <w:sz w:val="24"/>
          <w:szCs w:val="24"/>
        </w:rPr>
        <w:t>(skat. arī 3.grafiku)</w:t>
      </w:r>
      <w:r w:rsidR="000C0D9A">
        <w:rPr>
          <w:rFonts w:ascii="Times New Roman" w:hAnsi="Times New Roman" w:cs="Times New Roman"/>
          <w:sz w:val="24"/>
          <w:szCs w:val="24"/>
        </w:rPr>
        <w:t xml:space="preserve">. </w:t>
      </w:r>
      <w:r w:rsidR="000C0D9A" w:rsidRPr="009C0BB6">
        <w:rPr>
          <w:rFonts w:ascii="Times New Roman" w:hAnsi="Times New Roman" w:cs="Times New Roman"/>
          <w:sz w:val="24"/>
          <w:szCs w:val="24"/>
        </w:rPr>
        <w:t>2021.gada I pusgadā ir vērojams samazinājums kompensāciju</w:t>
      </w:r>
      <w:r w:rsidR="000C0D9A" w:rsidRPr="00224F9A">
        <w:rPr>
          <w:rFonts w:ascii="Times New Roman" w:hAnsi="Times New Roman" w:cs="Times New Roman"/>
          <w:sz w:val="24"/>
          <w:szCs w:val="24"/>
        </w:rPr>
        <w:t xml:space="preserve"> </w:t>
      </w:r>
      <w:r w:rsidR="000C0D9A" w:rsidRPr="009962AC">
        <w:rPr>
          <w:rFonts w:ascii="Times New Roman" w:hAnsi="Times New Roman" w:cs="Times New Roman"/>
          <w:sz w:val="24"/>
          <w:szCs w:val="24"/>
        </w:rPr>
        <w:t xml:space="preserve">izmaksās </w:t>
      </w:r>
      <w:r w:rsidR="000C0D9A" w:rsidRPr="00224F9A">
        <w:rPr>
          <w:rFonts w:ascii="Times New Roman" w:hAnsi="Times New Roman" w:cs="Times New Roman"/>
          <w:sz w:val="24"/>
          <w:szCs w:val="24"/>
        </w:rPr>
        <w:t xml:space="preserve">no </w:t>
      </w:r>
      <w:r w:rsidR="000C0D9A" w:rsidRPr="009962AC">
        <w:rPr>
          <w:rFonts w:ascii="Times New Roman" w:hAnsi="Times New Roman" w:cs="Times New Roman"/>
          <w:sz w:val="24"/>
          <w:szCs w:val="24"/>
        </w:rPr>
        <w:t xml:space="preserve">Garantijas fonda. </w:t>
      </w:r>
    </w:p>
    <w:p w14:paraId="787FFDC7" w14:textId="77777777" w:rsidR="000C0D9A" w:rsidRDefault="000C0D9A" w:rsidP="00B9719A">
      <w:pPr>
        <w:ind w:firstLine="720"/>
        <w:jc w:val="both"/>
        <w:rPr>
          <w:rFonts w:ascii="Times New Roman" w:hAnsi="Times New Roman" w:cs="Times New Roman"/>
          <w:sz w:val="24"/>
          <w:szCs w:val="24"/>
        </w:rPr>
      </w:pPr>
      <w:r w:rsidRPr="00E61AAF">
        <w:rPr>
          <w:rFonts w:ascii="Times New Roman" w:hAnsi="Times New Roman" w:cs="Times New Roman"/>
          <w:sz w:val="24"/>
          <w:szCs w:val="24"/>
        </w:rPr>
        <w:t xml:space="preserve">Kompensāciju </w:t>
      </w:r>
      <w:r w:rsidR="004C68FB" w:rsidRPr="00E61AAF">
        <w:rPr>
          <w:rFonts w:ascii="Times New Roman" w:hAnsi="Times New Roman" w:cs="Times New Roman"/>
          <w:sz w:val="24"/>
          <w:szCs w:val="24"/>
        </w:rPr>
        <w:t xml:space="preserve">kritums </w:t>
      </w:r>
      <w:r w:rsidRPr="00E61AAF">
        <w:rPr>
          <w:rFonts w:ascii="Times New Roman" w:hAnsi="Times New Roman" w:cs="Times New Roman"/>
          <w:sz w:val="24"/>
          <w:szCs w:val="24"/>
        </w:rPr>
        <w:t xml:space="preserve">par lauksaimniekiem </w:t>
      </w:r>
      <w:r w:rsidR="0060192F" w:rsidRPr="00E61AAF">
        <w:rPr>
          <w:rFonts w:ascii="Times New Roman" w:hAnsi="Times New Roman" w:cs="Times New Roman"/>
          <w:sz w:val="24"/>
          <w:szCs w:val="24"/>
        </w:rPr>
        <w:t>pie</w:t>
      </w:r>
      <w:r w:rsidR="0060192F">
        <w:rPr>
          <w:rFonts w:ascii="Times New Roman" w:hAnsi="Times New Roman" w:cs="Times New Roman"/>
          <w:sz w:val="24"/>
          <w:szCs w:val="24"/>
        </w:rPr>
        <w:t>mēroto</w:t>
      </w:r>
      <w:r w:rsidRPr="00E61AAF">
        <w:rPr>
          <w:rFonts w:ascii="Times New Roman" w:hAnsi="Times New Roman" w:cs="Times New Roman"/>
          <w:sz w:val="24"/>
          <w:szCs w:val="24"/>
        </w:rPr>
        <w:t xml:space="preserve"> OCTA </w:t>
      </w:r>
      <w:r w:rsidR="004C68FB">
        <w:rPr>
          <w:rFonts w:ascii="Times New Roman" w:hAnsi="Times New Roman" w:cs="Times New Roman"/>
          <w:sz w:val="24"/>
          <w:szCs w:val="24"/>
        </w:rPr>
        <w:t xml:space="preserve">prēmiju </w:t>
      </w:r>
      <w:r w:rsidR="0060192F">
        <w:rPr>
          <w:rFonts w:ascii="Times New Roman" w:hAnsi="Times New Roman" w:cs="Times New Roman"/>
          <w:sz w:val="24"/>
          <w:szCs w:val="24"/>
        </w:rPr>
        <w:t xml:space="preserve">maksājumu </w:t>
      </w:r>
      <w:r w:rsidR="004C68FB">
        <w:rPr>
          <w:rFonts w:ascii="Times New Roman" w:hAnsi="Times New Roman" w:cs="Times New Roman"/>
          <w:sz w:val="24"/>
          <w:szCs w:val="24"/>
        </w:rPr>
        <w:t>samazinājum</w:t>
      </w:r>
      <w:r w:rsidR="0060192F">
        <w:rPr>
          <w:rFonts w:ascii="Times New Roman" w:hAnsi="Times New Roman" w:cs="Times New Roman"/>
          <w:sz w:val="24"/>
          <w:szCs w:val="24"/>
        </w:rPr>
        <w:t xml:space="preserve">iem </w:t>
      </w:r>
      <w:r w:rsidR="002D331E">
        <w:rPr>
          <w:rFonts w:ascii="Times New Roman" w:hAnsi="Times New Roman" w:cs="Times New Roman"/>
          <w:sz w:val="24"/>
          <w:szCs w:val="24"/>
        </w:rPr>
        <w:t xml:space="preserve">2021.gadā </w:t>
      </w:r>
      <w:r>
        <w:rPr>
          <w:rFonts w:ascii="Times New Roman" w:hAnsi="Times New Roman" w:cs="Times New Roman"/>
          <w:sz w:val="24"/>
          <w:szCs w:val="24"/>
        </w:rPr>
        <w:t xml:space="preserve">varētu būt izskaidrojams ar to, ka OCTA </w:t>
      </w:r>
      <w:r w:rsidRPr="009D26D8">
        <w:rPr>
          <w:rFonts w:ascii="Times New Roman" w:hAnsi="Times New Roman" w:cs="Times New Roman"/>
          <w:sz w:val="24"/>
          <w:szCs w:val="24"/>
        </w:rPr>
        <w:t>cenas</w:t>
      </w:r>
      <w:r w:rsidR="002D331E">
        <w:rPr>
          <w:rFonts w:ascii="Times New Roman" w:hAnsi="Times New Roman" w:cs="Times New Roman"/>
          <w:sz w:val="24"/>
          <w:szCs w:val="24"/>
        </w:rPr>
        <w:t xml:space="preserve"> kopumā</w:t>
      </w:r>
      <w:r w:rsidRPr="009D26D8">
        <w:rPr>
          <w:rFonts w:ascii="Times New Roman" w:hAnsi="Times New Roman" w:cs="Times New Roman"/>
          <w:sz w:val="24"/>
          <w:szCs w:val="24"/>
        </w:rPr>
        <w:t xml:space="preserve"> ir </w:t>
      </w:r>
      <w:r>
        <w:rPr>
          <w:rFonts w:ascii="Times New Roman" w:hAnsi="Times New Roman" w:cs="Times New Roman"/>
          <w:sz w:val="24"/>
          <w:szCs w:val="24"/>
        </w:rPr>
        <w:t xml:space="preserve">kritušās. </w:t>
      </w:r>
      <w:r w:rsidRPr="00BE58B4">
        <w:rPr>
          <w:rFonts w:ascii="Times New Roman" w:hAnsi="Times New Roman" w:cs="Times New Roman"/>
          <w:sz w:val="24"/>
          <w:szCs w:val="24"/>
        </w:rPr>
        <w:t xml:space="preserve">Kompensāciju </w:t>
      </w:r>
      <w:r w:rsidR="0060192F" w:rsidRPr="00BE58B4">
        <w:rPr>
          <w:rFonts w:ascii="Times New Roman" w:hAnsi="Times New Roman" w:cs="Times New Roman"/>
          <w:sz w:val="24"/>
          <w:szCs w:val="24"/>
        </w:rPr>
        <w:t xml:space="preserve">kritums </w:t>
      </w:r>
      <w:r w:rsidRPr="00BE58B4">
        <w:rPr>
          <w:rFonts w:ascii="Times New Roman" w:hAnsi="Times New Roman" w:cs="Times New Roman"/>
          <w:sz w:val="24"/>
          <w:szCs w:val="24"/>
        </w:rPr>
        <w:t xml:space="preserve">par </w:t>
      </w:r>
      <w:r>
        <w:rPr>
          <w:rFonts w:ascii="Times New Roman" w:hAnsi="Times New Roman" w:cs="Times New Roman"/>
          <w:sz w:val="24"/>
          <w:szCs w:val="24"/>
        </w:rPr>
        <w:t>person</w:t>
      </w:r>
      <w:r w:rsidR="0060192F">
        <w:rPr>
          <w:rFonts w:ascii="Times New Roman" w:hAnsi="Times New Roman" w:cs="Times New Roman"/>
          <w:sz w:val="24"/>
          <w:szCs w:val="24"/>
        </w:rPr>
        <w:t xml:space="preserve">ām </w:t>
      </w:r>
      <w:r>
        <w:rPr>
          <w:rFonts w:ascii="Times New Roman" w:hAnsi="Times New Roman" w:cs="Times New Roman"/>
          <w:sz w:val="24"/>
          <w:szCs w:val="24"/>
        </w:rPr>
        <w:t xml:space="preserve">ar invaliditāti </w:t>
      </w:r>
      <w:r w:rsidRPr="00BE58B4">
        <w:rPr>
          <w:rFonts w:ascii="Times New Roman" w:hAnsi="Times New Roman" w:cs="Times New Roman"/>
          <w:sz w:val="24"/>
          <w:szCs w:val="24"/>
        </w:rPr>
        <w:t>pie</w:t>
      </w:r>
      <w:r w:rsidR="0060192F">
        <w:rPr>
          <w:rFonts w:ascii="Times New Roman" w:hAnsi="Times New Roman" w:cs="Times New Roman"/>
          <w:sz w:val="24"/>
          <w:szCs w:val="24"/>
        </w:rPr>
        <w:t>mēroto</w:t>
      </w:r>
      <w:r w:rsidRPr="00BE58B4">
        <w:rPr>
          <w:rFonts w:ascii="Times New Roman" w:hAnsi="Times New Roman" w:cs="Times New Roman"/>
          <w:sz w:val="24"/>
          <w:szCs w:val="24"/>
        </w:rPr>
        <w:t xml:space="preserve"> </w:t>
      </w:r>
      <w:r w:rsidR="0060192F" w:rsidRPr="00E61AAF">
        <w:rPr>
          <w:rFonts w:ascii="Times New Roman" w:hAnsi="Times New Roman" w:cs="Times New Roman"/>
          <w:sz w:val="24"/>
          <w:szCs w:val="24"/>
        </w:rPr>
        <w:t xml:space="preserve">OCTA </w:t>
      </w:r>
      <w:r w:rsidR="0060192F">
        <w:rPr>
          <w:rFonts w:ascii="Times New Roman" w:hAnsi="Times New Roman" w:cs="Times New Roman"/>
          <w:sz w:val="24"/>
          <w:szCs w:val="24"/>
        </w:rPr>
        <w:t xml:space="preserve">prēmiju maksājumu samazinājumiem </w:t>
      </w:r>
      <w:r>
        <w:rPr>
          <w:rFonts w:ascii="Times New Roman" w:hAnsi="Times New Roman" w:cs="Times New Roman"/>
          <w:sz w:val="24"/>
          <w:szCs w:val="24"/>
        </w:rPr>
        <w:t xml:space="preserve">izskaidrojams </w:t>
      </w:r>
      <w:r w:rsidR="00111AAF">
        <w:rPr>
          <w:rFonts w:ascii="Times New Roman" w:hAnsi="Times New Roman" w:cs="Times New Roman"/>
          <w:sz w:val="24"/>
          <w:szCs w:val="24"/>
        </w:rPr>
        <w:t xml:space="preserve">gan </w:t>
      </w:r>
      <w:r>
        <w:rPr>
          <w:rFonts w:ascii="Times New Roman" w:hAnsi="Times New Roman" w:cs="Times New Roman"/>
          <w:sz w:val="24"/>
          <w:szCs w:val="24"/>
        </w:rPr>
        <w:t>ar OCTA cenu kritumu</w:t>
      </w:r>
      <w:r w:rsidR="00111AAF">
        <w:rPr>
          <w:rFonts w:ascii="Times New Roman" w:hAnsi="Times New Roman" w:cs="Times New Roman"/>
          <w:sz w:val="24"/>
          <w:szCs w:val="24"/>
        </w:rPr>
        <w:t xml:space="preserve">, gan arī </w:t>
      </w:r>
      <w:r w:rsidR="002D331E">
        <w:rPr>
          <w:rFonts w:ascii="Times New Roman" w:hAnsi="Times New Roman" w:cs="Times New Roman"/>
          <w:sz w:val="24"/>
          <w:szCs w:val="24"/>
        </w:rPr>
        <w:t xml:space="preserve">ar </w:t>
      </w:r>
      <w:r>
        <w:rPr>
          <w:rFonts w:ascii="Times New Roman" w:hAnsi="Times New Roman" w:cs="Times New Roman"/>
          <w:sz w:val="24"/>
          <w:szCs w:val="24"/>
        </w:rPr>
        <w:t>to, ka no</w:t>
      </w:r>
      <w:r w:rsidR="003B5985">
        <w:rPr>
          <w:rFonts w:ascii="Times New Roman" w:hAnsi="Times New Roman" w:cs="Times New Roman"/>
          <w:sz w:val="24"/>
          <w:szCs w:val="24"/>
        </w:rPr>
        <w:t xml:space="preserve"> </w:t>
      </w:r>
      <w:r>
        <w:rPr>
          <w:rFonts w:ascii="Times New Roman" w:hAnsi="Times New Roman" w:cs="Times New Roman"/>
          <w:sz w:val="24"/>
          <w:szCs w:val="24"/>
        </w:rPr>
        <w:t>2021.</w:t>
      </w:r>
      <w:r w:rsidR="003B5985">
        <w:rPr>
          <w:rFonts w:ascii="Times New Roman" w:hAnsi="Times New Roman" w:cs="Times New Roman"/>
          <w:sz w:val="24"/>
          <w:szCs w:val="24"/>
        </w:rPr>
        <w:t>gada 12.janvāra</w:t>
      </w:r>
      <w:r>
        <w:rPr>
          <w:rFonts w:ascii="Times New Roman" w:hAnsi="Times New Roman" w:cs="Times New Roman"/>
          <w:sz w:val="24"/>
          <w:szCs w:val="24"/>
        </w:rPr>
        <w:t xml:space="preserve"> OCTA </w:t>
      </w:r>
      <w:r w:rsidR="003B5985">
        <w:rPr>
          <w:rFonts w:ascii="Times New Roman" w:hAnsi="Times New Roman" w:cs="Times New Roman"/>
          <w:sz w:val="24"/>
          <w:szCs w:val="24"/>
        </w:rPr>
        <w:t xml:space="preserve">prēmijas </w:t>
      </w:r>
      <w:r>
        <w:rPr>
          <w:rFonts w:ascii="Times New Roman" w:hAnsi="Times New Roman" w:cs="Times New Roman"/>
          <w:sz w:val="24"/>
          <w:szCs w:val="24"/>
        </w:rPr>
        <w:t xml:space="preserve">samazinājums personām ar invaliditāti atbilstoši OCTA likuma grozījumiem tiek piešķirts </w:t>
      </w:r>
      <w:r w:rsidR="00111AAF">
        <w:rPr>
          <w:rFonts w:ascii="Times New Roman" w:hAnsi="Times New Roman" w:cs="Times New Roman"/>
          <w:sz w:val="24"/>
          <w:szCs w:val="24"/>
        </w:rPr>
        <w:t xml:space="preserve">tikai </w:t>
      </w:r>
      <w:r>
        <w:rPr>
          <w:rFonts w:ascii="Times New Roman" w:hAnsi="Times New Roman" w:cs="Times New Roman"/>
          <w:sz w:val="24"/>
          <w:szCs w:val="24"/>
        </w:rPr>
        <w:t>vienam transportlīdzekļa īpašnieka īpašumā vai līzinga gadījumā</w:t>
      </w:r>
      <w:r w:rsidR="00460058">
        <w:rPr>
          <w:rFonts w:ascii="Times New Roman" w:hAnsi="Times New Roman" w:cs="Times New Roman"/>
          <w:sz w:val="24"/>
          <w:szCs w:val="24"/>
        </w:rPr>
        <w:t xml:space="preserve"> - </w:t>
      </w:r>
      <w:r>
        <w:rPr>
          <w:rFonts w:ascii="Times New Roman" w:hAnsi="Times New Roman" w:cs="Times New Roman"/>
          <w:sz w:val="24"/>
          <w:szCs w:val="24"/>
        </w:rPr>
        <w:t>transportlīdzekļa reģistrācijas apliecībā norādītā turētāja</w:t>
      </w:r>
      <w:r w:rsidR="00460058">
        <w:rPr>
          <w:rFonts w:ascii="Times New Roman" w:hAnsi="Times New Roman" w:cs="Times New Roman"/>
          <w:sz w:val="24"/>
          <w:szCs w:val="24"/>
        </w:rPr>
        <w:t xml:space="preserve"> - </w:t>
      </w:r>
      <w:r>
        <w:rPr>
          <w:rFonts w:ascii="Times New Roman" w:hAnsi="Times New Roman" w:cs="Times New Roman"/>
          <w:sz w:val="24"/>
          <w:szCs w:val="24"/>
        </w:rPr>
        <w:t xml:space="preserve">turējumā esošajam vieglajam transportlīdzeklim, kura pilna masa ir līdz 3,5 tonnām. Vienlaikus jāpiebilst, ka </w:t>
      </w:r>
      <w:r w:rsidR="001D0112">
        <w:rPr>
          <w:rFonts w:ascii="Times New Roman" w:hAnsi="Times New Roman" w:cs="Times New Roman"/>
          <w:sz w:val="24"/>
          <w:szCs w:val="24"/>
        </w:rPr>
        <w:t xml:space="preserve">ir </w:t>
      </w:r>
      <w:r>
        <w:rPr>
          <w:rFonts w:ascii="Times New Roman" w:hAnsi="Times New Roman" w:cs="Times New Roman"/>
          <w:sz w:val="24"/>
          <w:szCs w:val="24"/>
        </w:rPr>
        <w:t>vērojams kritums</w:t>
      </w:r>
      <w:r w:rsidR="006E190B" w:rsidRPr="006E190B">
        <w:rPr>
          <w:rFonts w:ascii="Times New Roman" w:hAnsi="Times New Roman" w:cs="Times New Roman"/>
          <w:sz w:val="24"/>
          <w:szCs w:val="24"/>
        </w:rPr>
        <w:t xml:space="preserve"> </w:t>
      </w:r>
      <w:r w:rsidR="006E190B">
        <w:rPr>
          <w:rFonts w:ascii="Times New Roman" w:hAnsi="Times New Roman" w:cs="Times New Roman"/>
          <w:sz w:val="24"/>
          <w:szCs w:val="24"/>
        </w:rPr>
        <w:t>arī</w:t>
      </w:r>
      <w:r>
        <w:rPr>
          <w:rFonts w:ascii="Times New Roman" w:hAnsi="Times New Roman" w:cs="Times New Roman"/>
          <w:sz w:val="24"/>
          <w:szCs w:val="24"/>
        </w:rPr>
        <w:t xml:space="preserve"> noslēgt</w:t>
      </w:r>
      <w:r w:rsidR="0060192F">
        <w:rPr>
          <w:rFonts w:ascii="Times New Roman" w:hAnsi="Times New Roman" w:cs="Times New Roman"/>
          <w:sz w:val="24"/>
          <w:szCs w:val="24"/>
        </w:rPr>
        <w:t xml:space="preserve">o </w:t>
      </w:r>
      <w:r>
        <w:rPr>
          <w:rFonts w:ascii="Times New Roman" w:hAnsi="Times New Roman" w:cs="Times New Roman"/>
          <w:sz w:val="24"/>
          <w:szCs w:val="24"/>
        </w:rPr>
        <w:t>OCTA līgum</w:t>
      </w:r>
      <w:r w:rsidR="0060192F">
        <w:rPr>
          <w:rFonts w:ascii="Times New Roman" w:hAnsi="Times New Roman" w:cs="Times New Roman"/>
          <w:sz w:val="24"/>
          <w:szCs w:val="24"/>
        </w:rPr>
        <w:t>u skaitā</w:t>
      </w:r>
      <w:r>
        <w:rPr>
          <w:rFonts w:ascii="Times New Roman" w:hAnsi="Times New Roman" w:cs="Times New Roman"/>
          <w:sz w:val="24"/>
          <w:szCs w:val="24"/>
        </w:rPr>
        <w:t>, ja salīdzina 2021.gada I pusgada datus ar 2020.gada I pusgada datiem</w:t>
      </w:r>
      <w:r w:rsidR="006E190B">
        <w:rPr>
          <w:rFonts w:ascii="Times New Roman" w:hAnsi="Times New Roman" w:cs="Times New Roman"/>
          <w:sz w:val="24"/>
          <w:szCs w:val="24"/>
        </w:rPr>
        <w:t xml:space="preserve"> mēneša griezumā</w:t>
      </w:r>
      <w:r>
        <w:rPr>
          <w:rFonts w:ascii="Times New Roman" w:hAnsi="Times New Roman" w:cs="Times New Roman"/>
          <w:sz w:val="24"/>
          <w:szCs w:val="24"/>
        </w:rPr>
        <w:t xml:space="preserve"> (skat</w:t>
      </w:r>
      <w:r w:rsidR="003B5985">
        <w:rPr>
          <w:rFonts w:ascii="Times New Roman" w:hAnsi="Times New Roman" w:cs="Times New Roman"/>
          <w:sz w:val="24"/>
          <w:szCs w:val="24"/>
        </w:rPr>
        <w:t>.</w:t>
      </w:r>
      <w:r>
        <w:rPr>
          <w:rFonts w:ascii="Times New Roman" w:hAnsi="Times New Roman" w:cs="Times New Roman"/>
          <w:sz w:val="24"/>
          <w:szCs w:val="24"/>
        </w:rPr>
        <w:t xml:space="preserve"> </w:t>
      </w:r>
      <w:r w:rsidR="006E190B">
        <w:rPr>
          <w:rFonts w:ascii="Times New Roman" w:hAnsi="Times New Roman" w:cs="Times New Roman"/>
          <w:sz w:val="24"/>
          <w:szCs w:val="24"/>
        </w:rPr>
        <w:t>2</w:t>
      </w:r>
      <w:r>
        <w:rPr>
          <w:rFonts w:ascii="Times New Roman" w:hAnsi="Times New Roman" w:cs="Times New Roman"/>
          <w:sz w:val="24"/>
          <w:szCs w:val="24"/>
        </w:rPr>
        <w:t>.tabulu</w:t>
      </w:r>
      <w:r w:rsidR="00F14C78">
        <w:rPr>
          <w:rFonts w:ascii="Times New Roman" w:hAnsi="Times New Roman" w:cs="Times New Roman"/>
          <w:sz w:val="24"/>
          <w:szCs w:val="24"/>
        </w:rPr>
        <w:t>).</w:t>
      </w:r>
    </w:p>
    <w:p w14:paraId="6137A192" w14:textId="77777777" w:rsidR="000C0D9A" w:rsidRDefault="006E190B" w:rsidP="000C0D9A">
      <w:pPr>
        <w:jc w:val="both"/>
        <w:rPr>
          <w:rFonts w:ascii="Times New Roman" w:hAnsi="Times New Roman" w:cs="Times New Roman"/>
          <w:sz w:val="24"/>
          <w:szCs w:val="24"/>
        </w:rPr>
      </w:pPr>
      <w:r>
        <w:rPr>
          <w:rFonts w:ascii="Times New Roman" w:hAnsi="Times New Roman" w:cs="Times New Roman"/>
          <w:sz w:val="24"/>
          <w:szCs w:val="24"/>
        </w:rPr>
        <w:t>2</w:t>
      </w:r>
      <w:r w:rsidR="000C0D9A">
        <w:rPr>
          <w:rFonts w:ascii="Times New Roman" w:hAnsi="Times New Roman" w:cs="Times New Roman"/>
          <w:sz w:val="24"/>
          <w:szCs w:val="24"/>
        </w:rPr>
        <w:t>.tabula</w:t>
      </w:r>
    </w:p>
    <w:p w14:paraId="2E3E412C" w14:textId="77777777" w:rsidR="000C0D9A" w:rsidRDefault="000C0D9A" w:rsidP="000C0D9A">
      <w:pPr>
        <w:jc w:val="both"/>
        <w:rPr>
          <w:rFonts w:ascii="Times New Roman" w:hAnsi="Times New Roman" w:cs="Times New Roman"/>
          <w:sz w:val="24"/>
          <w:szCs w:val="24"/>
        </w:rPr>
      </w:pPr>
      <w:r>
        <w:rPr>
          <w:noProof/>
          <w:lang w:eastAsia="lv-LV"/>
        </w:rPr>
        <w:drawing>
          <wp:inline distT="0" distB="0" distL="0" distR="0" wp14:anchorId="2A4ED6C3" wp14:editId="2D91CCDC">
            <wp:extent cx="5935980" cy="1125220"/>
            <wp:effectExtent l="0" t="0" r="7620" b="0"/>
            <wp:docPr id="6" name="Picture 6" descr="A computer screen cap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mputer screen capture&#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35980" cy="1125220"/>
                    </a:xfrm>
                    <a:prstGeom prst="rect">
                      <a:avLst/>
                    </a:prstGeom>
                    <a:noFill/>
                    <a:ln>
                      <a:noFill/>
                    </a:ln>
                  </pic:spPr>
                </pic:pic>
              </a:graphicData>
            </a:graphic>
          </wp:inline>
        </w:drawing>
      </w:r>
    </w:p>
    <w:p w14:paraId="2556F460" w14:textId="0D1BA0D3" w:rsidR="000C0D9A" w:rsidRDefault="000C0D9A" w:rsidP="000C0D9A">
      <w:pPr>
        <w:jc w:val="both"/>
        <w:rPr>
          <w:rFonts w:ascii="Times New Roman" w:hAnsi="Times New Roman" w:cs="Times New Roman"/>
          <w:sz w:val="24"/>
          <w:szCs w:val="24"/>
        </w:rPr>
      </w:pPr>
    </w:p>
    <w:p w14:paraId="77F5763F" w14:textId="1EC6468D" w:rsidR="001662B4" w:rsidRDefault="001662B4" w:rsidP="000C0D9A">
      <w:pPr>
        <w:jc w:val="both"/>
        <w:rPr>
          <w:rFonts w:ascii="Times New Roman" w:hAnsi="Times New Roman" w:cs="Times New Roman"/>
          <w:sz w:val="24"/>
          <w:szCs w:val="24"/>
        </w:rPr>
      </w:pPr>
    </w:p>
    <w:p w14:paraId="378D45D9" w14:textId="41BD5945" w:rsidR="001662B4" w:rsidRDefault="001662B4" w:rsidP="000C0D9A">
      <w:pPr>
        <w:jc w:val="both"/>
        <w:rPr>
          <w:rFonts w:ascii="Times New Roman" w:hAnsi="Times New Roman" w:cs="Times New Roman"/>
          <w:sz w:val="24"/>
          <w:szCs w:val="24"/>
        </w:rPr>
      </w:pPr>
    </w:p>
    <w:p w14:paraId="181671D4" w14:textId="3019899D" w:rsidR="001662B4" w:rsidRDefault="001662B4" w:rsidP="000C0D9A">
      <w:pPr>
        <w:jc w:val="both"/>
        <w:rPr>
          <w:rFonts w:ascii="Times New Roman" w:hAnsi="Times New Roman" w:cs="Times New Roman"/>
          <w:sz w:val="24"/>
          <w:szCs w:val="24"/>
        </w:rPr>
      </w:pPr>
    </w:p>
    <w:p w14:paraId="5EC11D55" w14:textId="77777777" w:rsidR="001662B4" w:rsidRPr="00E61AAF" w:rsidRDefault="001662B4" w:rsidP="000C0D9A">
      <w:pPr>
        <w:jc w:val="both"/>
        <w:rPr>
          <w:rFonts w:ascii="Times New Roman" w:hAnsi="Times New Roman" w:cs="Times New Roman"/>
          <w:sz w:val="24"/>
          <w:szCs w:val="24"/>
        </w:rPr>
      </w:pPr>
    </w:p>
    <w:p w14:paraId="13E9D3FB" w14:textId="77777777" w:rsidR="000C0D9A" w:rsidRPr="00B9719A" w:rsidRDefault="000C0D9A" w:rsidP="000C0D9A">
      <w:pPr>
        <w:spacing w:after="0" w:line="240" w:lineRule="auto"/>
        <w:rPr>
          <w:rFonts w:ascii="Times New Roman" w:hAnsi="Times New Roman" w:cs="Times New Roman"/>
          <w:b/>
          <w:bCs/>
          <w:sz w:val="24"/>
          <w:szCs w:val="24"/>
        </w:rPr>
      </w:pPr>
      <w:r w:rsidRPr="00B9719A">
        <w:rPr>
          <w:rFonts w:ascii="Times New Roman" w:hAnsi="Times New Roman" w:cs="Times New Roman"/>
          <w:b/>
          <w:bCs/>
          <w:sz w:val="24"/>
          <w:szCs w:val="24"/>
        </w:rPr>
        <w:lastRenderedPageBreak/>
        <w:t>2. grafiks</w:t>
      </w:r>
    </w:p>
    <w:p w14:paraId="0C75F424" w14:textId="77777777" w:rsidR="006E190B" w:rsidRPr="00B9719A" w:rsidRDefault="006E190B" w:rsidP="000C0D9A">
      <w:pPr>
        <w:spacing w:after="0" w:line="240" w:lineRule="auto"/>
        <w:rPr>
          <w:rFonts w:ascii="Times New Roman" w:hAnsi="Times New Roman" w:cs="Times New Roman"/>
          <w:b/>
          <w:bCs/>
          <w:sz w:val="24"/>
          <w:szCs w:val="24"/>
        </w:rPr>
      </w:pPr>
      <w:r w:rsidRPr="00B9719A">
        <w:rPr>
          <w:rFonts w:ascii="Times New Roman" w:hAnsi="Times New Roman" w:cs="Times New Roman"/>
          <w:b/>
          <w:bCs/>
          <w:sz w:val="24"/>
          <w:szCs w:val="24"/>
        </w:rPr>
        <w:t>Garantijas fonda izdevumu struktūra (2014. – 2021.gada 30.jūnijs)</w:t>
      </w:r>
    </w:p>
    <w:p w14:paraId="2423C626" w14:textId="77777777" w:rsidR="000C0D9A" w:rsidRPr="00B9719A" w:rsidRDefault="000C0D9A" w:rsidP="000C0D9A">
      <w:pPr>
        <w:spacing w:after="0" w:line="240" w:lineRule="auto"/>
        <w:rPr>
          <w:rFonts w:ascii="Times New Roman" w:hAnsi="Times New Roman" w:cs="Times New Roman"/>
          <w:b/>
          <w:bCs/>
          <w:sz w:val="24"/>
          <w:szCs w:val="24"/>
        </w:rPr>
      </w:pPr>
    </w:p>
    <w:p w14:paraId="7B8A0FDB" w14:textId="318F22CB" w:rsidR="00393873" w:rsidRDefault="000C0D9A" w:rsidP="001662B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D6CDB7A" wp14:editId="642CC311">
            <wp:extent cx="4315968" cy="2616940"/>
            <wp:effectExtent l="0" t="0" r="8890" b="0"/>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929" cy="2622373"/>
                    </a:xfrm>
                    <a:prstGeom prst="rect">
                      <a:avLst/>
                    </a:prstGeom>
                    <a:noFill/>
                  </pic:spPr>
                </pic:pic>
              </a:graphicData>
            </a:graphic>
          </wp:inline>
        </w:drawing>
      </w:r>
    </w:p>
    <w:p w14:paraId="7A8F407D" w14:textId="77777777" w:rsidR="001C06E3" w:rsidRDefault="001C06E3" w:rsidP="001C06E3">
      <w:pPr>
        <w:jc w:val="both"/>
        <w:rPr>
          <w:rFonts w:ascii="Times New Roman" w:hAnsi="Times New Roman" w:cs="Times New Roman"/>
          <w:sz w:val="24"/>
          <w:szCs w:val="24"/>
        </w:rPr>
      </w:pPr>
    </w:p>
    <w:p w14:paraId="64A9E608" w14:textId="77777777" w:rsidR="001C06E3" w:rsidRPr="008C7449" w:rsidRDefault="001C06E3" w:rsidP="00B9719A">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r w:rsidRPr="008C7449">
        <w:rPr>
          <w:rFonts w:ascii="Times New Roman" w:hAnsi="Times New Roman" w:cs="Times New Roman"/>
          <w:b/>
          <w:bCs/>
          <w:sz w:val="24"/>
          <w:szCs w:val="24"/>
          <w:shd w:val="clear" w:color="auto" w:fill="FFFFFF"/>
        </w:rPr>
        <w:t>. grafiks</w:t>
      </w:r>
    </w:p>
    <w:p w14:paraId="64EAAD07" w14:textId="77777777" w:rsidR="001C06E3" w:rsidRPr="008C7449" w:rsidRDefault="001C06E3" w:rsidP="001C06E3">
      <w:pPr>
        <w:spacing w:after="0" w:line="240" w:lineRule="auto"/>
        <w:jc w:val="both"/>
        <w:rPr>
          <w:rFonts w:ascii="Times New Roman" w:hAnsi="Times New Roman" w:cs="Times New Roman"/>
          <w:b/>
          <w:bCs/>
          <w:sz w:val="24"/>
          <w:szCs w:val="24"/>
          <w:shd w:val="clear" w:color="auto" w:fill="FFFFFF"/>
        </w:rPr>
      </w:pPr>
      <w:r w:rsidRPr="008C7449">
        <w:rPr>
          <w:rFonts w:ascii="Times New Roman" w:hAnsi="Times New Roman" w:cs="Times New Roman"/>
          <w:b/>
          <w:bCs/>
          <w:sz w:val="24"/>
          <w:szCs w:val="24"/>
          <w:shd w:val="clear" w:color="auto" w:fill="FFFFFF"/>
        </w:rPr>
        <w:t xml:space="preserve">Garantijas fonda </w:t>
      </w:r>
      <w:r>
        <w:rPr>
          <w:rFonts w:ascii="Times New Roman" w:hAnsi="Times New Roman" w:cs="Times New Roman"/>
          <w:b/>
          <w:bCs/>
          <w:sz w:val="24"/>
          <w:szCs w:val="24"/>
          <w:shd w:val="clear" w:color="auto" w:fill="FFFFFF"/>
        </w:rPr>
        <w:t>izdevumu struktūra</w:t>
      </w:r>
      <w:r w:rsidRPr="008C7449">
        <w:rPr>
          <w:rFonts w:ascii="Times New Roman" w:hAnsi="Times New Roman" w:cs="Times New Roman"/>
          <w:b/>
          <w:bCs/>
          <w:sz w:val="24"/>
          <w:szCs w:val="24"/>
          <w:shd w:val="clear" w:color="auto" w:fill="FFFFFF"/>
        </w:rPr>
        <w:t xml:space="preserve"> (2014. – 2021.gada I pusgads)</w:t>
      </w:r>
    </w:p>
    <w:p w14:paraId="19FCC381" w14:textId="77777777" w:rsidR="000C0D9A" w:rsidRPr="0034771E" w:rsidRDefault="000C0D9A" w:rsidP="000C0D9A">
      <w:pPr>
        <w:jc w:val="both"/>
        <w:rPr>
          <w:rFonts w:ascii="Times New Roman" w:hAnsi="Times New Roman" w:cs="Times New Roman"/>
          <w:b/>
          <w:bCs/>
          <w:sz w:val="24"/>
          <w:szCs w:val="24"/>
        </w:rPr>
      </w:pPr>
      <w:r w:rsidRPr="00A41461">
        <w:rPr>
          <w:rFonts w:ascii="Gotham Pro LT" w:hAnsi="Gotham Pro LT" w:cs="Gotham Pro LT"/>
          <w:noProof/>
          <w:sz w:val="24"/>
          <w:szCs w:val="24"/>
          <w:lang w:eastAsia="lv-LV"/>
        </w:rPr>
        <w:drawing>
          <wp:inline distT="0" distB="0" distL="0" distR="0" wp14:anchorId="244444A9" wp14:editId="6A0AC6EE">
            <wp:extent cx="5935980" cy="5043805"/>
            <wp:effectExtent l="0" t="0" r="7620" b="444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3"/>
                    <a:stretch>
                      <a:fillRect/>
                    </a:stretch>
                  </pic:blipFill>
                  <pic:spPr>
                    <a:xfrm>
                      <a:off x="0" y="0"/>
                      <a:ext cx="5935980" cy="5043805"/>
                    </a:xfrm>
                    <a:prstGeom prst="rect">
                      <a:avLst/>
                    </a:prstGeom>
                  </pic:spPr>
                </pic:pic>
              </a:graphicData>
            </a:graphic>
          </wp:inline>
        </w:drawing>
      </w:r>
    </w:p>
    <w:p w14:paraId="10E4FD2A" w14:textId="77777777" w:rsidR="000C0D9A" w:rsidRPr="0034771E" w:rsidRDefault="000C0D9A" w:rsidP="000C0D9A">
      <w:pPr>
        <w:spacing w:after="0"/>
        <w:ind w:firstLine="720"/>
        <w:jc w:val="both"/>
        <w:rPr>
          <w:rFonts w:ascii="Times New Roman" w:eastAsia="Times New Roman" w:hAnsi="Times New Roman" w:cs="Times New Roman"/>
          <w:color w:val="FF0000"/>
          <w:sz w:val="24"/>
          <w:szCs w:val="24"/>
          <w:lang w:eastAsia="en-GB"/>
        </w:rPr>
      </w:pPr>
    </w:p>
    <w:p w14:paraId="3BD0EACE" w14:textId="770099A7" w:rsidR="006E190B" w:rsidRDefault="006E190B" w:rsidP="00B9719A">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5. </w:t>
      </w:r>
      <w:r w:rsidRPr="00B9719A">
        <w:rPr>
          <w:rFonts w:ascii="Times New Roman" w:hAnsi="Times New Roman" w:cs="Times New Roman"/>
          <w:b/>
          <w:bCs/>
          <w:sz w:val="24"/>
          <w:szCs w:val="24"/>
        </w:rPr>
        <w:t>OCTA likum</w:t>
      </w:r>
      <w:r w:rsidR="003E254E">
        <w:rPr>
          <w:rFonts w:ascii="Times New Roman" w:hAnsi="Times New Roman" w:cs="Times New Roman"/>
          <w:b/>
          <w:bCs/>
          <w:sz w:val="24"/>
          <w:szCs w:val="24"/>
        </w:rPr>
        <w:t>a</w:t>
      </w:r>
      <w:r w:rsidRPr="00B9719A">
        <w:rPr>
          <w:rFonts w:ascii="Times New Roman" w:hAnsi="Times New Roman" w:cs="Times New Roman"/>
          <w:b/>
          <w:bCs/>
          <w:sz w:val="24"/>
          <w:szCs w:val="24"/>
        </w:rPr>
        <w:t xml:space="preserve"> grozījumu ietekme uz Garantijas fondu</w:t>
      </w:r>
    </w:p>
    <w:p w14:paraId="58CCC3AA" w14:textId="77777777" w:rsidR="009917A4" w:rsidRDefault="004241F7" w:rsidP="009917A4">
      <w:pPr>
        <w:spacing w:after="0" w:line="240" w:lineRule="auto"/>
        <w:ind w:firstLine="720"/>
        <w:jc w:val="both"/>
        <w:rPr>
          <w:rFonts w:ascii="Times New Roman" w:hAnsi="Times New Roman" w:cs="Times New Roman"/>
          <w:sz w:val="24"/>
          <w:szCs w:val="24"/>
        </w:rPr>
      </w:pPr>
      <w:r w:rsidRPr="00000A4A">
        <w:rPr>
          <w:rFonts w:ascii="Times New Roman" w:hAnsi="Times New Roman" w:cs="Times New Roman"/>
          <w:sz w:val="24"/>
          <w:szCs w:val="24"/>
        </w:rPr>
        <w:t>2021.gada 12.janvarī stājās spēkā</w:t>
      </w:r>
      <w:r w:rsidR="006E190B">
        <w:rPr>
          <w:rFonts w:ascii="Times New Roman" w:hAnsi="Times New Roman" w:cs="Times New Roman"/>
          <w:sz w:val="24"/>
          <w:szCs w:val="24"/>
        </w:rPr>
        <w:t xml:space="preserve"> grozījumi</w:t>
      </w:r>
      <w:r w:rsidRPr="00000A4A">
        <w:rPr>
          <w:rFonts w:ascii="Times New Roman" w:hAnsi="Times New Roman" w:cs="Times New Roman"/>
          <w:sz w:val="24"/>
          <w:szCs w:val="24"/>
        </w:rPr>
        <w:t xml:space="preserve"> </w:t>
      </w:r>
      <w:r w:rsidR="00F55DF2" w:rsidRPr="00000A4A">
        <w:rPr>
          <w:rFonts w:ascii="Times New Roman" w:hAnsi="Times New Roman" w:cs="Times New Roman"/>
          <w:sz w:val="24"/>
          <w:szCs w:val="24"/>
        </w:rPr>
        <w:t>OCTA likuma 14.panta 2</w:t>
      </w:r>
      <w:r w:rsidR="00F55DF2" w:rsidRPr="00000A4A">
        <w:rPr>
          <w:rFonts w:ascii="Times New Roman" w:hAnsi="Times New Roman" w:cs="Times New Roman"/>
          <w:sz w:val="24"/>
          <w:szCs w:val="24"/>
          <w:vertAlign w:val="superscript"/>
        </w:rPr>
        <w:t>1</w:t>
      </w:r>
      <w:r w:rsidR="00F55DF2" w:rsidRPr="00000A4A">
        <w:rPr>
          <w:rFonts w:ascii="Times New Roman" w:hAnsi="Times New Roman" w:cs="Times New Roman"/>
          <w:sz w:val="24"/>
          <w:szCs w:val="24"/>
        </w:rPr>
        <w:t>.daļ</w:t>
      </w:r>
      <w:r w:rsidR="006E190B">
        <w:rPr>
          <w:rFonts w:ascii="Times New Roman" w:hAnsi="Times New Roman" w:cs="Times New Roman"/>
          <w:sz w:val="24"/>
          <w:szCs w:val="24"/>
        </w:rPr>
        <w:t xml:space="preserve">ā, kas paredz, ka turpmāk </w:t>
      </w:r>
      <w:r w:rsidR="00F55DF2" w:rsidRPr="00000A4A">
        <w:rPr>
          <w:rFonts w:ascii="Times New Roman" w:hAnsi="Times New Roman" w:cs="Times New Roman"/>
          <w:sz w:val="24"/>
          <w:szCs w:val="24"/>
        </w:rPr>
        <w:t>OCTA likuma 14.panta otrajā daļā noteikt</w:t>
      </w:r>
      <w:r w:rsidR="00EE697A" w:rsidRPr="00000A4A">
        <w:rPr>
          <w:rFonts w:ascii="Times New Roman" w:hAnsi="Times New Roman" w:cs="Times New Roman"/>
          <w:sz w:val="24"/>
          <w:szCs w:val="24"/>
        </w:rPr>
        <w:t>ā</w:t>
      </w:r>
      <w:r w:rsidR="00F55DF2" w:rsidRPr="00000A4A">
        <w:rPr>
          <w:rFonts w:ascii="Times New Roman" w:hAnsi="Times New Roman" w:cs="Times New Roman"/>
          <w:sz w:val="24"/>
          <w:szCs w:val="24"/>
        </w:rPr>
        <w:t xml:space="preserve"> apdrošināšanas prēmijas maksājuma samazinājum</w:t>
      </w:r>
      <w:r w:rsidR="006E190B">
        <w:rPr>
          <w:rFonts w:ascii="Times New Roman" w:hAnsi="Times New Roman" w:cs="Times New Roman"/>
          <w:sz w:val="24"/>
          <w:szCs w:val="24"/>
        </w:rPr>
        <w:t xml:space="preserve">s var tikt piemērots </w:t>
      </w:r>
      <w:r w:rsidRPr="00000A4A">
        <w:rPr>
          <w:rFonts w:ascii="Times New Roman" w:hAnsi="Times New Roman" w:cs="Times New Roman"/>
          <w:sz w:val="24"/>
          <w:szCs w:val="24"/>
        </w:rPr>
        <w:t>tikai</w:t>
      </w:r>
      <w:r w:rsidR="00F55DF2" w:rsidRPr="00000A4A">
        <w:rPr>
          <w:rFonts w:ascii="Times New Roman" w:hAnsi="Times New Roman" w:cs="Times New Roman"/>
          <w:sz w:val="24"/>
          <w:szCs w:val="24"/>
        </w:rPr>
        <w:t xml:space="preserve"> vienam transportlīdzekļa īpašnieka (fiziskās personas) īpašumā vai — transportlīdzekļa līzinga gadījumā</w:t>
      </w:r>
      <w:r w:rsidR="00F55DF2" w:rsidRPr="00F55DF2">
        <w:rPr>
          <w:rFonts w:ascii="Times New Roman" w:hAnsi="Times New Roman" w:cs="Times New Roman"/>
          <w:sz w:val="24"/>
          <w:szCs w:val="24"/>
        </w:rPr>
        <w:t xml:space="preserve"> — transportlīdzekļa reģistrācijas apliecībā norādītā turētāja (fiziskās personas) vienam viņa turējumā esošam vieglajam transportlīdzeklim, kura pilna masa ir līdz 3,5 tonnām.</w:t>
      </w:r>
      <w:r w:rsidR="00F55DF2">
        <w:rPr>
          <w:rFonts w:ascii="Times New Roman" w:hAnsi="Times New Roman" w:cs="Times New Roman"/>
          <w:sz w:val="24"/>
          <w:szCs w:val="24"/>
        </w:rPr>
        <w:t xml:space="preserve"> Tas nozīmē, ka ir</w:t>
      </w:r>
      <w:r>
        <w:rPr>
          <w:rFonts w:ascii="Times New Roman" w:hAnsi="Times New Roman" w:cs="Times New Roman"/>
          <w:sz w:val="24"/>
          <w:szCs w:val="24"/>
        </w:rPr>
        <w:t xml:space="preserve"> </w:t>
      </w:r>
      <w:r w:rsidR="000C0D9A" w:rsidRPr="00DB1551">
        <w:rPr>
          <w:rFonts w:ascii="Times New Roman" w:hAnsi="Times New Roman" w:cs="Times New Roman"/>
          <w:sz w:val="24"/>
          <w:szCs w:val="24"/>
        </w:rPr>
        <w:t>samazinā</w:t>
      </w:r>
      <w:r w:rsidR="000C0D9A">
        <w:rPr>
          <w:rFonts w:ascii="Times New Roman" w:hAnsi="Times New Roman" w:cs="Times New Roman"/>
          <w:sz w:val="24"/>
          <w:szCs w:val="24"/>
        </w:rPr>
        <w:t xml:space="preserve">jies </w:t>
      </w:r>
      <w:r w:rsidR="006E190B">
        <w:rPr>
          <w:rFonts w:ascii="Times New Roman" w:hAnsi="Times New Roman" w:cs="Times New Roman"/>
          <w:sz w:val="24"/>
          <w:szCs w:val="24"/>
        </w:rPr>
        <w:t xml:space="preserve">to transportlīdzekļu skaits, kurus var apdrošinot, piemērojot 14.panta otrajā daļā noteikto prēmijas maksājuma samazinājumu. </w:t>
      </w:r>
      <w:r w:rsidR="009917A4">
        <w:rPr>
          <w:rFonts w:ascii="Times New Roman" w:hAnsi="Times New Roman" w:cs="Times New Roman"/>
          <w:sz w:val="24"/>
          <w:szCs w:val="24"/>
        </w:rPr>
        <w:t xml:space="preserve">To </w:t>
      </w:r>
      <w:r w:rsidR="000C0D9A">
        <w:rPr>
          <w:rFonts w:ascii="Times New Roman" w:hAnsi="Times New Roman" w:cs="Times New Roman"/>
          <w:sz w:val="24"/>
          <w:szCs w:val="24"/>
        </w:rPr>
        <w:t xml:space="preserve">apstiprina </w:t>
      </w:r>
      <w:r w:rsidR="009917A4">
        <w:rPr>
          <w:rFonts w:ascii="Times New Roman" w:hAnsi="Times New Roman" w:cs="Times New Roman"/>
          <w:sz w:val="24"/>
          <w:szCs w:val="24"/>
        </w:rPr>
        <w:t xml:space="preserve">arī </w:t>
      </w:r>
      <w:r w:rsidR="000C0D9A" w:rsidRPr="00040067">
        <w:rPr>
          <w:rFonts w:ascii="Times New Roman" w:hAnsi="Times New Roman" w:cs="Times New Roman"/>
          <w:sz w:val="24"/>
          <w:szCs w:val="24"/>
        </w:rPr>
        <w:t>dati par 2021.gada I pusgadu</w:t>
      </w:r>
      <w:r w:rsidR="009917A4">
        <w:rPr>
          <w:rFonts w:ascii="Times New Roman" w:hAnsi="Times New Roman" w:cs="Times New Roman"/>
          <w:sz w:val="24"/>
          <w:szCs w:val="24"/>
        </w:rPr>
        <w:t xml:space="preserve"> (skat. 1.tabulu un 1.grafiku)</w:t>
      </w:r>
      <w:r w:rsidR="000C0D9A" w:rsidRPr="00040067">
        <w:rPr>
          <w:rFonts w:ascii="Times New Roman" w:hAnsi="Times New Roman" w:cs="Times New Roman"/>
          <w:sz w:val="24"/>
          <w:szCs w:val="24"/>
        </w:rPr>
        <w:t xml:space="preserve">. </w:t>
      </w:r>
    </w:p>
    <w:p w14:paraId="427B4100" w14:textId="77777777" w:rsidR="000C0D9A" w:rsidRPr="001D0112" w:rsidRDefault="00576B4B" w:rsidP="000C0D9A">
      <w:pPr>
        <w:spacing w:after="0" w:line="240" w:lineRule="auto"/>
        <w:ind w:firstLine="720"/>
        <w:jc w:val="both"/>
        <w:rPr>
          <w:rFonts w:ascii="Times New Roman" w:hAnsi="Times New Roman" w:cs="Times New Roman"/>
          <w:sz w:val="24"/>
          <w:szCs w:val="24"/>
        </w:rPr>
      </w:pPr>
      <w:r w:rsidRPr="00040067">
        <w:rPr>
          <w:rFonts w:ascii="Times New Roman" w:hAnsi="Times New Roman" w:cs="Times New Roman"/>
          <w:sz w:val="24"/>
          <w:szCs w:val="24"/>
        </w:rPr>
        <w:t>Līdz brīdim, kad stājas spēkā OCTA likuma 14.panta 2</w:t>
      </w:r>
      <w:r w:rsidRPr="00040067">
        <w:rPr>
          <w:rFonts w:ascii="Times New Roman" w:hAnsi="Times New Roman" w:cs="Times New Roman"/>
          <w:sz w:val="24"/>
          <w:szCs w:val="24"/>
          <w:vertAlign w:val="superscript"/>
        </w:rPr>
        <w:t>1</w:t>
      </w:r>
      <w:r w:rsidRPr="00040067">
        <w:rPr>
          <w:rFonts w:ascii="Times New Roman" w:hAnsi="Times New Roman" w:cs="Times New Roman"/>
          <w:sz w:val="24"/>
          <w:szCs w:val="24"/>
        </w:rPr>
        <w:t xml:space="preserve">. daļas pirmais teikums, </w:t>
      </w:r>
      <w:r w:rsidR="000C0D9A" w:rsidRPr="00040067">
        <w:rPr>
          <w:rFonts w:ascii="Times New Roman" w:hAnsi="Times New Roman" w:cs="Times New Roman"/>
          <w:sz w:val="24"/>
          <w:szCs w:val="24"/>
        </w:rPr>
        <w:t>vairāk kā 34% personu, kurām bija noteikta invaliditāte, apdrošināja vairākus savā īpašumā esošus transportlīdzekļus, t.sk. arī kravas transportlīdzekļus, autobusus, motociklus un mopēdus. Ja Garantijas fond</w:t>
      </w:r>
      <w:r w:rsidR="004241F7" w:rsidRPr="00040067">
        <w:rPr>
          <w:rFonts w:ascii="Times New Roman" w:hAnsi="Times New Roman" w:cs="Times New Roman"/>
          <w:sz w:val="24"/>
          <w:szCs w:val="24"/>
        </w:rPr>
        <w:t>s</w:t>
      </w:r>
      <w:r w:rsidR="00B46DA8" w:rsidRPr="00040067">
        <w:rPr>
          <w:rFonts w:ascii="Times New Roman" w:hAnsi="Times New Roman" w:cs="Times New Roman"/>
          <w:sz w:val="24"/>
          <w:szCs w:val="24"/>
        </w:rPr>
        <w:t xml:space="preserve"> kompensē </w:t>
      </w:r>
      <w:r w:rsidR="001D0112">
        <w:rPr>
          <w:rFonts w:ascii="Times New Roman" w:hAnsi="Times New Roman" w:cs="Times New Roman"/>
          <w:sz w:val="24"/>
          <w:szCs w:val="24"/>
        </w:rPr>
        <w:t xml:space="preserve">OCTA </w:t>
      </w:r>
      <w:r w:rsidR="00B46DA8" w:rsidRPr="00040067">
        <w:rPr>
          <w:rFonts w:ascii="Times New Roman" w:hAnsi="Times New Roman" w:cs="Times New Roman"/>
          <w:sz w:val="24"/>
          <w:szCs w:val="24"/>
        </w:rPr>
        <w:t>prēmijas maksājuma samazinājumu</w:t>
      </w:r>
      <w:r w:rsidRPr="00040067">
        <w:rPr>
          <w:rFonts w:ascii="Times New Roman" w:hAnsi="Times New Roman" w:cs="Times New Roman"/>
          <w:sz w:val="24"/>
          <w:szCs w:val="24"/>
        </w:rPr>
        <w:t xml:space="preserve"> 40% apmērā</w:t>
      </w:r>
      <w:r w:rsidR="004241F7" w:rsidRPr="00040067">
        <w:rPr>
          <w:rFonts w:ascii="Times New Roman" w:hAnsi="Times New Roman" w:cs="Times New Roman"/>
          <w:sz w:val="24"/>
          <w:szCs w:val="24"/>
        </w:rPr>
        <w:t xml:space="preserve"> </w:t>
      </w:r>
      <w:r w:rsidR="00B46DA8" w:rsidRPr="00040067">
        <w:rPr>
          <w:rFonts w:ascii="Times New Roman" w:hAnsi="Times New Roman" w:cs="Times New Roman"/>
          <w:sz w:val="24"/>
          <w:szCs w:val="24"/>
        </w:rPr>
        <w:t xml:space="preserve">tikai vienam </w:t>
      </w:r>
      <w:r w:rsidRPr="00040067">
        <w:rPr>
          <w:rFonts w:ascii="Times New Roman" w:hAnsi="Times New Roman" w:cs="Times New Roman"/>
          <w:sz w:val="24"/>
          <w:szCs w:val="24"/>
        </w:rPr>
        <w:t xml:space="preserve">attiecīgā </w:t>
      </w:r>
      <w:r w:rsidR="00B46DA8" w:rsidRPr="00040067">
        <w:rPr>
          <w:rFonts w:ascii="Times New Roman" w:hAnsi="Times New Roman" w:cs="Times New Roman"/>
          <w:sz w:val="24"/>
          <w:szCs w:val="24"/>
        </w:rPr>
        <w:t>transportlīdzekļa īpašnieka</w:t>
      </w:r>
      <w:r w:rsidRPr="00040067">
        <w:rPr>
          <w:rFonts w:ascii="Times New Roman" w:hAnsi="Times New Roman" w:cs="Times New Roman"/>
          <w:sz w:val="24"/>
          <w:szCs w:val="24"/>
        </w:rPr>
        <w:t xml:space="preserve"> </w:t>
      </w:r>
      <w:r w:rsidR="00B46DA8" w:rsidRPr="00040067">
        <w:rPr>
          <w:rFonts w:ascii="Times New Roman" w:hAnsi="Times New Roman" w:cs="Times New Roman"/>
          <w:sz w:val="24"/>
          <w:szCs w:val="24"/>
        </w:rPr>
        <w:t xml:space="preserve">īpašumā vai turējumā esošam vieglajam transportlīdzeklim, kura pilna masa ir līdz 3,5 tonnām, </w:t>
      </w:r>
      <w:r w:rsidR="000C0D9A" w:rsidRPr="00040067">
        <w:rPr>
          <w:rFonts w:ascii="Times New Roman" w:hAnsi="Times New Roman" w:cs="Times New Roman"/>
          <w:sz w:val="24"/>
          <w:szCs w:val="24"/>
        </w:rPr>
        <w:t>tad Garantijas fond</w:t>
      </w:r>
      <w:r w:rsidR="009917A4">
        <w:rPr>
          <w:rFonts w:ascii="Times New Roman" w:hAnsi="Times New Roman" w:cs="Times New Roman"/>
          <w:sz w:val="24"/>
          <w:szCs w:val="24"/>
        </w:rPr>
        <w:t>a izdevumi</w:t>
      </w:r>
      <w:r w:rsidR="001C06E3">
        <w:rPr>
          <w:rFonts w:ascii="Times New Roman" w:hAnsi="Times New Roman" w:cs="Times New Roman"/>
          <w:sz w:val="24"/>
          <w:szCs w:val="24"/>
        </w:rPr>
        <w:t xml:space="preserve"> </w:t>
      </w:r>
      <w:r w:rsidR="000C0D9A" w:rsidRPr="00040067">
        <w:rPr>
          <w:rFonts w:ascii="Times New Roman" w:hAnsi="Times New Roman" w:cs="Times New Roman"/>
          <w:sz w:val="24"/>
          <w:szCs w:val="24"/>
        </w:rPr>
        <w:t xml:space="preserve">gada laikā varētu </w:t>
      </w:r>
      <w:r w:rsidR="009917A4">
        <w:rPr>
          <w:rFonts w:ascii="Times New Roman" w:hAnsi="Times New Roman" w:cs="Times New Roman"/>
          <w:sz w:val="24"/>
          <w:szCs w:val="24"/>
        </w:rPr>
        <w:t xml:space="preserve">samazināties par </w:t>
      </w:r>
      <w:r w:rsidR="000C0D9A" w:rsidRPr="00040067">
        <w:rPr>
          <w:rFonts w:ascii="Times New Roman" w:hAnsi="Times New Roman" w:cs="Times New Roman"/>
          <w:sz w:val="24"/>
          <w:szCs w:val="24"/>
        </w:rPr>
        <w:t xml:space="preserve">apmēram 300 000 EUR. Šo </w:t>
      </w:r>
      <w:r w:rsidR="00EE697A" w:rsidRPr="00040067">
        <w:rPr>
          <w:rFonts w:ascii="Times New Roman" w:hAnsi="Times New Roman" w:cs="Times New Roman"/>
          <w:sz w:val="24"/>
          <w:szCs w:val="24"/>
        </w:rPr>
        <w:t>aprēķinu</w:t>
      </w:r>
      <w:r w:rsidR="00EE697A">
        <w:rPr>
          <w:rFonts w:ascii="Times New Roman" w:hAnsi="Times New Roman" w:cs="Times New Roman"/>
          <w:sz w:val="24"/>
          <w:szCs w:val="24"/>
        </w:rPr>
        <w:t xml:space="preserve"> </w:t>
      </w:r>
      <w:r w:rsidR="000C0D9A" w:rsidRPr="00DB1551">
        <w:rPr>
          <w:rFonts w:ascii="Times New Roman" w:hAnsi="Times New Roman" w:cs="Times New Roman"/>
          <w:sz w:val="24"/>
          <w:szCs w:val="24"/>
        </w:rPr>
        <w:t xml:space="preserve">apstiprina arī faktiskie dati par 2021.gada </w:t>
      </w:r>
      <w:r w:rsidR="000C0D9A">
        <w:rPr>
          <w:rFonts w:ascii="Times New Roman" w:hAnsi="Times New Roman" w:cs="Times New Roman"/>
          <w:sz w:val="24"/>
          <w:szCs w:val="24"/>
        </w:rPr>
        <w:t>I pusgadu</w:t>
      </w:r>
      <w:r w:rsidR="00B46DA8">
        <w:rPr>
          <w:rFonts w:ascii="Times New Roman" w:hAnsi="Times New Roman" w:cs="Times New Roman"/>
          <w:sz w:val="24"/>
          <w:szCs w:val="24"/>
        </w:rPr>
        <w:t>. J</w:t>
      </w:r>
      <w:r w:rsidR="000C0D9A" w:rsidRPr="00DB1551">
        <w:rPr>
          <w:rFonts w:ascii="Times New Roman" w:hAnsi="Times New Roman" w:cs="Times New Roman"/>
          <w:sz w:val="24"/>
          <w:szCs w:val="24"/>
        </w:rPr>
        <w:t xml:space="preserve">a šī gada </w:t>
      </w:r>
      <w:r w:rsidR="009917A4">
        <w:rPr>
          <w:rFonts w:ascii="Times New Roman" w:hAnsi="Times New Roman" w:cs="Times New Roman"/>
          <w:sz w:val="24"/>
          <w:szCs w:val="24"/>
        </w:rPr>
        <w:t xml:space="preserve">pirmā </w:t>
      </w:r>
      <w:r w:rsidR="000C0D9A">
        <w:rPr>
          <w:rFonts w:ascii="Times New Roman" w:hAnsi="Times New Roman" w:cs="Times New Roman"/>
          <w:sz w:val="24"/>
          <w:szCs w:val="24"/>
        </w:rPr>
        <w:t>pusgada</w:t>
      </w:r>
      <w:r w:rsidR="000C0D9A" w:rsidRPr="00DB1551">
        <w:rPr>
          <w:rFonts w:ascii="Times New Roman" w:hAnsi="Times New Roman" w:cs="Times New Roman"/>
          <w:sz w:val="24"/>
          <w:szCs w:val="24"/>
        </w:rPr>
        <w:t xml:space="preserve"> datus salīdzina ar 2020.gada </w:t>
      </w:r>
      <w:r w:rsidR="009917A4">
        <w:rPr>
          <w:rFonts w:ascii="Times New Roman" w:hAnsi="Times New Roman" w:cs="Times New Roman"/>
          <w:sz w:val="24"/>
          <w:szCs w:val="24"/>
        </w:rPr>
        <w:t xml:space="preserve">pirmā </w:t>
      </w:r>
      <w:r w:rsidR="000C0D9A">
        <w:rPr>
          <w:rFonts w:ascii="Times New Roman" w:hAnsi="Times New Roman" w:cs="Times New Roman"/>
          <w:sz w:val="24"/>
          <w:szCs w:val="24"/>
        </w:rPr>
        <w:t>pusgada</w:t>
      </w:r>
      <w:r w:rsidR="000C0D9A" w:rsidRPr="00DB1551">
        <w:rPr>
          <w:rFonts w:ascii="Times New Roman" w:hAnsi="Times New Roman" w:cs="Times New Roman"/>
          <w:sz w:val="24"/>
          <w:szCs w:val="24"/>
        </w:rPr>
        <w:t xml:space="preserve"> datiem, tad var </w:t>
      </w:r>
      <w:r>
        <w:rPr>
          <w:rFonts w:ascii="Times New Roman" w:hAnsi="Times New Roman" w:cs="Times New Roman"/>
          <w:sz w:val="24"/>
          <w:szCs w:val="24"/>
        </w:rPr>
        <w:t>secināt</w:t>
      </w:r>
      <w:r w:rsidR="000C0D9A" w:rsidRPr="00DB1551">
        <w:rPr>
          <w:rFonts w:ascii="Times New Roman" w:hAnsi="Times New Roman" w:cs="Times New Roman"/>
          <w:sz w:val="24"/>
          <w:szCs w:val="24"/>
        </w:rPr>
        <w:t>, ka ir vērojams samazinājums kompensāciju izmaksās no Garantijas fonda</w:t>
      </w:r>
      <w:r w:rsidR="009917A4">
        <w:rPr>
          <w:rFonts w:ascii="Times New Roman" w:hAnsi="Times New Roman" w:cs="Times New Roman"/>
          <w:sz w:val="24"/>
          <w:szCs w:val="24"/>
        </w:rPr>
        <w:t xml:space="preserve"> 209 159 EUR apmērā</w:t>
      </w:r>
      <w:r w:rsidR="000C0D9A">
        <w:rPr>
          <w:rFonts w:ascii="Times New Roman" w:hAnsi="Times New Roman" w:cs="Times New Roman"/>
          <w:sz w:val="24"/>
          <w:szCs w:val="24"/>
        </w:rPr>
        <w:t xml:space="preserve">  (skat. </w:t>
      </w:r>
      <w:r w:rsidR="009917A4">
        <w:rPr>
          <w:rFonts w:ascii="Times New Roman" w:hAnsi="Times New Roman" w:cs="Times New Roman"/>
          <w:sz w:val="24"/>
          <w:szCs w:val="24"/>
        </w:rPr>
        <w:t>3</w:t>
      </w:r>
      <w:r w:rsidR="000C0D9A">
        <w:rPr>
          <w:rFonts w:ascii="Times New Roman" w:hAnsi="Times New Roman" w:cs="Times New Roman"/>
          <w:sz w:val="24"/>
          <w:szCs w:val="24"/>
        </w:rPr>
        <w:t>.tabulu). Lai rēķinātu ietaupījumu gada griezumā, 2021.gada I pusgada ietaupījumu nevar vienkārši sareizināt ar divi, jo jāņem vērā arī tas, ka 2021.gada I pusgadā spēkā bija vēl daudz</w:t>
      </w:r>
      <w:r>
        <w:rPr>
          <w:rFonts w:ascii="Times New Roman" w:hAnsi="Times New Roman" w:cs="Times New Roman"/>
          <w:sz w:val="24"/>
          <w:szCs w:val="24"/>
        </w:rPr>
        <w:t xml:space="preserve"> apdrošināšanas </w:t>
      </w:r>
      <w:r w:rsidR="000C0D9A">
        <w:rPr>
          <w:rFonts w:ascii="Times New Roman" w:hAnsi="Times New Roman" w:cs="Times New Roman"/>
          <w:sz w:val="24"/>
          <w:szCs w:val="24"/>
        </w:rPr>
        <w:t>līgum</w:t>
      </w:r>
      <w:r>
        <w:rPr>
          <w:rFonts w:ascii="Times New Roman" w:hAnsi="Times New Roman" w:cs="Times New Roman"/>
          <w:sz w:val="24"/>
          <w:szCs w:val="24"/>
        </w:rPr>
        <w:t>u</w:t>
      </w:r>
      <w:r w:rsidR="000C0D9A">
        <w:rPr>
          <w:rFonts w:ascii="Times New Roman" w:hAnsi="Times New Roman" w:cs="Times New Roman"/>
          <w:sz w:val="24"/>
          <w:szCs w:val="24"/>
        </w:rPr>
        <w:t>, k</w:t>
      </w:r>
      <w:r>
        <w:rPr>
          <w:rFonts w:ascii="Times New Roman" w:hAnsi="Times New Roman" w:cs="Times New Roman"/>
          <w:sz w:val="24"/>
          <w:szCs w:val="24"/>
        </w:rPr>
        <w:t>uri tika no</w:t>
      </w:r>
      <w:r w:rsidR="000C0D9A">
        <w:rPr>
          <w:rFonts w:ascii="Times New Roman" w:hAnsi="Times New Roman" w:cs="Times New Roman"/>
          <w:sz w:val="24"/>
          <w:szCs w:val="24"/>
        </w:rPr>
        <w:t xml:space="preserve">slēgti 2020.gadā. Līdz ar to </w:t>
      </w:r>
      <w:r w:rsidR="000C0D9A" w:rsidRPr="00DB1551">
        <w:rPr>
          <w:rFonts w:ascii="Times New Roman" w:hAnsi="Times New Roman" w:cs="Times New Roman"/>
          <w:sz w:val="24"/>
          <w:szCs w:val="24"/>
        </w:rPr>
        <w:t>gada griezumā ietaupījums</w:t>
      </w:r>
      <w:r w:rsidR="000C0D9A">
        <w:rPr>
          <w:rFonts w:ascii="Times New Roman" w:hAnsi="Times New Roman" w:cs="Times New Roman"/>
          <w:sz w:val="24"/>
          <w:szCs w:val="24"/>
        </w:rPr>
        <w:t xml:space="preserve"> </w:t>
      </w:r>
      <w:r w:rsidR="009917A4">
        <w:rPr>
          <w:rFonts w:ascii="Times New Roman" w:hAnsi="Times New Roman" w:cs="Times New Roman"/>
          <w:sz w:val="24"/>
          <w:szCs w:val="24"/>
        </w:rPr>
        <w:t xml:space="preserve">pēc LTAB aplēsēm </w:t>
      </w:r>
      <w:r w:rsidR="000C0D9A">
        <w:rPr>
          <w:rFonts w:ascii="Times New Roman" w:hAnsi="Times New Roman" w:cs="Times New Roman"/>
          <w:sz w:val="24"/>
          <w:szCs w:val="24"/>
        </w:rPr>
        <w:t xml:space="preserve">varētu </w:t>
      </w:r>
      <w:r w:rsidR="000C0D9A" w:rsidRPr="00DB1551">
        <w:rPr>
          <w:rFonts w:ascii="Times New Roman" w:hAnsi="Times New Roman" w:cs="Times New Roman"/>
          <w:sz w:val="24"/>
          <w:szCs w:val="24"/>
        </w:rPr>
        <w:t>sasniegt apmēram 300</w:t>
      </w:r>
      <w:r w:rsidR="000C0D9A">
        <w:rPr>
          <w:rFonts w:ascii="Times New Roman" w:hAnsi="Times New Roman" w:cs="Times New Roman"/>
          <w:sz w:val="24"/>
          <w:szCs w:val="24"/>
        </w:rPr>
        <w:t> </w:t>
      </w:r>
      <w:r w:rsidR="000C0D9A" w:rsidRPr="00DB1551">
        <w:rPr>
          <w:rFonts w:ascii="Times New Roman" w:hAnsi="Times New Roman" w:cs="Times New Roman"/>
          <w:sz w:val="24"/>
          <w:szCs w:val="24"/>
        </w:rPr>
        <w:t>000 EUR.</w:t>
      </w:r>
    </w:p>
    <w:p w14:paraId="0D797A97" w14:textId="77777777" w:rsidR="000C0D9A" w:rsidRDefault="000C0D9A" w:rsidP="000C0D9A">
      <w:pPr>
        <w:spacing w:after="0" w:line="240" w:lineRule="auto"/>
        <w:ind w:firstLine="720"/>
        <w:jc w:val="both"/>
        <w:rPr>
          <w:rFonts w:ascii="Times New Roman" w:hAnsi="Times New Roman" w:cs="Times New Roman"/>
          <w:sz w:val="24"/>
          <w:szCs w:val="24"/>
        </w:rPr>
      </w:pPr>
    </w:p>
    <w:p w14:paraId="0860A151" w14:textId="77777777" w:rsidR="000C0D9A" w:rsidRDefault="009917A4" w:rsidP="000C0D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0C0D9A">
        <w:rPr>
          <w:rFonts w:ascii="Times New Roman" w:hAnsi="Times New Roman" w:cs="Times New Roman"/>
          <w:sz w:val="24"/>
          <w:szCs w:val="24"/>
        </w:rPr>
        <w:t>.tabula</w:t>
      </w:r>
    </w:p>
    <w:p w14:paraId="7E194536" w14:textId="77777777" w:rsidR="000C0D9A" w:rsidRDefault="000C0D9A" w:rsidP="000C0D9A">
      <w:pPr>
        <w:spacing w:after="0" w:line="240" w:lineRule="auto"/>
        <w:ind w:firstLine="720"/>
        <w:jc w:val="both"/>
        <w:rPr>
          <w:rFonts w:ascii="Times New Roman" w:hAnsi="Times New Roman" w:cs="Times New Roman"/>
          <w:sz w:val="24"/>
          <w:szCs w:val="24"/>
        </w:rPr>
      </w:pPr>
    </w:p>
    <w:p w14:paraId="2A812FF0" w14:textId="77777777" w:rsidR="000C0D9A" w:rsidRDefault="000C0D9A" w:rsidP="000C0D9A">
      <w:pPr>
        <w:spacing w:after="0" w:line="240" w:lineRule="auto"/>
        <w:jc w:val="both"/>
        <w:rPr>
          <w:rFonts w:ascii="Times New Roman" w:hAnsi="Times New Roman" w:cs="Times New Roman"/>
          <w:sz w:val="24"/>
          <w:szCs w:val="24"/>
        </w:rPr>
      </w:pPr>
      <w:r>
        <w:rPr>
          <w:noProof/>
          <w:lang w:eastAsia="lv-LV"/>
        </w:rPr>
        <w:drawing>
          <wp:inline distT="0" distB="0" distL="0" distR="0" wp14:anchorId="3A7E99DD" wp14:editId="25E1815D">
            <wp:extent cx="5935980" cy="1133475"/>
            <wp:effectExtent l="0" t="0" r="7620" b="9525"/>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35980" cy="1133475"/>
                    </a:xfrm>
                    <a:prstGeom prst="rect">
                      <a:avLst/>
                    </a:prstGeom>
                    <a:noFill/>
                    <a:ln>
                      <a:noFill/>
                    </a:ln>
                  </pic:spPr>
                </pic:pic>
              </a:graphicData>
            </a:graphic>
          </wp:inline>
        </w:drawing>
      </w:r>
    </w:p>
    <w:p w14:paraId="3918E5D3" w14:textId="77777777" w:rsidR="00917080" w:rsidRDefault="00917080" w:rsidP="000C0D9A">
      <w:pPr>
        <w:jc w:val="both"/>
        <w:rPr>
          <w:rFonts w:ascii="Times New Roman" w:hAnsi="Times New Roman" w:cs="Times New Roman"/>
          <w:sz w:val="24"/>
          <w:szCs w:val="24"/>
        </w:rPr>
      </w:pPr>
    </w:p>
    <w:p w14:paraId="0B35AF1D" w14:textId="77777777" w:rsidR="000C0D9A" w:rsidRPr="002F1419" w:rsidRDefault="00917080" w:rsidP="000C0D9A">
      <w:pPr>
        <w:jc w:val="both"/>
        <w:rPr>
          <w:rFonts w:ascii="Times New Roman" w:hAnsi="Times New Roman" w:cs="Times New Roman"/>
          <w:sz w:val="24"/>
          <w:szCs w:val="24"/>
        </w:rPr>
      </w:pPr>
      <w:r>
        <w:rPr>
          <w:rFonts w:ascii="Times New Roman" w:hAnsi="Times New Roman" w:cs="Times New Roman"/>
          <w:sz w:val="24"/>
          <w:szCs w:val="24"/>
        </w:rPr>
        <w:tab/>
      </w:r>
      <w:r w:rsidR="009917A4">
        <w:rPr>
          <w:rFonts w:ascii="Times New Roman" w:hAnsi="Times New Roman" w:cs="Times New Roman"/>
          <w:sz w:val="24"/>
          <w:szCs w:val="24"/>
        </w:rPr>
        <w:t xml:space="preserve">Savukārt </w:t>
      </w:r>
      <w:r w:rsidRPr="00917080">
        <w:rPr>
          <w:rFonts w:ascii="Times New Roman" w:hAnsi="Times New Roman" w:cs="Times New Roman"/>
          <w:sz w:val="24"/>
          <w:szCs w:val="24"/>
        </w:rPr>
        <w:t>2021.gada 1.jūlijā stājās spēkā</w:t>
      </w:r>
      <w:r>
        <w:rPr>
          <w:rFonts w:ascii="Times New Roman" w:hAnsi="Times New Roman" w:cs="Times New Roman"/>
          <w:sz w:val="24"/>
          <w:szCs w:val="24"/>
        </w:rPr>
        <w:t xml:space="preserve"> </w:t>
      </w:r>
      <w:r w:rsidR="00400DB8" w:rsidRPr="00917080">
        <w:rPr>
          <w:rFonts w:ascii="Times New Roman" w:hAnsi="Times New Roman" w:cs="Times New Roman"/>
          <w:sz w:val="24"/>
          <w:szCs w:val="24"/>
        </w:rPr>
        <w:t>OCTA likuma 14.panta otrā</w:t>
      </w:r>
      <w:r w:rsidR="00400DB8">
        <w:rPr>
          <w:rFonts w:ascii="Times New Roman" w:hAnsi="Times New Roman" w:cs="Times New Roman"/>
          <w:sz w:val="24"/>
          <w:szCs w:val="24"/>
        </w:rPr>
        <w:t>s</w:t>
      </w:r>
      <w:r w:rsidR="00400DB8" w:rsidRPr="00917080">
        <w:rPr>
          <w:rFonts w:ascii="Times New Roman" w:hAnsi="Times New Roman" w:cs="Times New Roman"/>
          <w:sz w:val="24"/>
          <w:szCs w:val="24"/>
        </w:rPr>
        <w:t xml:space="preserve"> daļa</w:t>
      </w:r>
      <w:r w:rsidR="00400DB8">
        <w:rPr>
          <w:rFonts w:ascii="Times New Roman" w:hAnsi="Times New Roman" w:cs="Times New Roman"/>
          <w:sz w:val="24"/>
          <w:szCs w:val="24"/>
        </w:rPr>
        <w:t xml:space="preserve">s 3.punkts, saskaņā ar kuru </w:t>
      </w:r>
      <w:r w:rsidRPr="00917080">
        <w:rPr>
          <w:rFonts w:ascii="Times New Roman" w:hAnsi="Times New Roman" w:cs="Times New Roman"/>
          <w:sz w:val="24"/>
          <w:szCs w:val="24"/>
        </w:rPr>
        <w:t>apdrošinātāja noteiktās apdrošināšanas prēmijas maksājums par 40 procentiem tiek samazināts transportlīdzekļu īpašniekiem, kuri ir</w:t>
      </w:r>
      <w:r w:rsidR="00400DB8">
        <w:rPr>
          <w:rFonts w:ascii="Times New Roman" w:hAnsi="Times New Roman" w:cs="Times New Roman"/>
          <w:sz w:val="24"/>
          <w:szCs w:val="24"/>
        </w:rPr>
        <w:t xml:space="preserve"> </w:t>
      </w:r>
      <w:r w:rsidRPr="00917080">
        <w:rPr>
          <w:rFonts w:ascii="Times New Roman" w:hAnsi="Times New Roman" w:cs="Times New Roman"/>
          <w:sz w:val="24"/>
          <w:szCs w:val="24"/>
        </w:rPr>
        <w:t xml:space="preserve">vecāki, aizbildņi vai audžuģimene, kura nodrošina nepilngadīga bērna ar invaliditāti </w:t>
      </w:r>
      <w:r w:rsidRPr="00833F5A">
        <w:rPr>
          <w:rFonts w:ascii="Times New Roman" w:hAnsi="Times New Roman" w:cs="Times New Roman"/>
          <w:sz w:val="24"/>
          <w:szCs w:val="24"/>
        </w:rPr>
        <w:t>aprūpi</w:t>
      </w:r>
      <w:r w:rsidR="00400DB8" w:rsidRPr="00833F5A">
        <w:rPr>
          <w:rFonts w:ascii="Times New Roman" w:hAnsi="Times New Roman" w:cs="Times New Roman"/>
          <w:sz w:val="24"/>
          <w:szCs w:val="24"/>
        </w:rPr>
        <w:t xml:space="preserve">. </w:t>
      </w:r>
      <w:r w:rsidR="009917A4">
        <w:rPr>
          <w:rFonts w:ascii="Times New Roman" w:hAnsi="Times New Roman" w:cs="Times New Roman"/>
          <w:sz w:val="24"/>
          <w:szCs w:val="24"/>
        </w:rPr>
        <w:t>A</w:t>
      </w:r>
      <w:r w:rsidR="000C0D9A" w:rsidRPr="00833F5A">
        <w:rPr>
          <w:rFonts w:ascii="Times New Roman" w:hAnsi="Times New Roman" w:cs="Times New Roman"/>
          <w:sz w:val="24"/>
          <w:szCs w:val="24"/>
        </w:rPr>
        <w:t xml:space="preserve">tbilstoši </w:t>
      </w:r>
      <w:r w:rsidR="00CD3B3D">
        <w:rPr>
          <w:rFonts w:ascii="Times New Roman" w:hAnsi="Times New Roman" w:cs="Times New Roman"/>
          <w:sz w:val="24"/>
          <w:szCs w:val="24"/>
        </w:rPr>
        <w:t xml:space="preserve">grozījumu priekšlikuma autoru </w:t>
      </w:r>
      <w:r w:rsidR="000C0D9A" w:rsidRPr="00833F5A">
        <w:rPr>
          <w:rFonts w:ascii="Times New Roman" w:hAnsi="Times New Roman" w:cs="Times New Roman"/>
          <w:sz w:val="24"/>
          <w:szCs w:val="24"/>
        </w:rPr>
        <w:t xml:space="preserve">veiktajam aprēķinam, kas tika iesniegts Saeimā, </w:t>
      </w:r>
      <w:r w:rsidR="00833F5A" w:rsidRPr="00833F5A">
        <w:rPr>
          <w:rFonts w:ascii="Times New Roman" w:hAnsi="Times New Roman" w:cs="Times New Roman"/>
          <w:sz w:val="24"/>
          <w:szCs w:val="24"/>
        </w:rPr>
        <w:t>diskutējot</w:t>
      </w:r>
      <w:r w:rsidR="00400DB8" w:rsidRPr="00833F5A">
        <w:rPr>
          <w:rFonts w:ascii="Times New Roman" w:hAnsi="Times New Roman" w:cs="Times New Roman"/>
          <w:sz w:val="24"/>
          <w:szCs w:val="24"/>
        </w:rPr>
        <w:t xml:space="preserve"> par apdrošināšanas prēmijas maksājum</w:t>
      </w:r>
      <w:r w:rsidR="00833F5A" w:rsidRPr="00833F5A">
        <w:rPr>
          <w:rFonts w:ascii="Times New Roman" w:hAnsi="Times New Roman" w:cs="Times New Roman"/>
          <w:sz w:val="24"/>
          <w:szCs w:val="24"/>
        </w:rPr>
        <w:t xml:space="preserve">a </w:t>
      </w:r>
      <w:r w:rsidR="00400DB8" w:rsidRPr="00833F5A">
        <w:rPr>
          <w:rFonts w:ascii="Times New Roman" w:hAnsi="Times New Roman" w:cs="Times New Roman"/>
          <w:sz w:val="24"/>
          <w:szCs w:val="24"/>
        </w:rPr>
        <w:t>samazinā</w:t>
      </w:r>
      <w:r w:rsidR="00833F5A" w:rsidRPr="00833F5A">
        <w:rPr>
          <w:rFonts w:ascii="Times New Roman" w:hAnsi="Times New Roman" w:cs="Times New Roman"/>
          <w:sz w:val="24"/>
          <w:szCs w:val="24"/>
        </w:rPr>
        <w:t>jumu</w:t>
      </w:r>
      <w:r w:rsidR="00400DB8" w:rsidRPr="00833F5A">
        <w:rPr>
          <w:rFonts w:ascii="Times New Roman" w:hAnsi="Times New Roman" w:cs="Times New Roman"/>
          <w:sz w:val="24"/>
          <w:szCs w:val="24"/>
        </w:rPr>
        <w:t xml:space="preserve"> transportlīdzekļu īpašniekiem, kuri ir vecāki, aizbildņi vai audžuģimene, kura nodrošina nepilngadīga bērna ar invaliditāti aprūpi</w:t>
      </w:r>
      <w:r w:rsidR="000C0D9A" w:rsidRPr="00833F5A">
        <w:rPr>
          <w:rFonts w:ascii="Times New Roman" w:hAnsi="Times New Roman" w:cs="Times New Roman"/>
          <w:sz w:val="24"/>
          <w:szCs w:val="24"/>
        </w:rPr>
        <w:t xml:space="preserve">, tika minēts, ka </w:t>
      </w:r>
      <w:r w:rsidR="00833F5A">
        <w:rPr>
          <w:rFonts w:ascii="Times New Roman" w:hAnsi="Times New Roman" w:cs="Times New Roman"/>
          <w:sz w:val="24"/>
          <w:szCs w:val="24"/>
        </w:rPr>
        <w:t xml:space="preserve">prēmijas </w:t>
      </w:r>
      <w:r w:rsidR="000C0D9A" w:rsidRPr="00833F5A">
        <w:rPr>
          <w:rFonts w:ascii="Times New Roman" w:hAnsi="Times New Roman" w:cs="Times New Roman"/>
          <w:sz w:val="24"/>
          <w:szCs w:val="24"/>
        </w:rPr>
        <w:t>samazinājum</w:t>
      </w:r>
      <w:r w:rsidR="000D25A3">
        <w:rPr>
          <w:rFonts w:ascii="Times New Roman" w:hAnsi="Times New Roman" w:cs="Times New Roman"/>
          <w:sz w:val="24"/>
          <w:szCs w:val="24"/>
        </w:rPr>
        <w:t>a kopējās izmaksas</w:t>
      </w:r>
      <w:r w:rsidR="000C0D9A" w:rsidRPr="00833F5A">
        <w:rPr>
          <w:rFonts w:ascii="Times New Roman" w:hAnsi="Times New Roman" w:cs="Times New Roman"/>
          <w:sz w:val="24"/>
          <w:szCs w:val="24"/>
        </w:rPr>
        <w:t xml:space="preserve"> no Garantijas fonda šīm ģimenēm (valstī ir apmēram 7 000 šādu ģimeņu) varētu sastādīt  280 000 EUR apmērā</w:t>
      </w:r>
      <w:r w:rsidR="000D25A3">
        <w:rPr>
          <w:rFonts w:ascii="Times New Roman" w:hAnsi="Times New Roman" w:cs="Times New Roman"/>
          <w:sz w:val="24"/>
          <w:szCs w:val="24"/>
        </w:rPr>
        <w:t xml:space="preserve"> </w:t>
      </w:r>
      <w:r w:rsidR="00400DB8" w:rsidRPr="00833F5A">
        <w:rPr>
          <w:rFonts w:ascii="Times New Roman" w:hAnsi="Times New Roman" w:cs="Times New Roman"/>
          <w:sz w:val="24"/>
          <w:szCs w:val="24"/>
        </w:rPr>
        <w:t>ar</w:t>
      </w:r>
      <w:r w:rsidR="000C0D9A" w:rsidRPr="00833F5A">
        <w:rPr>
          <w:rFonts w:ascii="Times New Roman" w:hAnsi="Times New Roman" w:cs="Times New Roman"/>
          <w:sz w:val="24"/>
          <w:szCs w:val="24"/>
        </w:rPr>
        <w:t xml:space="preserve"> nosacījum</w:t>
      </w:r>
      <w:r w:rsidR="00400DB8" w:rsidRPr="00833F5A">
        <w:rPr>
          <w:rFonts w:ascii="Times New Roman" w:hAnsi="Times New Roman" w:cs="Times New Roman"/>
          <w:sz w:val="24"/>
          <w:szCs w:val="24"/>
        </w:rPr>
        <w:t>u</w:t>
      </w:r>
      <w:r w:rsidR="000C0D9A" w:rsidRPr="00833F5A">
        <w:rPr>
          <w:rFonts w:ascii="Times New Roman" w:hAnsi="Times New Roman" w:cs="Times New Roman"/>
          <w:sz w:val="24"/>
          <w:szCs w:val="24"/>
        </w:rPr>
        <w:t xml:space="preserve">, </w:t>
      </w:r>
      <w:r w:rsidR="00400DB8" w:rsidRPr="00833F5A">
        <w:rPr>
          <w:rFonts w:ascii="Times New Roman" w:hAnsi="Times New Roman" w:cs="Times New Roman"/>
          <w:sz w:val="24"/>
          <w:szCs w:val="24"/>
        </w:rPr>
        <w:t>ka</w:t>
      </w:r>
      <w:r w:rsidR="000C0D9A" w:rsidRPr="00833F5A">
        <w:rPr>
          <w:rFonts w:ascii="Times New Roman" w:hAnsi="Times New Roman" w:cs="Times New Roman"/>
          <w:sz w:val="24"/>
          <w:szCs w:val="24"/>
        </w:rPr>
        <w:t xml:space="preserve"> vidējā apdrošināšanas prēmija ir apmēram 100 EUR.   Savukārt atbilstoši Labklājības</w:t>
      </w:r>
      <w:r w:rsidR="000C0D9A" w:rsidRPr="00BE58B4">
        <w:rPr>
          <w:rFonts w:ascii="Times New Roman" w:hAnsi="Times New Roman" w:cs="Times New Roman"/>
          <w:sz w:val="24"/>
          <w:szCs w:val="24"/>
        </w:rPr>
        <w:t xml:space="preserve"> ministrijas sniegtajai informācijai 2021.gada aprīlī (bērni ar invaliditāti – 8636, 8180 bērnus ar invaliditāti audzina vecāki, 214 bērnus ar invaliditāti audzina aizbildņi, 134 bērnus ar invaliditāti audzina audžuvecāki) arī iespējams nonākt pie līdzīga secinājuma. Pieņemot, ka var būt ģimenes, kurās aug vairāki bērni ar invaliditāti, noteikti ir ģimenes ar vairākiem transportlīdzekļiem un ir ģimenes, kurās nav transportlīdzekļu, un, pieņemot, ka apmēram 7500 transportlīdzekļiem būs nepieciešams iegādāties OCTA polises </w:t>
      </w:r>
      <w:r w:rsidR="000C0D9A" w:rsidRPr="00BE58B4">
        <w:rPr>
          <w:rFonts w:ascii="Times New Roman" w:hAnsi="Times New Roman" w:cs="Times New Roman"/>
          <w:sz w:val="24"/>
          <w:szCs w:val="24"/>
        </w:rPr>
        <w:lastRenderedPageBreak/>
        <w:t xml:space="preserve">ar 40 % apdrošināšanas prēmijas samazinājumu, </w:t>
      </w:r>
      <w:r w:rsidR="000C0D9A" w:rsidRPr="002F1419">
        <w:rPr>
          <w:rFonts w:ascii="Times New Roman" w:hAnsi="Times New Roman" w:cs="Times New Roman"/>
          <w:sz w:val="24"/>
          <w:szCs w:val="24"/>
        </w:rPr>
        <w:t xml:space="preserve">tad, prognozējams, ka Garantijas fondam gada griezumā izmaksas pieaugs par 300 000 EUR. </w:t>
      </w:r>
    </w:p>
    <w:p w14:paraId="258BAEBF" w14:textId="77777777" w:rsidR="00657AE4" w:rsidRDefault="000C0D9A" w:rsidP="00B9719A">
      <w:pPr>
        <w:spacing w:after="0"/>
        <w:jc w:val="both"/>
        <w:rPr>
          <w:rFonts w:ascii="Times New Roman" w:eastAsia="Times New Roman" w:hAnsi="Times New Roman" w:cs="Times New Roman"/>
          <w:color w:val="000000" w:themeColor="text1"/>
          <w:sz w:val="24"/>
          <w:szCs w:val="24"/>
          <w:lang w:eastAsia="en-GB"/>
        </w:rPr>
      </w:pPr>
      <w:r w:rsidRPr="002F1419">
        <w:rPr>
          <w:rFonts w:ascii="Times New Roman" w:hAnsi="Times New Roman" w:cs="Times New Roman"/>
          <w:sz w:val="24"/>
          <w:szCs w:val="24"/>
        </w:rPr>
        <w:t xml:space="preserve">Ņemot vērā iepriekš minēto, </w:t>
      </w:r>
      <w:r w:rsidR="00CD3B3D">
        <w:rPr>
          <w:rFonts w:ascii="Times New Roman" w:hAnsi="Times New Roman" w:cs="Times New Roman"/>
          <w:sz w:val="24"/>
          <w:szCs w:val="24"/>
        </w:rPr>
        <w:t>pēc LTAB novērtējuma,</w:t>
      </w:r>
      <w:r w:rsidRPr="002F1419">
        <w:rPr>
          <w:rFonts w:ascii="Times New Roman" w:hAnsi="Times New Roman" w:cs="Times New Roman"/>
          <w:sz w:val="24"/>
          <w:szCs w:val="24"/>
        </w:rPr>
        <w:t xml:space="preserve"> iepriekš minēto OCTA likuma grozījumu iespējamā finansiālā ietekme uz Garantijas fondu varētu būt </w:t>
      </w:r>
      <w:r w:rsidR="00111AAF">
        <w:rPr>
          <w:rFonts w:ascii="Times New Roman" w:hAnsi="Times New Roman" w:cs="Times New Roman"/>
          <w:sz w:val="24"/>
          <w:szCs w:val="24"/>
        </w:rPr>
        <w:t xml:space="preserve">kopumā neitrāla </w:t>
      </w:r>
      <w:r w:rsidR="001D4D39">
        <w:rPr>
          <w:rFonts w:ascii="Times New Roman" w:hAnsi="Times New Roman" w:cs="Times New Roman"/>
          <w:sz w:val="24"/>
          <w:szCs w:val="24"/>
        </w:rPr>
        <w:t>un</w:t>
      </w:r>
      <w:r w:rsidRPr="002F1419">
        <w:rPr>
          <w:rFonts w:ascii="Times New Roman" w:hAnsi="Times New Roman" w:cs="Times New Roman"/>
          <w:sz w:val="24"/>
          <w:szCs w:val="24"/>
        </w:rPr>
        <w:t xml:space="preserve"> kopējās izmaksas no Garantijas fonda  kompensācijās personām ar invaliditāti turpinās saglabāties līdzšinējā līmenī, ja rēķina finansiālo ietekmi gada griezumā, vai pieaugs, ja OCTA cenas kāps, kas ilgtermiņā visticamāk varētu arī notikt.</w:t>
      </w:r>
    </w:p>
    <w:p w14:paraId="7ABBAC9A" w14:textId="77777777" w:rsidR="00657AE4" w:rsidRPr="0034771E" w:rsidRDefault="00657AE4" w:rsidP="002204B0">
      <w:pPr>
        <w:spacing w:after="0"/>
        <w:ind w:firstLine="720"/>
        <w:jc w:val="both"/>
        <w:rPr>
          <w:rFonts w:ascii="Times New Roman" w:eastAsia="Times New Roman" w:hAnsi="Times New Roman" w:cs="Times New Roman"/>
          <w:color w:val="000000" w:themeColor="text1"/>
          <w:sz w:val="24"/>
          <w:szCs w:val="24"/>
          <w:lang w:eastAsia="en-GB"/>
        </w:rPr>
      </w:pPr>
    </w:p>
    <w:p w14:paraId="0CD97A46" w14:textId="77777777" w:rsidR="00F62B80" w:rsidRPr="0034771E" w:rsidRDefault="001C06E3" w:rsidP="00B9719A">
      <w:pPr>
        <w:spacing w:after="0"/>
        <w:ind w:firstLine="720"/>
        <w:jc w:val="both"/>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6</w:t>
      </w:r>
      <w:r w:rsidR="0049551A" w:rsidRPr="0034771E">
        <w:rPr>
          <w:rFonts w:ascii="Times New Roman" w:eastAsia="Times New Roman" w:hAnsi="Times New Roman" w:cs="Times New Roman"/>
          <w:b/>
          <w:bCs/>
          <w:color w:val="000000" w:themeColor="text1"/>
          <w:sz w:val="24"/>
          <w:szCs w:val="24"/>
          <w:lang w:eastAsia="en-GB"/>
        </w:rPr>
        <w:t xml:space="preserve">. </w:t>
      </w:r>
      <w:r w:rsidR="00F62B80" w:rsidRPr="00F62B80">
        <w:rPr>
          <w:rFonts w:ascii="Times New Roman" w:eastAsia="Times New Roman" w:hAnsi="Times New Roman" w:cs="Times New Roman"/>
          <w:b/>
          <w:bCs/>
          <w:color w:val="000000" w:themeColor="text1"/>
          <w:sz w:val="24"/>
          <w:szCs w:val="24"/>
          <w:lang w:eastAsia="en-GB"/>
        </w:rPr>
        <w:t xml:space="preserve">Apsvērumi par OCTA likuma 14. panta otrās, trešās un ceturtās daļas regulējuma </w:t>
      </w:r>
      <w:proofErr w:type="spellStart"/>
      <w:r w:rsidR="00F62B80" w:rsidRPr="00F62B80">
        <w:rPr>
          <w:rFonts w:ascii="Times New Roman" w:eastAsia="Times New Roman" w:hAnsi="Times New Roman" w:cs="Times New Roman"/>
          <w:b/>
          <w:bCs/>
          <w:color w:val="000000" w:themeColor="text1"/>
          <w:sz w:val="24"/>
          <w:szCs w:val="24"/>
          <w:lang w:eastAsia="en-GB"/>
        </w:rPr>
        <w:t>konstitucionalitāti</w:t>
      </w:r>
      <w:proofErr w:type="spellEnd"/>
    </w:p>
    <w:p w14:paraId="0E347951" w14:textId="77777777" w:rsidR="00626794" w:rsidRDefault="00C8471F" w:rsidP="00C8471F">
      <w:pPr>
        <w:spacing w:after="0"/>
        <w:ind w:firstLine="720"/>
        <w:jc w:val="both"/>
        <w:rPr>
          <w:rFonts w:ascii="Times New Roman" w:hAnsi="Times New Roman" w:cs="Times New Roman"/>
          <w:iCs/>
          <w:sz w:val="24"/>
          <w:szCs w:val="24"/>
        </w:rPr>
      </w:pPr>
      <w:r w:rsidRPr="0034771E">
        <w:rPr>
          <w:rFonts w:ascii="Times New Roman" w:hAnsi="Times New Roman" w:cs="Times New Roman"/>
          <w:iCs/>
          <w:color w:val="000000" w:themeColor="text1"/>
          <w:sz w:val="24"/>
          <w:szCs w:val="24"/>
        </w:rPr>
        <w:t xml:space="preserve">Regulējums par OCTA likuma 14.panta otrajā </w:t>
      </w:r>
      <w:r w:rsidR="00A136DC">
        <w:rPr>
          <w:rFonts w:ascii="Times New Roman" w:hAnsi="Times New Roman" w:cs="Times New Roman"/>
          <w:iCs/>
          <w:color w:val="000000" w:themeColor="text1"/>
          <w:sz w:val="24"/>
          <w:szCs w:val="24"/>
        </w:rPr>
        <w:t xml:space="preserve">un trešajā </w:t>
      </w:r>
      <w:r w:rsidRPr="0034771E">
        <w:rPr>
          <w:rFonts w:ascii="Times New Roman" w:hAnsi="Times New Roman" w:cs="Times New Roman"/>
          <w:iCs/>
          <w:color w:val="000000" w:themeColor="text1"/>
          <w:sz w:val="24"/>
          <w:szCs w:val="24"/>
        </w:rPr>
        <w:t xml:space="preserve">daļā ietverto </w:t>
      </w:r>
      <w:r w:rsidR="00C9441C" w:rsidRPr="0034771E">
        <w:rPr>
          <w:rFonts w:ascii="Times New Roman" w:hAnsi="Times New Roman" w:cs="Times New Roman"/>
          <w:iCs/>
          <w:color w:val="000000" w:themeColor="text1"/>
          <w:sz w:val="24"/>
          <w:szCs w:val="24"/>
        </w:rPr>
        <w:t xml:space="preserve">apdrošināšanas </w:t>
      </w:r>
      <w:r w:rsidRPr="0034771E">
        <w:rPr>
          <w:rFonts w:ascii="Times New Roman" w:hAnsi="Times New Roman" w:cs="Times New Roman"/>
          <w:iCs/>
          <w:color w:val="000000" w:themeColor="text1"/>
          <w:sz w:val="24"/>
          <w:szCs w:val="24"/>
        </w:rPr>
        <w:t xml:space="preserve">prēmiju samazinājumu personām ar invaliditāti un </w:t>
      </w:r>
      <w:r w:rsidRPr="0034771E">
        <w:rPr>
          <w:rFonts w:ascii="Times New Roman" w:hAnsi="Times New Roman" w:cs="Times New Roman"/>
          <w:iCs/>
          <w:sz w:val="24"/>
          <w:szCs w:val="24"/>
        </w:rPr>
        <w:t>lauksaimniekiem, kā arī prēmiju samazinājumu finansēšana no Garantijas fonda līdzekļiem OCTA likumā pastāv kopš 2004.gada 1.maija. Līdzīgs regulējums bija iekļauts arī iepriekšējā Sauszemes transportlīdzekļu īpašnieku civiltiesiskās atbildības obligātās apdrošināšanas likumā, kas tika pieņemts</w:t>
      </w:r>
      <w:r w:rsidR="00A2611C" w:rsidRPr="0034771E">
        <w:rPr>
          <w:rFonts w:ascii="Times New Roman" w:hAnsi="Times New Roman" w:cs="Times New Roman"/>
          <w:iCs/>
          <w:sz w:val="24"/>
          <w:szCs w:val="24"/>
        </w:rPr>
        <w:t xml:space="preserve"> 1997.gada 13.martā </w:t>
      </w:r>
      <w:r w:rsidRPr="0034771E">
        <w:rPr>
          <w:rFonts w:ascii="Times New Roman" w:hAnsi="Times New Roman" w:cs="Times New Roman"/>
          <w:iCs/>
          <w:sz w:val="24"/>
          <w:szCs w:val="24"/>
        </w:rPr>
        <w:t>un bija spēkā līdz 2004.gada 30.aprīlim.</w:t>
      </w:r>
      <w:r w:rsidR="004F1F64" w:rsidRPr="0034771E">
        <w:rPr>
          <w:rFonts w:ascii="Times New Roman" w:hAnsi="Times New Roman" w:cs="Times New Roman"/>
          <w:iCs/>
          <w:sz w:val="24"/>
          <w:szCs w:val="24"/>
        </w:rPr>
        <w:t xml:space="preserve"> Šā likuma 16.pants noteica, ka personām ar invaliditāti tiek samazināta apdrošināšanas prēmija par 40 procentiem. </w:t>
      </w:r>
      <w:r w:rsidRPr="0034771E">
        <w:rPr>
          <w:rFonts w:ascii="Times New Roman" w:hAnsi="Times New Roman" w:cs="Times New Roman"/>
          <w:iCs/>
          <w:sz w:val="24"/>
          <w:szCs w:val="24"/>
        </w:rPr>
        <w:t xml:space="preserve">Saskaņā ar minēto likumu likumdevējs bija </w:t>
      </w:r>
      <w:r w:rsidR="004F1F64" w:rsidRPr="0034771E">
        <w:rPr>
          <w:rFonts w:ascii="Times New Roman" w:hAnsi="Times New Roman" w:cs="Times New Roman"/>
          <w:iCs/>
          <w:sz w:val="24"/>
          <w:szCs w:val="24"/>
        </w:rPr>
        <w:t xml:space="preserve">arī </w:t>
      </w:r>
      <w:r w:rsidRPr="0034771E">
        <w:rPr>
          <w:rFonts w:ascii="Times New Roman" w:hAnsi="Times New Roman" w:cs="Times New Roman"/>
          <w:iCs/>
          <w:sz w:val="24"/>
          <w:szCs w:val="24"/>
        </w:rPr>
        <w:t xml:space="preserve">pilnvarojis Ministru kabinetu noteikt </w:t>
      </w:r>
      <w:r w:rsidRPr="0034771E">
        <w:rPr>
          <w:rFonts w:ascii="Times New Roman" w:hAnsi="Times New Roman" w:cs="Times New Roman"/>
          <w:sz w:val="24"/>
          <w:szCs w:val="24"/>
          <w:shd w:val="clear" w:color="auto" w:fill="FFFFFF"/>
        </w:rPr>
        <w:t>apdrošināšanas prēmiju apmērus</w:t>
      </w:r>
      <w:r w:rsidR="004F1F64" w:rsidRPr="0034771E">
        <w:rPr>
          <w:rFonts w:ascii="Times New Roman" w:hAnsi="Times New Roman" w:cs="Times New Roman"/>
          <w:iCs/>
          <w:sz w:val="24"/>
          <w:szCs w:val="24"/>
        </w:rPr>
        <w:t xml:space="preserve">. </w:t>
      </w:r>
    </w:p>
    <w:p w14:paraId="0E1EE083" w14:textId="77777777" w:rsidR="00A136DC" w:rsidRPr="00B24C45" w:rsidRDefault="00B24C45" w:rsidP="00465FAF">
      <w:pPr>
        <w:spacing w:after="0"/>
        <w:ind w:firstLine="720"/>
        <w:jc w:val="both"/>
        <w:rPr>
          <w:rFonts w:ascii="Times New Roman" w:hAnsi="Times New Roman" w:cs="Times New Roman"/>
          <w:iCs/>
          <w:color w:val="000000" w:themeColor="text1"/>
          <w:sz w:val="24"/>
          <w:szCs w:val="24"/>
        </w:rPr>
      </w:pPr>
      <w:r w:rsidRPr="0034771E">
        <w:rPr>
          <w:rFonts w:ascii="Times New Roman" w:hAnsi="Times New Roman" w:cs="Times New Roman"/>
          <w:iCs/>
          <w:sz w:val="24"/>
          <w:szCs w:val="24"/>
        </w:rPr>
        <w:t xml:space="preserve">No Satversmes 1. pantā nostiprinātā demokrātiskas republikas jēdziena izriet valsts varas pienākums savā darbībā ievērot tiesiskas valsts pamatprincipus. </w:t>
      </w:r>
      <w:proofErr w:type="spellStart"/>
      <w:r w:rsidRPr="0034771E">
        <w:rPr>
          <w:rFonts w:ascii="Times New Roman" w:hAnsi="Times New Roman" w:cs="Times New Roman"/>
          <w:iCs/>
          <w:sz w:val="24"/>
          <w:szCs w:val="24"/>
        </w:rPr>
        <w:t>Visupirms</w:t>
      </w:r>
      <w:proofErr w:type="spellEnd"/>
      <w:r w:rsidRPr="0034771E">
        <w:rPr>
          <w:rFonts w:ascii="Times New Roman" w:hAnsi="Times New Roman" w:cs="Times New Roman"/>
          <w:iCs/>
          <w:sz w:val="24"/>
          <w:szCs w:val="24"/>
        </w:rPr>
        <w:t xml:space="preserve"> tas nozīmē, ka likumdevējam ir pienākums periodiski apsvērt, vai tiesiskais regulējums joprojām ir efektīvs, piemērots un nepieciešams un vai tas kādā veidā nebūtu pilnveidojams (sk., </w:t>
      </w:r>
      <w:r w:rsidRPr="0034771E">
        <w:rPr>
          <w:rFonts w:ascii="Times New Roman" w:hAnsi="Times New Roman" w:cs="Times New Roman"/>
          <w:iCs/>
          <w:color w:val="000000" w:themeColor="text1"/>
          <w:sz w:val="24"/>
          <w:szCs w:val="24"/>
        </w:rPr>
        <w:t>piemēram, Satversmes tiesas 2014.gada 9.janvāra sprieduma lietā Nr. 2013-08-01 18.2. punktu). Likumdevējam periodiski jāpārbauda, vai nepastāv apstākļi, kas prasa novecojuša tiesiskā regulējuma maiņu, pielāgošanu sabiedrības attīstības tendencēm (sk., piemēram, Satversmes tiesas tiesneses Inetas Ziemeles atsevišķās domas lietā Nr. 2018-15-01 “Par Augstskolu likuma 27. panta piektās daļas un 30. panta ceturtās daļas atbilstību Latvijas Republikas Satversmes 106. panta pirmajam teikumam” 6.punktu).</w:t>
      </w:r>
    </w:p>
    <w:p w14:paraId="5197AB06" w14:textId="77777777" w:rsidR="00B270EC" w:rsidRPr="0034771E" w:rsidRDefault="00A256ED" w:rsidP="00B270EC">
      <w:pPr>
        <w:spacing w:after="0"/>
        <w:jc w:val="both"/>
        <w:rPr>
          <w:rFonts w:ascii="Times New Roman" w:hAnsi="Times New Roman" w:cs="Times New Roman"/>
          <w:color w:val="000000" w:themeColor="text1"/>
          <w:sz w:val="24"/>
          <w:szCs w:val="24"/>
        </w:rPr>
      </w:pPr>
      <w:r w:rsidRPr="0034771E">
        <w:rPr>
          <w:rFonts w:ascii="Times New Roman" w:hAnsi="Times New Roman" w:cs="Times New Roman"/>
          <w:color w:val="000000" w:themeColor="text1"/>
          <w:sz w:val="24"/>
          <w:szCs w:val="24"/>
        </w:rPr>
        <w:tab/>
      </w:r>
      <w:r w:rsidR="003675F6" w:rsidRPr="0034771E">
        <w:rPr>
          <w:rFonts w:ascii="Times New Roman" w:hAnsi="Times New Roman" w:cs="Times New Roman"/>
          <w:color w:val="000000" w:themeColor="text1"/>
          <w:sz w:val="24"/>
          <w:szCs w:val="24"/>
        </w:rPr>
        <w:t>2010.gada 1.martā Latvijas Republikas Saeima ratificēja Apvienoto Nāciju Organizācijas konvenciju „Par personu ar invaliditāti tiesībām” (turpmāk – ANO Konvencija)</w:t>
      </w:r>
      <w:r w:rsidR="008D7179" w:rsidRPr="0034771E">
        <w:rPr>
          <w:rFonts w:ascii="Times New Roman" w:hAnsi="Times New Roman" w:cs="Times New Roman"/>
          <w:color w:val="000000" w:themeColor="text1"/>
          <w:sz w:val="24"/>
          <w:szCs w:val="24"/>
        </w:rPr>
        <w:t xml:space="preserve">. </w:t>
      </w:r>
      <w:r w:rsidR="002A2FF1" w:rsidRPr="0034771E">
        <w:rPr>
          <w:rFonts w:ascii="Times New Roman" w:hAnsi="Times New Roman" w:cs="Times New Roman"/>
          <w:color w:val="000000" w:themeColor="text1"/>
          <w:sz w:val="24"/>
          <w:szCs w:val="24"/>
        </w:rPr>
        <w:t xml:space="preserve">ANO Konvencija papildina citus starptautiskus cilvēktiesību dokumentus, piemēram, ANO Vispārējo cilvēktiesību deklarāciju, ANO Starptautisko </w:t>
      </w:r>
      <w:proofErr w:type="spellStart"/>
      <w:r w:rsidR="002A2FF1" w:rsidRPr="0034771E">
        <w:rPr>
          <w:rFonts w:ascii="Times New Roman" w:hAnsi="Times New Roman" w:cs="Times New Roman"/>
          <w:color w:val="000000" w:themeColor="text1"/>
          <w:sz w:val="24"/>
          <w:szCs w:val="24"/>
        </w:rPr>
        <w:t>paktu</w:t>
      </w:r>
      <w:proofErr w:type="spellEnd"/>
      <w:r w:rsidR="002A2FF1" w:rsidRPr="0034771E">
        <w:rPr>
          <w:rFonts w:ascii="Times New Roman" w:hAnsi="Times New Roman" w:cs="Times New Roman"/>
          <w:color w:val="000000" w:themeColor="text1"/>
          <w:sz w:val="24"/>
          <w:szCs w:val="24"/>
        </w:rPr>
        <w:t xml:space="preserve"> par ekonomiskajām, sociālajām un kultūras tiesībām, ANO Starptautisko </w:t>
      </w:r>
      <w:proofErr w:type="spellStart"/>
      <w:r w:rsidR="002A2FF1" w:rsidRPr="0034771E">
        <w:rPr>
          <w:rFonts w:ascii="Times New Roman" w:hAnsi="Times New Roman" w:cs="Times New Roman"/>
          <w:color w:val="000000" w:themeColor="text1"/>
          <w:sz w:val="24"/>
          <w:szCs w:val="24"/>
        </w:rPr>
        <w:t>paktu</w:t>
      </w:r>
      <w:proofErr w:type="spellEnd"/>
      <w:r w:rsidR="002A2FF1" w:rsidRPr="0034771E">
        <w:rPr>
          <w:rFonts w:ascii="Times New Roman" w:hAnsi="Times New Roman" w:cs="Times New Roman"/>
          <w:color w:val="000000" w:themeColor="text1"/>
          <w:sz w:val="24"/>
          <w:szCs w:val="24"/>
        </w:rPr>
        <w:t xml:space="preserve"> par pilsoniskajām un politiskajām tiesībām, kuriem Latvija ir pievienojusies. ANO Konvencija nepieprasa paredzēt jaunas cilvēktiesības personām ar invaliditāti, bet gan skaidro dalībvalstu pienākumu respektēt un nodrošināt personu ar invaliditāti vienlīdzību </w:t>
      </w:r>
      <w:proofErr w:type="spellStart"/>
      <w:r w:rsidR="002A2FF1" w:rsidRPr="0034771E">
        <w:rPr>
          <w:rFonts w:ascii="Times New Roman" w:hAnsi="Times New Roman" w:cs="Times New Roman"/>
          <w:color w:val="000000" w:themeColor="text1"/>
          <w:sz w:val="24"/>
          <w:szCs w:val="24"/>
        </w:rPr>
        <w:t>pamattiesību</w:t>
      </w:r>
      <w:proofErr w:type="spellEnd"/>
      <w:r w:rsidR="002A2FF1" w:rsidRPr="0034771E">
        <w:rPr>
          <w:rFonts w:ascii="Times New Roman" w:hAnsi="Times New Roman" w:cs="Times New Roman"/>
          <w:color w:val="000000" w:themeColor="text1"/>
          <w:sz w:val="24"/>
          <w:szCs w:val="24"/>
        </w:rPr>
        <w:t xml:space="preserve"> un pamatbrīvību izmantošanā.</w:t>
      </w:r>
      <w:r w:rsidR="00E63709" w:rsidRPr="0034771E">
        <w:rPr>
          <w:rFonts w:ascii="Times New Roman" w:hAnsi="Times New Roman" w:cs="Times New Roman"/>
          <w:color w:val="000000" w:themeColor="text1"/>
          <w:sz w:val="24"/>
          <w:szCs w:val="24"/>
        </w:rPr>
        <w:t xml:space="preserve"> </w:t>
      </w:r>
      <w:r w:rsidR="00DF3F82" w:rsidRPr="0034771E">
        <w:rPr>
          <w:rFonts w:ascii="Times New Roman" w:hAnsi="Times New Roman" w:cs="Times New Roman"/>
          <w:color w:val="000000" w:themeColor="text1"/>
          <w:sz w:val="24"/>
          <w:szCs w:val="24"/>
        </w:rPr>
        <w:t>ANO Konvencija</w:t>
      </w:r>
      <w:r w:rsidR="009D6257" w:rsidRPr="0034771E">
        <w:rPr>
          <w:rFonts w:ascii="Times New Roman" w:hAnsi="Times New Roman" w:cs="Times New Roman"/>
          <w:color w:val="000000" w:themeColor="text1"/>
          <w:sz w:val="24"/>
          <w:szCs w:val="24"/>
        </w:rPr>
        <w:t xml:space="preserve">s </w:t>
      </w:r>
      <w:r w:rsidR="00DF3F82" w:rsidRPr="0034771E">
        <w:rPr>
          <w:rFonts w:ascii="Times New Roman" w:hAnsi="Times New Roman" w:cs="Times New Roman"/>
          <w:color w:val="000000" w:themeColor="text1"/>
          <w:sz w:val="24"/>
          <w:szCs w:val="24"/>
        </w:rPr>
        <w:t>mērķi</w:t>
      </w:r>
      <w:r w:rsidR="009D6257" w:rsidRPr="0034771E">
        <w:rPr>
          <w:rFonts w:ascii="Times New Roman" w:hAnsi="Times New Roman" w:cs="Times New Roman"/>
          <w:color w:val="000000" w:themeColor="text1"/>
          <w:sz w:val="24"/>
          <w:szCs w:val="24"/>
        </w:rPr>
        <w:t xml:space="preserve">s ir </w:t>
      </w:r>
      <w:r w:rsidR="00DF3F82" w:rsidRPr="0034771E">
        <w:rPr>
          <w:rFonts w:ascii="Times New Roman" w:hAnsi="Times New Roman" w:cs="Times New Roman"/>
          <w:color w:val="000000" w:themeColor="text1"/>
          <w:sz w:val="24"/>
          <w:szCs w:val="24"/>
        </w:rPr>
        <w:t xml:space="preserve">veicināt, aizsargāt un nodrošināt to, lai personas ar invaliditāti varētu pilnībā un vienlīdzīgi ar citiem izmantot visas cilvēktiesības un pamatbrīvības, veicināt personas cieņas ievērošanu, kā arī veikt pasākumus invaliditātes izraisīto seku mazināšanai. </w:t>
      </w:r>
      <w:r w:rsidR="00B270EC" w:rsidRPr="0034771E">
        <w:rPr>
          <w:rFonts w:ascii="Times New Roman" w:hAnsi="Times New Roman" w:cs="Times New Roman"/>
          <w:color w:val="000000" w:themeColor="text1"/>
          <w:sz w:val="24"/>
          <w:szCs w:val="24"/>
        </w:rPr>
        <w:t xml:space="preserve">Likuma „Par Konvenciju par personu ar invaliditāti tiesībām” 2.pantā noteikts, ka ANO Konvencijā paredzēto saistību izpildi koordinē Labklājības ministrija. Savukārt katra nozares ministrija ir atbildīga par nepieciešamo pasākumu īstenošanu attiecīgajā nozarē, lai personām ar invaliditāti nodrošinātu vienlīdzīgas tiesības un iespējas piedalīties visos sabiedriskajos procesos. </w:t>
      </w:r>
    </w:p>
    <w:p w14:paraId="4288F02D" w14:textId="77777777" w:rsidR="0085667E" w:rsidRPr="0034771E" w:rsidRDefault="00B270EC" w:rsidP="0085667E">
      <w:pPr>
        <w:spacing w:after="0"/>
        <w:jc w:val="both"/>
        <w:rPr>
          <w:rFonts w:ascii="Times New Roman" w:hAnsi="Times New Roman" w:cs="Times New Roman"/>
          <w:color w:val="000000" w:themeColor="text1"/>
          <w:sz w:val="24"/>
          <w:szCs w:val="24"/>
        </w:rPr>
      </w:pPr>
      <w:r w:rsidRPr="0034771E">
        <w:rPr>
          <w:rFonts w:ascii="Times New Roman" w:hAnsi="Times New Roman" w:cs="Times New Roman"/>
          <w:color w:val="000000" w:themeColor="text1"/>
          <w:sz w:val="24"/>
          <w:szCs w:val="24"/>
        </w:rPr>
        <w:tab/>
        <w:t xml:space="preserve">Eiropas Savienībā nepastāv vienots regulējums, kā būtu nodrošināmas vienlīdzīgas tiesības un iespējas. Tādējādi katra valsts pati veido savu politiku personu ar invaliditāti atbalstam. </w:t>
      </w:r>
    </w:p>
    <w:p w14:paraId="1A72D6E0" w14:textId="77777777" w:rsidR="00D26741" w:rsidRDefault="001C06E3" w:rsidP="00644E09">
      <w:pPr>
        <w:spacing w:after="0"/>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ab/>
      </w:r>
      <w:r w:rsidR="009D6257" w:rsidRPr="0034771E">
        <w:rPr>
          <w:rFonts w:ascii="Times New Roman" w:hAnsi="Times New Roman" w:cs="Times New Roman"/>
          <w:color w:val="000000" w:themeColor="text1"/>
          <w:sz w:val="24"/>
          <w:szCs w:val="24"/>
        </w:rPr>
        <w:t xml:space="preserve">Saskaņā ar ANO Konvencijas 20.pantu </w:t>
      </w:r>
      <w:r w:rsidR="00DF3F82" w:rsidRPr="0034771E">
        <w:rPr>
          <w:rFonts w:ascii="Times New Roman" w:hAnsi="Times New Roman" w:cs="Times New Roman"/>
          <w:color w:val="000000" w:themeColor="text1"/>
          <w:sz w:val="24"/>
          <w:szCs w:val="24"/>
        </w:rPr>
        <w:t xml:space="preserve">attiecībā uz </w:t>
      </w:r>
      <w:r w:rsidR="009D6257" w:rsidRPr="0034771E">
        <w:rPr>
          <w:rFonts w:ascii="Times New Roman" w:hAnsi="Times New Roman" w:cs="Times New Roman"/>
          <w:color w:val="000000" w:themeColor="text1"/>
          <w:sz w:val="24"/>
          <w:szCs w:val="24"/>
        </w:rPr>
        <w:t xml:space="preserve">personu ar invaliditāti </w:t>
      </w:r>
      <w:r w:rsidR="00DF3F82" w:rsidRPr="0034771E">
        <w:rPr>
          <w:rFonts w:ascii="Times New Roman" w:hAnsi="Times New Roman" w:cs="Times New Roman"/>
          <w:color w:val="000000" w:themeColor="text1"/>
          <w:sz w:val="24"/>
          <w:szCs w:val="24"/>
        </w:rPr>
        <w:t xml:space="preserve">individuālo pārvietošanos valsts veic efektīvus pasākumus, lai personām ar invaliditāti nodrošinātu individuālo </w:t>
      </w:r>
      <w:r w:rsidR="00DF3F82" w:rsidRPr="0034771E">
        <w:rPr>
          <w:rFonts w:ascii="Times New Roman" w:hAnsi="Times New Roman" w:cs="Times New Roman"/>
          <w:color w:val="000000" w:themeColor="text1"/>
          <w:sz w:val="24"/>
          <w:szCs w:val="24"/>
        </w:rPr>
        <w:lastRenderedPageBreak/>
        <w:t>pārvietošanos ar pēc iespējas lielāku personīgo patstāvību, tostarp, atvieglojot personu ar invaliditāti individuālo pārvietošanos viņu izvēlētā veidā, laikā un par pieejamu cenu</w:t>
      </w:r>
      <w:r w:rsidR="009D6257" w:rsidRPr="0034771E">
        <w:rPr>
          <w:rFonts w:ascii="Times New Roman" w:hAnsi="Times New Roman" w:cs="Times New Roman"/>
          <w:color w:val="000000" w:themeColor="text1"/>
          <w:sz w:val="24"/>
          <w:szCs w:val="24"/>
        </w:rPr>
        <w:t>.</w:t>
      </w:r>
      <w:r w:rsidR="002260E2" w:rsidRPr="0034771E">
        <w:rPr>
          <w:rFonts w:ascii="Times New Roman" w:hAnsi="Times New Roman" w:cs="Times New Roman"/>
          <w:color w:val="000000" w:themeColor="text1"/>
          <w:sz w:val="24"/>
          <w:szCs w:val="24"/>
        </w:rPr>
        <w:t xml:space="preserve"> </w:t>
      </w:r>
      <w:r w:rsidR="0085667E" w:rsidRPr="0034771E">
        <w:rPr>
          <w:rFonts w:ascii="Times New Roman" w:hAnsi="Times New Roman" w:cs="Times New Roman"/>
          <w:iCs/>
          <w:sz w:val="24"/>
          <w:szCs w:val="24"/>
        </w:rPr>
        <w:t xml:space="preserve">OCTA likuma 14.panta otrajā daļā ietvertais </w:t>
      </w:r>
      <w:r w:rsidR="0085667E" w:rsidRPr="0034771E">
        <w:rPr>
          <w:rFonts w:ascii="Times New Roman" w:hAnsi="Times New Roman" w:cs="Times New Roman"/>
          <w:iCs/>
          <w:color w:val="000000" w:themeColor="text1"/>
          <w:sz w:val="24"/>
          <w:szCs w:val="24"/>
        </w:rPr>
        <w:t xml:space="preserve">apdrošināšanas prēmijas samazinājums </w:t>
      </w:r>
      <w:r w:rsidR="0085667E" w:rsidRPr="0034771E">
        <w:rPr>
          <w:rFonts w:ascii="Times New Roman" w:hAnsi="Times New Roman" w:cs="Times New Roman"/>
          <w:iCs/>
          <w:sz w:val="24"/>
          <w:szCs w:val="24"/>
        </w:rPr>
        <w:t xml:space="preserve">ir uzskatāms par ekonomiska atbalsta pasākumu </w:t>
      </w:r>
      <w:r w:rsidR="0085667E" w:rsidRPr="0034771E">
        <w:rPr>
          <w:rFonts w:ascii="Times New Roman" w:hAnsi="Times New Roman" w:cs="Times New Roman"/>
          <w:iCs/>
          <w:color w:val="000000" w:themeColor="text1"/>
          <w:sz w:val="24"/>
          <w:szCs w:val="24"/>
        </w:rPr>
        <w:t>personām ar invaliditāti, lai atvieglotu šīs personas pārvietošanās iespējas</w:t>
      </w:r>
      <w:r w:rsidR="005439F9" w:rsidRPr="0034771E">
        <w:rPr>
          <w:rFonts w:ascii="Times New Roman" w:hAnsi="Times New Roman" w:cs="Times New Roman"/>
          <w:iCs/>
          <w:color w:val="000000" w:themeColor="text1"/>
          <w:sz w:val="24"/>
          <w:szCs w:val="24"/>
        </w:rPr>
        <w:t xml:space="preserve"> ar personīgo transportlīdzekli</w:t>
      </w:r>
      <w:r w:rsidR="0085667E" w:rsidRPr="0034771E">
        <w:rPr>
          <w:rFonts w:ascii="Times New Roman" w:hAnsi="Times New Roman" w:cs="Times New Roman"/>
          <w:iCs/>
          <w:color w:val="000000" w:themeColor="text1"/>
          <w:sz w:val="24"/>
          <w:szCs w:val="24"/>
        </w:rPr>
        <w:t xml:space="preserve">. </w:t>
      </w:r>
    </w:p>
    <w:p w14:paraId="42AA11C3" w14:textId="77777777" w:rsidR="00577363" w:rsidRDefault="00CB2A2A" w:rsidP="00B9719A">
      <w:pPr>
        <w:spacing w:after="0"/>
        <w:ind w:firstLine="720"/>
        <w:jc w:val="both"/>
        <w:rPr>
          <w:rFonts w:ascii="Times New Roman" w:hAnsi="Times New Roman" w:cs="Times New Roman"/>
          <w:iCs/>
          <w:sz w:val="24"/>
          <w:szCs w:val="24"/>
        </w:rPr>
      </w:pPr>
      <w:r w:rsidRPr="0034771E">
        <w:rPr>
          <w:rFonts w:ascii="Times New Roman" w:hAnsi="Times New Roman" w:cs="Times New Roman"/>
          <w:color w:val="000000" w:themeColor="text1"/>
          <w:sz w:val="24"/>
          <w:szCs w:val="24"/>
        </w:rPr>
        <w:t xml:space="preserve">Satversmes ievada ceturtā rindkopa noteic, ka Latvija kā demokrātiska, tiesiska, sociāli atbildīga un nacionāla valsts balstās uz cilvēka cieņu un brīvību, atzīst un aizsargā cilvēka </w:t>
      </w:r>
      <w:proofErr w:type="spellStart"/>
      <w:r w:rsidRPr="0034771E">
        <w:rPr>
          <w:rFonts w:ascii="Times New Roman" w:hAnsi="Times New Roman" w:cs="Times New Roman"/>
          <w:color w:val="000000" w:themeColor="text1"/>
          <w:sz w:val="24"/>
          <w:szCs w:val="24"/>
        </w:rPr>
        <w:t>pamattiesības</w:t>
      </w:r>
      <w:proofErr w:type="spellEnd"/>
      <w:r w:rsidRPr="0034771E">
        <w:rPr>
          <w:rFonts w:ascii="Times New Roman" w:hAnsi="Times New Roman" w:cs="Times New Roman"/>
          <w:color w:val="000000" w:themeColor="text1"/>
          <w:sz w:val="24"/>
          <w:szCs w:val="24"/>
        </w:rPr>
        <w:t xml:space="preserve">. </w:t>
      </w:r>
      <w:r w:rsidRPr="0034771E">
        <w:rPr>
          <w:rFonts w:ascii="Times New Roman" w:hAnsi="Times New Roman" w:cs="Times New Roman"/>
          <w:iCs/>
          <w:color w:val="000000" w:themeColor="text1"/>
          <w:sz w:val="24"/>
          <w:szCs w:val="24"/>
        </w:rPr>
        <w:t xml:space="preserve">Satversmes </w:t>
      </w:r>
      <w:r w:rsidRPr="0034771E">
        <w:rPr>
          <w:rFonts w:ascii="Times New Roman" w:hAnsi="Times New Roman" w:cs="Times New Roman"/>
          <w:color w:val="000000" w:themeColor="text1"/>
          <w:sz w:val="24"/>
          <w:szCs w:val="24"/>
        </w:rPr>
        <w:t>piektā rindkopa</w:t>
      </w:r>
      <w:r w:rsidRPr="0034771E">
        <w:rPr>
          <w:rFonts w:ascii="Times New Roman" w:hAnsi="Times New Roman" w:cs="Times New Roman"/>
          <w:iCs/>
          <w:color w:val="000000" w:themeColor="text1"/>
          <w:sz w:val="24"/>
          <w:szCs w:val="24"/>
        </w:rPr>
        <w:t xml:space="preserve"> noteic, ka ikvienam ir jārūpējas ne tikai par sevi un saviem tuviniekiem, bet arī par sabiedrības kopējo labumu. Tas nozīmē, ka starp indivīdu un sabiedrību pastāv savstarpēja solidaritāte (sk.: Latvijas Republikas Satversmes komentāri. Ievads. I nodaļa. Vispārējie noteikumi. Autoru kolektīvs prof. R. Baloža zinātniskajā vadībā. Rīga: </w:t>
      </w:r>
      <w:r w:rsidRPr="0034771E">
        <w:rPr>
          <w:rFonts w:ascii="Times New Roman" w:hAnsi="Times New Roman" w:cs="Times New Roman"/>
          <w:iCs/>
          <w:sz w:val="24"/>
          <w:szCs w:val="24"/>
        </w:rPr>
        <w:t>Latvijas Vēstnesis, 2014, 222.lpp.).</w:t>
      </w:r>
    </w:p>
    <w:p w14:paraId="11783D22" w14:textId="77777777" w:rsidR="00577363" w:rsidRDefault="00D26741" w:rsidP="00577363">
      <w:pPr>
        <w:spacing w:after="0"/>
        <w:jc w:val="both"/>
        <w:rPr>
          <w:rFonts w:ascii="Times New Roman" w:hAnsi="Times New Roman" w:cs="Times New Roman"/>
          <w:iCs/>
          <w:sz w:val="24"/>
          <w:szCs w:val="24"/>
        </w:rPr>
      </w:pPr>
      <w:r>
        <w:rPr>
          <w:rFonts w:ascii="Times New Roman" w:hAnsi="Times New Roman" w:cs="Times New Roman"/>
          <w:iCs/>
          <w:sz w:val="24"/>
          <w:szCs w:val="24"/>
        </w:rPr>
        <w:tab/>
      </w:r>
      <w:r w:rsidRPr="00D26741">
        <w:rPr>
          <w:rFonts w:ascii="Times New Roman" w:hAnsi="Times New Roman" w:cs="Times New Roman"/>
          <w:iCs/>
          <w:sz w:val="24"/>
          <w:szCs w:val="24"/>
        </w:rPr>
        <w:t>Satversmes 91. panta pirmais teikums noteic, ka visi cilvēki Latvijā ir vienlīdzīgi likuma un tiesas priekšā. Satversmes tiesa ir atzinusi, ka likumdevējam, izdodot tiesību normas, ir jāņem vērā minētajā Satversmes normā ietvertais vienlīdzības princips (sk., piemēram, Satversmes tiesas 2001. gada 3. aprīļa sprieduma lietā Nr. 2000-07-0409 secinājumu daļas 1. punktu). Vienlīdzības princips liedz valsts institūcijām izdot tādas normas, kas bez saprātīga pamata pieļauj atšķirīgu attieksmi pret personām, kuras atrodas vienādos un salīdzināmos apstākļos (sk., piemēram, Satversmes tiesas 2007. gada 8. jūnija sprieduma lietā Nr. 2007-01-01 11. punktu). Tā uzdevums ir nodrošināt, lai tiktu īstenota tāda tiesiskas valsts prasība kā likuma aptveroša ietekme uz visām personām un lai likums tiktu piemērots bez jebkādām privilēģijām (sk., piemēram, Satversmes tiesas 2013. gada 13. februāra sprieduma lietā Nr. 2012-12-01 14.1. punktu). Tomēr vienlīdzības princips pieļauj un pat prasa atšķirīgu attieksmi pret personām, kuras atrodas atšķirīgos apstākļos, kā arī pieļauj atšķirīgu attieksmi pret personām, kuras atrodas vienādos apstākļos, ja tam ir objektīvs un saprātīgs pamats (sk., piemēram, Satversmes tiesas 2001. gada 3. aprīļa sprieduma lietā Nr. 2000-07-0409 secinājumu daļas 1. punktu).</w:t>
      </w:r>
    </w:p>
    <w:p w14:paraId="4CCE0C48" w14:textId="77777777" w:rsidR="00004B86" w:rsidRPr="00004B86" w:rsidRDefault="00CB2A2A" w:rsidP="0031197A">
      <w:pPr>
        <w:spacing w:after="0"/>
        <w:jc w:val="both"/>
        <w:rPr>
          <w:rFonts w:ascii="Times New Roman" w:hAnsi="Times New Roman" w:cs="Times New Roman"/>
          <w:iCs/>
          <w:sz w:val="24"/>
          <w:szCs w:val="24"/>
        </w:rPr>
      </w:pPr>
      <w:r>
        <w:rPr>
          <w:rFonts w:ascii="Times New Roman" w:hAnsi="Times New Roman" w:cs="Times New Roman"/>
          <w:iCs/>
          <w:sz w:val="24"/>
          <w:szCs w:val="24"/>
        </w:rPr>
        <w:tab/>
      </w:r>
      <w:r w:rsidR="007D2B01" w:rsidRPr="0034771E">
        <w:rPr>
          <w:rFonts w:ascii="Times New Roman" w:hAnsi="Times New Roman" w:cs="Times New Roman"/>
          <w:iCs/>
          <w:sz w:val="24"/>
          <w:szCs w:val="24"/>
        </w:rPr>
        <w:t xml:space="preserve">Saskaņā ar OCTA likuma 14.panta ceturto daļu apdrošināšanas prēmijas maksājuma samazinājumu apdrošināšanas sabiedrībai kompensē LTAB no Garantijas fonda. Savukārt Garantijas fonda līdzekļus veido apdrošināšanas sabiedrību atskaitījumi no OCTA apdrošināšanas prēmijām, kuras apdrošināšanas sabiedrības saņem no </w:t>
      </w:r>
      <w:r w:rsidR="003D0969" w:rsidRPr="0034771E">
        <w:rPr>
          <w:rFonts w:ascii="Times New Roman" w:hAnsi="Times New Roman" w:cs="Times New Roman"/>
          <w:color w:val="000000" w:themeColor="text1"/>
          <w:sz w:val="24"/>
          <w:szCs w:val="24"/>
        </w:rPr>
        <w:t xml:space="preserve">transportlīdzekļu </w:t>
      </w:r>
      <w:r w:rsidR="003D0969">
        <w:rPr>
          <w:rFonts w:ascii="Times New Roman" w:hAnsi="Times New Roman" w:cs="Times New Roman"/>
          <w:color w:val="000000" w:themeColor="text1"/>
          <w:sz w:val="24"/>
          <w:szCs w:val="24"/>
        </w:rPr>
        <w:t>īpašniekiem</w:t>
      </w:r>
      <w:r w:rsidR="007D2B01" w:rsidRPr="0034771E">
        <w:rPr>
          <w:rFonts w:ascii="Times New Roman" w:hAnsi="Times New Roman" w:cs="Times New Roman"/>
          <w:iCs/>
          <w:sz w:val="24"/>
          <w:szCs w:val="24"/>
        </w:rPr>
        <w:t xml:space="preserve">(OCTA polišu pircējiem). </w:t>
      </w:r>
      <w:r w:rsidR="00004B86">
        <w:rPr>
          <w:rFonts w:ascii="Times New Roman" w:hAnsi="Times New Roman" w:cs="Times New Roman"/>
          <w:iCs/>
          <w:sz w:val="24"/>
          <w:szCs w:val="24"/>
        </w:rPr>
        <w:t xml:space="preserve">Līdz ar to </w:t>
      </w:r>
      <w:r w:rsidR="009457D4" w:rsidRPr="0034771E">
        <w:rPr>
          <w:rFonts w:ascii="Times New Roman" w:hAnsi="Times New Roman" w:cs="Times New Roman"/>
          <w:iCs/>
          <w:sz w:val="24"/>
          <w:szCs w:val="24"/>
        </w:rPr>
        <w:t>likumdevējs</w:t>
      </w:r>
      <w:r w:rsidR="00383E30" w:rsidRPr="0034771E">
        <w:rPr>
          <w:rFonts w:ascii="Times New Roman" w:hAnsi="Times New Roman" w:cs="Times New Roman"/>
          <w:iCs/>
          <w:sz w:val="24"/>
          <w:szCs w:val="24"/>
        </w:rPr>
        <w:t xml:space="preserve"> ir uz</w:t>
      </w:r>
      <w:r w:rsidR="009457D4" w:rsidRPr="0034771E">
        <w:rPr>
          <w:rFonts w:ascii="Times New Roman" w:hAnsi="Times New Roman" w:cs="Times New Roman"/>
          <w:iCs/>
          <w:sz w:val="24"/>
          <w:szCs w:val="24"/>
        </w:rPr>
        <w:t>licis</w:t>
      </w:r>
      <w:r w:rsidR="00383E30" w:rsidRPr="0034771E">
        <w:rPr>
          <w:rFonts w:ascii="Times New Roman" w:hAnsi="Times New Roman" w:cs="Times New Roman"/>
          <w:iCs/>
          <w:sz w:val="24"/>
          <w:szCs w:val="24"/>
        </w:rPr>
        <w:t xml:space="preserve"> pienākumu divām personu grupām proti, </w:t>
      </w:r>
      <w:r w:rsidR="003D0969" w:rsidRPr="0034771E">
        <w:rPr>
          <w:rFonts w:ascii="Times New Roman" w:hAnsi="Times New Roman" w:cs="Times New Roman"/>
          <w:color w:val="000000" w:themeColor="text1"/>
          <w:sz w:val="24"/>
          <w:szCs w:val="24"/>
        </w:rPr>
        <w:t xml:space="preserve">transportlīdzekļu </w:t>
      </w:r>
      <w:r w:rsidR="003D0969">
        <w:rPr>
          <w:rFonts w:ascii="Times New Roman" w:hAnsi="Times New Roman" w:cs="Times New Roman"/>
          <w:color w:val="000000" w:themeColor="text1"/>
          <w:sz w:val="24"/>
          <w:szCs w:val="24"/>
        </w:rPr>
        <w:t>īpašniekiem</w:t>
      </w:r>
      <w:r w:rsidR="002F2071">
        <w:rPr>
          <w:rFonts w:ascii="Times New Roman" w:hAnsi="Times New Roman" w:cs="Times New Roman"/>
          <w:color w:val="000000" w:themeColor="text1"/>
          <w:sz w:val="24"/>
          <w:szCs w:val="24"/>
        </w:rPr>
        <w:t xml:space="preserve"> (</w:t>
      </w:r>
      <w:r w:rsidR="00383E30" w:rsidRPr="0034771E">
        <w:rPr>
          <w:rFonts w:ascii="Times New Roman" w:hAnsi="Times New Roman" w:cs="Times New Roman"/>
          <w:iCs/>
          <w:sz w:val="24"/>
          <w:szCs w:val="24"/>
        </w:rPr>
        <w:t>OCTA polišu pircējiem</w:t>
      </w:r>
      <w:r w:rsidR="003D0969">
        <w:rPr>
          <w:rFonts w:ascii="Times New Roman" w:hAnsi="Times New Roman" w:cs="Times New Roman"/>
          <w:iCs/>
          <w:sz w:val="24"/>
          <w:szCs w:val="24"/>
        </w:rPr>
        <w:t>)</w:t>
      </w:r>
      <w:r w:rsidR="00383E30" w:rsidRPr="0034771E">
        <w:rPr>
          <w:rFonts w:ascii="Times New Roman" w:hAnsi="Times New Roman" w:cs="Times New Roman"/>
          <w:iCs/>
          <w:sz w:val="24"/>
          <w:szCs w:val="24"/>
        </w:rPr>
        <w:t xml:space="preserve"> un apdrošināšanas sabiedrībām, kuras ir tiesīgas sniegt OCTA pakalpojumus, nodrošināt līdzekļus OCTA prēmijas samazinājuma piemērošanai, lai īstenotu valsts</w:t>
      </w:r>
      <w:r w:rsidR="007D2B01" w:rsidRPr="0034771E">
        <w:rPr>
          <w:rFonts w:ascii="Times New Roman" w:hAnsi="Times New Roman" w:cs="Times New Roman"/>
          <w:iCs/>
          <w:sz w:val="24"/>
          <w:szCs w:val="24"/>
        </w:rPr>
        <w:t xml:space="preserve"> atbalsta</w:t>
      </w:r>
      <w:r w:rsidR="00383E30" w:rsidRPr="0034771E">
        <w:rPr>
          <w:rFonts w:ascii="Times New Roman" w:hAnsi="Times New Roman" w:cs="Times New Roman"/>
          <w:iCs/>
          <w:sz w:val="24"/>
          <w:szCs w:val="24"/>
        </w:rPr>
        <w:t xml:space="preserve"> p</w:t>
      </w:r>
      <w:r w:rsidR="007D2B01" w:rsidRPr="0034771E">
        <w:rPr>
          <w:rFonts w:ascii="Times New Roman" w:hAnsi="Times New Roman" w:cs="Times New Roman"/>
          <w:iCs/>
          <w:sz w:val="24"/>
          <w:szCs w:val="24"/>
        </w:rPr>
        <w:t>asākumu</w:t>
      </w:r>
      <w:r w:rsidR="00024520" w:rsidRPr="0034771E">
        <w:rPr>
          <w:rFonts w:ascii="Times New Roman" w:hAnsi="Times New Roman" w:cs="Times New Roman"/>
          <w:iCs/>
          <w:sz w:val="24"/>
          <w:szCs w:val="24"/>
        </w:rPr>
        <w:t xml:space="preserve"> </w:t>
      </w:r>
      <w:r w:rsidR="00024520" w:rsidRPr="0034771E">
        <w:rPr>
          <w:rFonts w:ascii="Times New Roman" w:hAnsi="Times New Roman" w:cs="Times New Roman"/>
          <w:iCs/>
          <w:color w:val="000000" w:themeColor="text1"/>
          <w:sz w:val="24"/>
          <w:szCs w:val="24"/>
        </w:rPr>
        <w:t xml:space="preserve">personīgā transportlīdzekļa lietošanai </w:t>
      </w:r>
      <w:r w:rsidR="007D2B01" w:rsidRPr="0034771E">
        <w:rPr>
          <w:rFonts w:ascii="Times New Roman" w:hAnsi="Times New Roman" w:cs="Times New Roman"/>
          <w:iCs/>
          <w:color w:val="000000" w:themeColor="text1"/>
          <w:sz w:val="24"/>
          <w:szCs w:val="24"/>
        </w:rPr>
        <w:t xml:space="preserve">personām ar invaliditāti </w:t>
      </w:r>
      <w:r w:rsidR="00024520" w:rsidRPr="0034771E">
        <w:rPr>
          <w:rFonts w:ascii="Times New Roman" w:hAnsi="Times New Roman" w:cs="Times New Roman"/>
          <w:iCs/>
          <w:color w:val="000000" w:themeColor="text1"/>
          <w:sz w:val="24"/>
          <w:szCs w:val="24"/>
        </w:rPr>
        <w:t>un</w:t>
      </w:r>
      <w:r w:rsidR="007D2B01" w:rsidRPr="0034771E">
        <w:rPr>
          <w:rFonts w:ascii="Times New Roman" w:hAnsi="Times New Roman" w:cs="Times New Roman"/>
          <w:iCs/>
          <w:color w:val="000000" w:themeColor="text1"/>
          <w:sz w:val="24"/>
          <w:szCs w:val="24"/>
        </w:rPr>
        <w:t xml:space="preserve"> </w:t>
      </w:r>
      <w:r w:rsidR="007D2B01" w:rsidRPr="0034771E">
        <w:rPr>
          <w:rFonts w:ascii="Times New Roman" w:eastAsia="Times New Roman" w:hAnsi="Times New Roman" w:cs="Times New Roman"/>
          <w:color w:val="000000" w:themeColor="text1"/>
          <w:sz w:val="24"/>
          <w:szCs w:val="24"/>
          <w:lang w:eastAsia="en-GB"/>
        </w:rPr>
        <w:t>vecākiem, aizbildņiem vai audžuģime</w:t>
      </w:r>
      <w:r w:rsidR="00024520" w:rsidRPr="0034771E">
        <w:rPr>
          <w:rFonts w:ascii="Times New Roman" w:eastAsia="Times New Roman" w:hAnsi="Times New Roman" w:cs="Times New Roman"/>
          <w:color w:val="000000" w:themeColor="text1"/>
          <w:sz w:val="24"/>
          <w:szCs w:val="24"/>
          <w:lang w:eastAsia="en-GB"/>
        </w:rPr>
        <w:t>nēm</w:t>
      </w:r>
      <w:r w:rsidR="007D2B01" w:rsidRPr="0034771E">
        <w:rPr>
          <w:rFonts w:ascii="Times New Roman" w:eastAsia="Times New Roman" w:hAnsi="Times New Roman" w:cs="Times New Roman"/>
          <w:color w:val="000000" w:themeColor="text1"/>
          <w:sz w:val="24"/>
          <w:szCs w:val="24"/>
          <w:lang w:eastAsia="en-GB"/>
        </w:rPr>
        <w:t>, k</w:t>
      </w:r>
      <w:r w:rsidR="00024520" w:rsidRPr="0034771E">
        <w:rPr>
          <w:rFonts w:ascii="Times New Roman" w:eastAsia="Times New Roman" w:hAnsi="Times New Roman" w:cs="Times New Roman"/>
          <w:color w:val="000000" w:themeColor="text1"/>
          <w:sz w:val="24"/>
          <w:szCs w:val="24"/>
          <w:lang w:eastAsia="en-GB"/>
        </w:rPr>
        <w:t xml:space="preserve">as </w:t>
      </w:r>
      <w:r w:rsidR="007D2B01" w:rsidRPr="0034771E">
        <w:rPr>
          <w:rFonts w:ascii="Times New Roman" w:eastAsia="Times New Roman" w:hAnsi="Times New Roman" w:cs="Times New Roman"/>
          <w:color w:val="000000" w:themeColor="text1"/>
          <w:sz w:val="24"/>
          <w:szCs w:val="24"/>
          <w:lang w:eastAsia="en-GB"/>
        </w:rPr>
        <w:t>nodrošina nepilngadīga bērna ar invaliditāti aprūpi</w:t>
      </w:r>
      <w:r w:rsidR="00024520" w:rsidRPr="0034771E">
        <w:rPr>
          <w:rFonts w:ascii="Times New Roman" w:eastAsia="Times New Roman" w:hAnsi="Times New Roman" w:cs="Times New Roman"/>
          <w:color w:val="000000" w:themeColor="text1"/>
          <w:sz w:val="24"/>
          <w:szCs w:val="24"/>
          <w:lang w:eastAsia="en-GB"/>
        </w:rPr>
        <w:t>.</w:t>
      </w:r>
      <w:r w:rsidR="00644E09">
        <w:rPr>
          <w:rFonts w:ascii="Times New Roman" w:hAnsi="Times New Roman" w:cs="Times New Roman"/>
          <w:iCs/>
          <w:color w:val="000000" w:themeColor="text1"/>
          <w:sz w:val="24"/>
          <w:szCs w:val="24"/>
        </w:rPr>
        <w:t xml:space="preserve"> </w:t>
      </w:r>
      <w:r w:rsidR="00505EAC" w:rsidRPr="0034771E">
        <w:rPr>
          <w:rFonts w:ascii="Times New Roman" w:hAnsi="Times New Roman" w:cs="Times New Roman"/>
          <w:iCs/>
          <w:sz w:val="24"/>
          <w:szCs w:val="24"/>
        </w:rPr>
        <w:t>Tas nozīmē, ka OCTA polišu pircēji kopā ar prēmijas samaksu, veic maksājumu, kurš tiek novirzīts iemaksāšanai Garantijas fondā, no kura līdzekļiem vēlāk tiek finansēti attiecīgajām personām piemērotie OCTA prēmiju samazinājumi.</w:t>
      </w:r>
      <w:r w:rsidR="00505EAC">
        <w:rPr>
          <w:rFonts w:ascii="Times New Roman" w:hAnsi="Times New Roman" w:cs="Times New Roman"/>
          <w:iCs/>
          <w:sz w:val="24"/>
          <w:szCs w:val="24"/>
        </w:rPr>
        <w:t xml:space="preserve"> Savukārt a</w:t>
      </w:r>
      <w:r w:rsidR="00383E30" w:rsidRPr="0034771E">
        <w:rPr>
          <w:rFonts w:ascii="Times New Roman" w:hAnsi="Times New Roman" w:cs="Times New Roman"/>
          <w:iCs/>
          <w:sz w:val="24"/>
          <w:szCs w:val="24"/>
        </w:rPr>
        <w:t xml:space="preserve">pdrošināšanas sabiedrībām, kuras ir tiesīgas sniegt OCTA pakalpojumus, ir uzlikts pienākums minēto atbalsta pasākumu administrēt, iekasējot kopā ar OCTA prēmijām arī maksājumu, kas nepieciešams minētā atbalsta pasākuma finansēšanai, un iemaksājot to Garantijas fondā.  </w:t>
      </w:r>
    </w:p>
    <w:p w14:paraId="17B9F236" w14:textId="1B6B8F3C" w:rsidR="00DD4151" w:rsidRDefault="00436251">
      <w:pPr>
        <w:spacing w:after="0"/>
        <w:ind w:firstLine="720"/>
        <w:jc w:val="both"/>
        <w:rPr>
          <w:rFonts w:ascii="Times New Roman" w:hAnsi="Times New Roman" w:cs="Times New Roman"/>
          <w:iCs/>
          <w:sz w:val="24"/>
          <w:szCs w:val="24"/>
        </w:rPr>
      </w:pPr>
      <w:r w:rsidRPr="0034771E">
        <w:rPr>
          <w:rFonts w:ascii="Times New Roman" w:hAnsi="Times New Roman" w:cs="Times New Roman"/>
          <w:color w:val="000000" w:themeColor="text1"/>
          <w:sz w:val="24"/>
          <w:szCs w:val="24"/>
        </w:rPr>
        <w:t xml:space="preserve">Vēršam uzmanību, ka transportlīdzekļu </w:t>
      </w:r>
      <w:r w:rsidR="00EF5FDA">
        <w:rPr>
          <w:rFonts w:ascii="Times New Roman" w:hAnsi="Times New Roman" w:cs="Times New Roman"/>
          <w:color w:val="000000" w:themeColor="text1"/>
          <w:sz w:val="24"/>
          <w:szCs w:val="24"/>
        </w:rPr>
        <w:t>īpašnieku</w:t>
      </w:r>
      <w:r w:rsidRPr="0034771E">
        <w:rPr>
          <w:rFonts w:ascii="Times New Roman" w:hAnsi="Times New Roman" w:cs="Times New Roman"/>
          <w:color w:val="000000" w:themeColor="text1"/>
          <w:sz w:val="24"/>
          <w:szCs w:val="24"/>
        </w:rPr>
        <w:t xml:space="preserve"> (OCTA polišu pircēju) ienākumu līmenis ir dažāds. </w:t>
      </w:r>
      <w:r w:rsidRPr="0034771E">
        <w:rPr>
          <w:rFonts w:ascii="Times New Roman" w:hAnsi="Times New Roman" w:cs="Times New Roman"/>
          <w:iCs/>
          <w:sz w:val="24"/>
          <w:szCs w:val="24"/>
        </w:rPr>
        <w:t xml:space="preserve">OCTA polišu pircēju vidū var būt personas no citām </w:t>
      </w:r>
      <w:proofErr w:type="spellStart"/>
      <w:r w:rsidRPr="0034771E">
        <w:rPr>
          <w:rFonts w:ascii="Times New Roman" w:hAnsi="Times New Roman" w:cs="Times New Roman"/>
          <w:iCs/>
          <w:sz w:val="24"/>
          <w:szCs w:val="24"/>
        </w:rPr>
        <w:t>mazaizsargātām</w:t>
      </w:r>
      <w:proofErr w:type="spellEnd"/>
      <w:r w:rsidRPr="0034771E">
        <w:rPr>
          <w:rFonts w:ascii="Times New Roman" w:hAnsi="Times New Roman" w:cs="Times New Roman"/>
          <w:iCs/>
          <w:sz w:val="24"/>
          <w:szCs w:val="24"/>
        </w:rPr>
        <w:t xml:space="preserve"> </w:t>
      </w:r>
      <w:r w:rsidR="00EC4630" w:rsidRPr="0034771E">
        <w:rPr>
          <w:rFonts w:ascii="Times New Roman" w:hAnsi="Times New Roman" w:cs="Times New Roman"/>
          <w:iCs/>
          <w:sz w:val="24"/>
          <w:szCs w:val="24"/>
        </w:rPr>
        <w:t>personu</w:t>
      </w:r>
      <w:r w:rsidRPr="0034771E">
        <w:rPr>
          <w:rFonts w:ascii="Times New Roman" w:hAnsi="Times New Roman" w:cs="Times New Roman"/>
          <w:iCs/>
          <w:sz w:val="24"/>
          <w:szCs w:val="24"/>
        </w:rPr>
        <w:t xml:space="preserve"> grupām, piemēram, </w:t>
      </w:r>
      <w:proofErr w:type="spellStart"/>
      <w:r w:rsidRPr="0034771E">
        <w:rPr>
          <w:rFonts w:ascii="Times New Roman" w:hAnsi="Times New Roman" w:cs="Times New Roman"/>
          <w:iCs/>
          <w:sz w:val="24"/>
          <w:szCs w:val="24"/>
        </w:rPr>
        <w:t>daudzbērnu</w:t>
      </w:r>
      <w:proofErr w:type="spellEnd"/>
      <w:r w:rsidRPr="0034771E">
        <w:rPr>
          <w:rFonts w:ascii="Times New Roman" w:hAnsi="Times New Roman" w:cs="Times New Roman"/>
          <w:iCs/>
          <w:sz w:val="24"/>
          <w:szCs w:val="24"/>
        </w:rPr>
        <w:t xml:space="preserve"> ģimenes, pensionāri</w:t>
      </w:r>
      <w:r w:rsidR="006F508B">
        <w:rPr>
          <w:rFonts w:ascii="Times New Roman" w:hAnsi="Times New Roman" w:cs="Times New Roman"/>
          <w:iCs/>
          <w:sz w:val="24"/>
          <w:szCs w:val="24"/>
        </w:rPr>
        <w:t>. Vienlaikus, neatkarīgi no</w:t>
      </w:r>
      <w:r w:rsidR="0099129B">
        <w:rPr>
          <w:rFonts w:ascii="Times New Roman" w:hAnsi="Times New Roman" w:cs="Times New Roman"/>
          <w:iCs/>
          <w:sz w:val="24"/>
          <w:szCs w:val="24"/>
        </w:rPr>
        <w:t xml:space="preserve"> atšķirībām sauszemes </w:t>
      </w:r>
      <w:r w:rsidR="0099129B" w:rsidRPr="00DD4151">
        <w:rPr>
          <w:rFonts w:ascii="Times New Roman" w:hAnsi="Times New Roman" w:cs="Times New Roman"/>
          <w:iCs/>
          <w:sz w:val="24"/>
          <w:szCs w:val="24"/>
        </w:rPr>
        <w:t>transportlīdzekļu ī</w:t>
      </w:r>
      <w:r w:rsidR="0099129B" w:rsidRPr="0089780A">
        <w:rPr>
          <w:rFonts w:ascii="Times New Roman" w:hAnsi="Times New Roman" w:cs="Times New Roman"/>
          <w:iCs/>
          <w:sz w:val="24"/>
          <w:szCs w:val="24"/>
        </w:rPr>
        <w:t xml:space="preserve">pašnieku </w:t>
      </w:r>
      <w:r w:rsidR="006F508B" w:rsidRPr="0089780A">
        <w:rPr>
          <w:rFonts w:ascii="Times New Roman" w:hAnsi="Times New Roman" w:cs="Times New Roman"/>
          <w:iCs/>
          <w:sz w:val="24"/>
          <w:szCs w:val="24"/>
        </w:rPr>
        <w:t>ienākuma līmeņa</w:t>
      </w:r>
      <w:r w:rsidR="0099129B" w:rsidRPr="0089780A">
        <w:rPr>
          <w:rFonts w:ascii="Times New Roman" w:hAnsi="Times New Roman" w:cs="Times New Roman"/>
          <w:iCs/>
          <w:sz w:val="24"/>
          <w:szCs w:val="24"/>
        </w:rPr>
        <w:t xml:space="preserve"> vai sociālās aizsargātības</w:t>
      </w:r>
      <w:r w:rsidR="006F508B" w:rsidRPr="00DD4151">
        <w:rPr>
          <w:rFonts w:ascii="Times New Roman" w:hAnsi="Times New Roman" w:cs="Times New Roman"/>
          <w:iCs/>
          <w:sz w:val="24"/>
          <w:szCs w:val="24"/>
        </w:rPr>
        <w:t xml:space="preserve">, </w:t>
      </w:r>
      <w:r w:rsidR="0099129B" w:rsidRPr="00DD4151">
        <w:rPr>
          <w:rFonts w:ascii="Times New Roman" w:hAnsi="Times New Roman" w:cs="Times New Roman"/>
          <w:iCs/>
          <w:sz w:val="24"/>
          <w:szCs w:val="24"/>
        </w:rPr>
        <w:t xml:space="preserve">tiem visiem </w:t>
      </w:r>
      <w:r w:rsidR="006F508B" w:rsidRPr="00DD4151">
        <w:rPr>
          <w:rFonts w:ascii="Times New Roman" w:hAnsi="Times New Roman" w:cs="Times New Roman"/>
          <w:iCs/>
          <w:sz w:val="24"/>
          <w:szCs w:val="24"/>
        </w:rPr>
        <w:t>ir pienākums finansēt OCTA likumā</w:t>
      </w:r>
      <w:r w:rsidR="006F508B">
        <w:rPr>
          <w:rFonts w:ascii="Times New Roman" w:hAnsi="Times New Roman" w:cs="Times New Roman"/>
          <w:iCs/>
          <w:sz w:val="24"/>
          <w:szCs w:val="24"/>
        </w:rPr>
        <w:t xml:space="preserve"> noteikto prēmiju samazinājumu personām ar invaliditāti un lauksaimniekiem. </w:t>
      </w:r>
      <w:r w:rsidR="00DD4151">
        <w:rPr>
          <w:rFonts w:ascii="Times New Roman" w:hAnsi="Times New Roman" w:cs="Times New Roman"/>
          <w:iCs/>
          <w:sz w:val="24"/>
          <w:szCs w:val="24"/>
        </w:rPr>
        <w:t xml:space="preserve">Jāuzsver arī tas, </w:t>
      </w:r>
      <w:r w:rsidR="00DD4151" w:rsidRPr="00DD4151">
        <w:rPr>
          <w:rFonts w:ascii="Times New Roman" w:hAnsi="Times New Roman" w:cs="Times New Roman"/>
          <w:iCs/>
          <w:sz w:val="24"/>
          <w:szCs w:val="24"/>
        </w:rPr>
        <w:t xml:space="preserve">ka </w:t>
      </w:r>
      <w:r w:rsidR="00DD4151" w:rsidRPr="00794D87">
        <w:rPr>
          <w:rFonts w:ascii="Times New Roman" w:hAnsi="Times New Roman" w:cs="Times New Roman"/>
          <w:color w:val="000000" w:themeColor="text1"/>
          <w:sz w:val="24"/>
          <w:szCs w:val="24"/>
        </w:rPr>
        <w:t xml:space="preserve">personu ar invaliditāti tiesību nodrošināšanai nepieciešamo pasākumu īstenošana ir visas sabiedrības intereses, ne tikai transportlīdzekļu īpašnieku (OCTA </w:t>
      </w:r>
      <w:r w:rsidR="00DD4151" w:rsidRPr="00794D87">
        <w:rPr>
          <w:rFonts w:ascii="Times New Roman" w:hAnsi="Times New Roman" w:cs="Times New Roman"/>
          <w:color w:val="000000" w:themeColor="text1"/>
          <w:sz w:val="24"/>
          <w:szCs w:val="24"/>
        </w:rPr>
        <w:lastRenderedPageBreak/>
        <w:t>polišu pircēju) un apdrošināšanas sabiedrību intereses</w:t>
      </w:r>
      <w:r w:rsidR="00DD4151" w:rsidRPr="00DD4151">
        <w:rPr>
          <w:rFonts w:ascii="Times New Roman" w:hAnsi="Times New Roman" w:cs="Times New Roman"/>
          <w:color w:val="000000" w:themeColor="text1"/>
          <w:sz w:val="24"/>
          <w:szCs w:val="24"/>
        </w:rPr>
        <w:t>.</w:t>
      </w:r>
      <w:r w:rsidR="0089780A">
        <w:rPr>
          <w:rFonts w:ascii="Times New Roman" w:hAnsi="Times New Roman" w:cs="Times New Roman"/>
          <w:color w:val="000000" w:themeColor="text1"/>
          <w:sz w:val="24"/>
          <w:szCs w:val="24"/>
        </w:rPr>
        <w:t xml:space="preserve"> </w:t>
      </w:r>
      <w:r w:rsidR="0089780A">
        <w:rPr>
          <w:rFonts w:ascii="Times New Roman" w:hAnsi="Times New Roman" w:cs="Times New Roman"/>
          <w:iCs/>
          <w:sz w:val="24"/>
          <w:szCs w:val="24"/>
        </w:rPr>
        <w:t>Līdz ar to, pieņemot lēmumu par tālāko rīcību ar OCTA likuma 14.pantā noteikto regulējumu, būtu jāvērtē arī ietekme uz visu sauszemes transportlīdzekļu īpašnieku interesēm</w:t>
      </w:r>
      <w:r w:rsidR="00CD3B3D">
        <w:rPr>
          <w:rFonts w:ascii="Times New Roman" w:hAnsi="Times New Roman" w:cs="Times New Roman"/>
          <w:iCs/>
          <w:sz w:val="24"/>
          <w:szCs w:val="24"/>
        </w:rPr>
        <w:t xml:space="preserve">, kam iespējams neliels OCTA prēmiju palielinājums. </w:t>
      </w:r>
    </w:p>
    <w:p w14:paraId="538DC31B" w14:textId="77777777" w:rsidR="001D0112" w:rsidRDefault="001D0112" w:rsidP="005144DD">
      <w:pPr>
        <w:spacing w:after="0"/>
        <w:jc w:val="center"/>
        <w:rPr>
          <w:rFonts w:ascii="Times New Roman" w:eastAsia="Times New Roman" w:hAnsi="Times New Roman" w:cs="Times New Roman"/>
          <w:b/>
          <w:bCs/>
          <w:color w:val="000000" w:themeColor="text1"/>
          <w:sz w:val="24"/>
          <w:szCs w:val="24"/>
          <w:lang w:eastAsia="en-GB"/>
        </w:rPr>
      </w:pPr>
    </w:p>
    <w:p w14:paraId="0082B336" w14:textId="77777777" w:rsidR="001C06E3" w:rsidRPr="0034771E" w:rsidRDefault="001C06E3" w:rsidP="001C06E3">
      <w:pPr>
        <w:spacing w:after="0"/>
        <w:ind w:firstLine="720"/>
        <w:jc w:val="both"/>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7</w:t>
      </w:r>
      <w:r w:rsidRPr="0034771E">
        <w:rPr>
          <w:rFonts w:ascii="Times New Roman" w:eastAsia="Times New Roman" w:hAnsi="Times New Roman" w:cs="Times New Roman"/>
          <w:b/>
          <w:bCs/>
          <w:color w:val="000000" w:themeColor="text1"/>
          <w:sz w:val="24"/>
          <w:szCs w:val="24"/>
          <w:lang w:eastAsia="en-GB"/>
        </w:rPr>
        <w:t xml:space="preserve">. </w:t>
      </w:r>
      <w:r w:rsidR="00DC7F9C">
        <w:rPr>
          <w:rFonts w:ascii="Times New Roman" w:eastAsia="Times New Roman" w:hAnsi="Times New Roman" w:cs="Times New Roman"/>
          <w:b/>
          <w:bCs/>
          <w:color w:val="000000" w:themeColor="text1"/>
          <w:sz w:val="24"/>
          <w:szCs w:val="24"/>
          <w:lang w:eastAsia="en-GB"/>
        </w:rPr>
        <w:t xml:space="preserve">Apdrošināšanas prēmijas samazinājuma </w:t>
      </w:r>
      <w:r w:rsidR="00CD3B3D">
        <w:rPr>
          <w:rFonts w:ascii="Times New Roman" w:eastAsia="Times New Roman" w:hAnsi="Times New Roman" w:cs="Times New Roman"/>
          <w:b/>
          <w:bCs/>
          <w:color w:val="000000" w:themeColor="text1"/>
          <w:sz w:val="24"/>
          <w:szCs w:val="24"/>
          <w:lang w:eastAsia="en-GB"/>
        </w:rPr>
        <w:t xml:space="preserve">iespējamas </w:t>
      </w:r>
      <w:r w:rsidR="00DC7F9C">
        <w:rPr>
          <w:rFonts w:ascii="Times New Roman" w:eastAsia="Times New Roman" w:hAnsi="Times New Roman" w:cs="Times New Roman"/>
          <w:b/>
          <w:bCs/>
          <w:color w:val="000000" w:themeColor="text1"/>
          <w:sz w:val="24"/>
          <w:szCs w:val="24"/>
          <w:lang w:eastAsia="en-GB"/>
        </w:rPr>
        <w:t>pārskatīšanas finansiālā ietekme uz Garantijas fondu</w:t>
      </w:r>
    </w:p>
    <w:p w14:paraId="3121CE46" w14:textId="77777777" w:rsidR="00FA48C2" w:rsidRDefault="00DC7F9C" w:rsidP="00DC7F9C">
      <w:pPr>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 xml:space="preserve">Lai </w:t>
      </w:r>
      <w:r w:rsidR="00FA48C2">
        <w:rPr>
          <w:rFonts w:ascii="Times New Roman" w:hAnsi="Times New Roman" w:cs="Times New Roman"/>
          <w:iCs/>
          <w:color w:val="000000" w:themeColor="text1"/>
          <w:sz w:val="24"/>
          <w:szCs w:val="24"/>
        </w:rPr>
        <w:t xml:space="preserve">novērtētu apdrošināšanas prēmijas samazinājuma personām ar invaliditāti un lauksaimnieku ietekmi uz Garantiju fondu ilgtermiņā, </w:t>
      </w:r>
      <w:r w:rsidR="007E533E">
        <w:rPr>
          <w:rFonts w:ascii="Times New Roman" w:hAnsi="Times New Roman" w:cs="Times New Roman"/>
          <w:iCs/>
          <w:color w:val="000000" w:themeColor="text1"/>
          <w:sz w:val="24"/>
          <w:szCs w:val="24"/>
        </w:rPr>
        <w:t xml:space="preserve">LTAB ir veicis aprēķinu </w:t>
      </w:r>
      <w:r w:rsidR="00FA48C2">
        <w:rPr>
          <w:rFonts w:ascii="Times New Roman" w:hAnsi="Times New Roman" w:cs="Times New Roman"/>
          <w:iCs/>
          <w:color w:val="000000" w:themeColor="text1"/>
          <w:sz w:val="24"/>
          <w:szCs w:val="24"/>
        </w:rPr>
        <w:t>trīs dažādiem scenārijiem, kas paredz:</w:t>
      </w:r>
    </w:p>
    <w:p w14:paraId="78F31AFC" w14:textId="77777777" w:rsidR="00FA48C2" w:rsidRDefault="00FA48C2" w:rsidP="00FA48C2">
      <w:pPr>
        <w:pStyle w:val="ListParagraph"/>
        <w:numPr>
          <w:ilvl w:val="0"/>
          <w:numId w:val="5"/>
        </w:numPr>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Pakāpenisku apdrošināšanas prēmijas samazinājumu;</w:t>
      </w:r>
    </w:p>
    <w:p w14:paraId="215F2CCC" w14:textId="77777777" w:rsidR="00FA48C2" w:rsidRDefault="00FA48C2" w:rsidP="00FA48C2">
      <w:pPr>
        <w:pStyle w:val="ListParagraph"/>
        <w:numPr>
          <w:ilvl w:val="0"/>
          <w:numId w:val="5"/>
        </w:numPr>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Atteikties no apdrošināšanas prēmijas samazinājuma sākot ar 2022.gada 1.janvāri;</w:t>
      </w:r>
    </w:p>
    <w:p w14:paraId="5B4657EA" w14:textId="77777777" w:rsidR="00FA48C2" w:rsidRPr="00B9719A" w:rsidRDefault="00FA48C2" w:rsidP="00B9719A">
      <w:pPr>
        <w:pStyle w:val="ListParagraph"/>
        <w:numPr>
          <w:ilvl w:val="0"/>
          <w:numId w:val="5"/>
        </w:numPr>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Saglabāt spēkā esošo regulējumu nemainītu.</w:t>
      </w:r>
    </w:p>
    <w:p w14:paraId="34A782A0" w14:textId="77777777" w:rsidR="002B7DE7" w:rsidRPr="002B7DE7" w:rsidRDefault="007361AD" w:rsidP="002B7DE7">
      <w:pPr>
        <w:spacing w:after="0"/>
        <w:jc w:val="both"/>
        <w:rPr>
          <w:rFonts w:ascii="Times New Roman" w:hAnsi="Times New Roman" w:cs="Times New Roman"/>
          <w:iCs/>
          <w:sz w:val="24"/>
          <w:szCs w:val="24"/>
        </w:rPr>
      </w:pPr>
      <w:r>
        <w:rPr>
          <w:rFonts w:ascii="Times New Roman" w:hAnsi="Times New Roman" w:cs="Times New Roman"/>
          <w:iCs/>
          <w:sz w:val="24"/>
          <w:szCs w:val="24"/>
        </w:rPr>
        <w:tab/>
      </w:r>
    </w:p>
    <w:p w14:paraId="194B0D11" w14:textId="77777777" w:rsidR="002B7DE7" w:rsidRPr="00B9719A" w:rsidRDefault="00FA48C2" w:rsidP="00B9719A">
      <w:pPr>
        <w:pStyle w:val="ListParagraph"/>
        <w:numPr>
          <w:ilvl w:val="0"/>
          <w:numId w:val="6"/>
        </w:numPr>
        <w:spacing w:after="0"/>
        <w:jc w:val="both"/>
        <w:rPr>
          <w:rFonts w:ascii="Times New Roman" w:hAnsi="Times New Roman" w:cs="Times New Roman"/>
          <w:iCs/>
          <w:color w:val="000000" w:themeColor="text1"/>
          <w:sz w:val="24"/>
          <w:szCs w:val="24"/>
        </w:rPr>
      </w:pPr>
      <w:r>
        <w:rPr>
          <w:rFonts w:ascii="Times New Roman" w:eastAsia="Calibri" w:hAnsi="Times New Roman" w:cs="Times New Roman"/>
          <w:b/>
          <w:bCs/>
          <w:color w:val="000000" w:themeColor="text1"/>
          <w:sz w:val="24"/>
          <w:szCs w:val="24"/>
          <w:shd w:val="clear" w:color="auto" w:fill="FFFFFF"/>
        </w:rPr>
        <w:t>scenārijs</w:t>
      </w:r>
    </w:p>
    <w:p w14:paraId="6F410FF4" w14:textId="77777777" w:rsidR="002B7DE7" w:rsidRDefault="002B7DE7" w:rsidP="002B7DE7">
      <w:pPr>
        <w:spacing w:after="0"/>
        <w:ind w:firstLine="720"/>
        <w:jc w:val="both"/>
        <w:rPr>
          <w:rFonts w:ascii="Times New Roman" w:hAnsi="Times New Roman" w:cs="Times New Roman"/>
          <w:iCs/>
          <w:sz w:val="24"/>
          <w:szCs w:val="24"/>
        </w:rPr>
      </w:pPr>
      <w:r w:rsidRPr="0034771E">
        <w:rPr>
          <w:rFonts w:ascii="Times New Roman" w:eastAsia="Calibri" w:hAnsi="Times New Roman" w:cs="Times New Roman"/>
          <w:sz w:val="24"/>
          <w:szCs w:val="24"/>
          <w:shd w:val="clear" w:color="auto" w:fill="FFFFFF"/>
        </w:rPr>
        <w:t xml:space="preserve">Veikt grozījumus OCTA likumā, kas paredz OCTA likuma 14.panta </w:t>
      </w:r>
      <w:r w:rsidRPr="0034771E">
        <w:rPr>
          <w:rFonts w:ascii="Times New Roman" w:hAnsi="Times New Roman" w:cs="Times New Roman"/>
          <w:iCs/>
          <w:color w:val="000000" w:themeColor="text1"/>
          <w:sz w:val="24"/>
          <w:szCs w:val="24"/>
        </w:rPr>
        <w:t>otrajā un trešajā daļā noteiktā</w:t>
      </w:r>
      <w:r w:rsidRPr="0034771E">
        <w:rPr>
          <w:rFonts w:ascii="Times New Roman" w:eastAsia="Calibri" w:hAnsi="Times New Roman" w:cs="Times New Roman"/>
          <w:sz w:val="24"/>
          <w:szCs w:val="24"/>
          <w:shd w:val="clear" w:color="auto" w:fill="FFFFFF"/>
        </w:rPr>
        <w:t xml:space="preserve"> </w:t>
      </w:r>
      <w:r w:rsidRPr="0034771E">
        <w:rPr>
          <w:rFonts w:ascii="Times New Roman" w:hAnsi="Times New Roman" w:cs="Times New Roman"/>
          <w:iCs/>
          <w:color w:val="000000" w:themeColor="text1"/>
          <w:sz w:val="24"/>
          <w:szCs w:val="24"/>
        </w:rPr>
        <w:t xml:space="preserve">apdrošināšanas prēmijas samazinājuma pakāpenisku atcelšanu līdz 2025.gada 1.janvārim, proti, </w:t>
      </w:r>
      <w:r w:rsidRPr="0034771E">
        <w:rPr>
          <w:rFonts w:ascii="Times New Roman" w:hAnsi="Times New Roman" w:cs="Times New Roman"/>
          <w:iCs/>
          <w:sz w:val="24"/>
          <w:szCs w:val="24"/>
        </w:rPr>
        <w:t xml:space="preserve">laika periodā </w:t>
      </w:r>
      <w:r w:rsidRPr="0034771E">
        <w:rPr>
          <w:rFonts w:ascii="Times New Roman" w:hAnsi="Times New Roman" w:cs="Times New Roman"/>
          <w:iCs/>
          <w:color w:val="000000" w:themeColor="text1"/>
          <w:sz w:val="24"/>
          <w:szCs w:val="24"/>
        </w:rPr>
        <w:t>no 2023.gada 1.jūlija līdz 2024.gada 31.decembrim</w:t>
      </w:r>
      <w:r w:rsidRPr="0034771E">
        <w:rPr>
          <w:rFonts w:ascii="Times New Roman" w:hAnsi="Times New Roman" w:cs="Times New Roman"/>
          <w:iCs/>
          <w:sz w:val="24"/>
          <w:szCs w:val="24"/>
        </w:rPr>
        <w:t xml:space="preserve"> </w:t>
      </w:r>
      <w:r w:rsidRPr="0034771E">
        <w:rPr>
          <w:rFonts w:ascii="Times New Roman" w:hAnsi="Times New Roman" w:cs="Times New Roman"/>
          <w:iCs/>
          <w:color w:val="000000" w:themeColor="text1"/>
          <w:sz w:val="24"/>
          <w:szCs w:val="24"/>
        </w:rPr>
        <w:t>prēmijas samazinājumu</w:t>
      </w:r>
      <w:r w:rsidRPr="0034771E">
        <w:rPr>
          <w:rFonts w:ascii="Times New Roman" w:hAnsi="Times New Roman" w:cs="Times New Roman"/>
          <w:iCs/>
          <w:sz w:val="24"/>
          <w:szCs w:val="24"/>
        </w:rPr>
        <w:t xml:space="preserve"> noteikt attiecīgi 20 un 15 procentu apmērā un atcelt to </w:t>
      </w:r>
      <w:r w:rsidRPr="0034771E">
        <w:rPr>
          <w:rFonts w:ascii="Times New Roman" w:hAnsi="Times New Roman" w:cs="Times New Roman"/>
          <w:iCs/>
          <w:color w:val="000000" w:themeColor="text1"/>
          <w:sz w:val="24"/>
          <w:szCs w:val="24"/>
        </w:rPr>
        <w:t>2025.gada 1.janvārī.</w:t>
      </w:r>
      <w:r w:rsidRPr="0034771E">
        <w:rPr>
          <w:rFonts w:ascii="Times New Roman" w:hAnsi="Times New Roman" w:cs="Times New Roman"/>
          <w:iCs/>
          <w:sz w:val="24"/>
          <w:szCs w:val="24"/>
        </w:rPr>
        <w:t xml:space="preserve"> </w:t>
      </w:r>
    </w:p>
    <w:p w14:paraId="2E0DE81F" w14:textId="77777777" w:rsidR="002B7DE7" w:rsidRPr="0034771E" w:rsidRDefault="002B7DE7" w:rsidP="002B7DE7">
      <w:pPr>
        <w:spacing w:after="0"/>
        <w:ind w:firstLine="720"/>
        <w:jc w:val="both"/>
        <w:rPr>
          <w:rFonts w:ascii="Times New Roman" w:hAnsi="Times New Roman" w:cs="Times New Roman"/>
          <w:sz w:val="24"/>
          <w:szCs w:val="24"/>
        </w:rPr>
      </w:pPr>
      <w:r w:rsidRPr="0034771E">
        <w:rPr>
          <w:rFonts w:ascii="Times New Roman" w:hAnsi="Times New Roman" w:cs="Times New Roman"/>
          <w:iCs/>
          <w:sz w:val="24"/>
          <w:szCs w:val="24"/>
        </w:rPr>
        <w:t>Šī risinājuma ietekme uz Garantijas fondu attēlota 4. grafikā</w:t>
      </w:r>
      <w:r w:rsidRPr="0034771E">
        <w:rPr>
          <w:rFonts w:ascii="Times New Roman" w:hAnsi="Times New Roman" w:cs="Times New Roman"/>
          <w:sz w:val="24"/>
          <w:szCs w:val="24"/>
        </w:rPr>
        <w:t>.</w:t>
      </w:r>
    </w:p>
    <w:p w14:paraId="668EB710" w14:textId="77777777" w:rsidR="002B7DE7" w:rsidRPr="0034771E" w:rsidRDefault="002B7DE7" w:rsidP="002B7DE7">
      <w:pPr>
        <w:spacing w:after="0"/>
        <w:ind w:firstLine="720"/>
        <w:jc w:val="both"/>
        <w:rPr>
          <w:rFonts w:ascii="Times New Roman" w:hAnsi="Times New Roman" w:cs="Times New Roman"/>
          <w:iCs/>
          <w:color w:val="000000" w:themeColor="text1"/>
          <w:sz w:val="24"/>
          <w:szCs w:val="24"/>
        </w:rPr>
      </w:pPr>
    </w:p>
    <w:p w14:paraId="0C11DDCC" w14:textId="77777777" w:rsidR="002B7DE7" w:rsidRDefault="002B7DE7" w:rsidP="002B7DE7">
      <w:pPr>
        <w:spacing w:after="0" w:line="240" w:lineRule="auto"/>
        <w:ind w:firstLine="720"/>
        <w:jc w:val="both"/>
        <w:rPr>
          <w:rFonts w:ascii="Times New Roman" w:eastAsia="Calibri" w:hAnsi="Times New Roman" w:cs="Times New Roman"/>
          <w:color w:val="000000" w:themeColor="text1"/>
          <w:sz w:val="24"/>
          <w:szCs w:val="24"/>
          <w:shd w:val="clear" w:color="auto" w:fill="FFFFFF"/>
        </w:rPr>
      </w:pPr>
      <w:r w:rsidRPr="0034771E">
        <w:rPr>
          <w:rFonts w:ascii="Times New Roman" w:eastAsia="Calibri" w:hAnsi="Times New Roman" w:cs="Times New Roman"/>
          <w:color w:val="000000" w:themeColor="text1"/>
          <w:sz w:val="24"/>
          <w:szCs w:val="24"/>
          <w:shd w:val="clear" w:color="auto" w:fill="FFFFFF"/>
        </w:rPr>
        <w:t>4. grafiks</w:t>
      </w:r>
    </w:p>
    <w:p w14:paraId="24768DB0" w14:textId="77777777" w:rsidR="002B7DE7" w:rsidRPr="0034771E" w:rsidRDefault="002B7DE7" w:rsidP="002B7DE7">
      <w:pPr>
        <w:spacing w:after="0" w:line="240" w:lineRule="auto"/>
        <w:ind w:firstLine="720"/>
        <w:jc w:val="both"/>
        <w:rPr>
          <w:rFonts w:ascii="Times New Roman" w:eastAsia="Calibri" w:hAnsi="Times New Roman" w:cs="Times New Roman"/>
          <w:color w:val="000000" w:themeColor="text1"/>
          <w:sz w:val="24"/>
          <w:szCs w:val="24"/>
          <w:shd w:val="clear" w:color="auto" w:fill="FFFFFF"/>
        </w:rPr>
      </w:pPr>
    </w:p>
    <w:p w14:paraId="732663B7" w14:textId="77777777" w:rsidR="002B7DE7" w:rsidRPr="001624EA" w:rsidRDefault="002B7DE7" w:rsidP="002B7DE7">
      <w:pPr>
        <w:spacing w:after="0" w:line="240" w:lineRule="auto"/>
        <w:ind w:firstLine="720"/>
        <w:jc w:val="both"/>
        <w:rPr>
          <w:rFonts w:ascii="Times New Roman" w:eastAsia="Calibri" w:hAnsi="Times New Roman" w:cs="Times New Roman"/>
          <w:sz w:val="24"/>
          <w:szCs w:val="24"/>
          <w:shd w:val="clear" w:color="auto" w:fill="FFFFFF"/>
        </w:rPr>
      </w:pPr>
      <w:r w:rsidRPr="00B26636">
        <w:rPr>
          <w:rFonts w:ascii="Times New Roman" w:eastAsia="Calibri" w:hAnsi="Times New Roman" w:cs="Times New Roman"/>
          <w:noProof/>
          <w:sz w:val="24"/>
          <w:szCs w:val="24"/>
          <w:shd w:val="clear" w:color="auto" w:fill="FFFFFF"/>
          <w:lang w:eastAsia="lv-LV"/>
        </w:rPr>
        <w:drawing>
          <wp:inline distT="0" distB="0" distL="0" distR="0" wp14:anchorId="572C8A9A" wp14:editId="62CE0A2A">
            <wp:extent cx="5935980" cy="3182620"/>
            <wp:effectExtent l="0" t="0" r="7620"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6"/>
                    <a:stretch>
                      <a:fillRect/>
                    </a:stretch>
                  </pic:blipFill>
                  <pic:spPr>
                    <a:xfrm>
                      <a:off x="0" y="0"/>
                      <a:ext cx="5935980" cy="3182620"/>
                    </a:xfrm>
                    <a:prstGeom prst="rect">
                      <a:avLst/>
                    </a:prstGeom>
                  </pic:spPr>
                </pic:pic>
              </a:graphicData>
            </a:graphic>
          </wp:inline>
        </w:drawing>
      </w:r>
    </w:p>
    <w:p w14:paraId="22CC47F6" w14:textId="77777777" w:rsidR="002B7DE7" w:rsidRDefault="002B7DE7" w:rsidP="002B7DE7">
      <w:pPr>
        <w:spacing w:after="0"/>
        <w:ind w:left="720"/>
        <w:jc w:val="both"/>
        <w:rPr>
          <w:rFonts w:ascii="Times New Roman" w:eastAsia="Calibri" w:hAnsi="Times New Roman" w:cs="Times New Roman"/>
          <w:b/>
          <w:bCs/>
          <w:sz w:val="24"/>
          <w:szCs w:val="24"/>
          <w:shd w:val="clear" w:color="auto" w:fill="FFFFFF"/>
        </w:rPr>
      </w:pPr>
    </w:p>
    <w:p w14:paraId="11F1722D" w14:textId="77777777" w:rsidR="002B7DE7" w:rsidRPr="006175E5" w:rsidRDefault="00111AAF" w:rsidP="00943232">
      <w:pPr>
        <w:spacing w:after="0"/>
        <w:ind w:left="720"/>
        <w:jc w:val="both"/>
        <w:rPr>
          <w:rFonts w:ascii="Times New Roman" w:eastAsia="Calibri" w:hAnsi="Times New Roman" w:cs="Times New Roman"/>
          <w:sz w:val="24"/>
          <w:szCs w:val="24"/>
          <w:shd w:val="clear" w:color="auto" w:fill="FFFFFF"/>
        </w:rPr>
      </w:pPr>
      <w:r w:rsidRPr="006175E5">
        <w:rPr>
          <w:rFonts w:ascii="Times New Roman" w:eastAsia="Calibri" w:hAnsi="Times New Roman" w:cs="Times New Roman"/>
          <w:sz w:val="24"/>
          <w:szCs w:val="24"/>
          <w:shd w:val="clear" w:color="auto" w:fill="FFFFFF"/>
        </w:rPr>
        <w:t xml:space="preserve">Atbilstoši </w:t>
      </w:r>
      <w:r>
        <w:rPr>
          <w:rFonts w:ascii="Times New Roman" w:eastAsia="Calibri" w:hAnsi="Times New Roman" w:cs="Times New Roman"/>
          <w:sz w:val="24"/>
          <w:szCs w:val="24"/>
          <w:shd w:val="clear" w:color="auto" w:fill="FFFFFF"/>
        </w:rPr>
        <w:t>grafikā norādītajam</w:t>
      </w:r>
      <w:r w:rsidR="00112815">
        <w:rPr>
          <w:rFonts w:ascii="Times New Roman" w:eastAsia="Calibri" w:hAnsi="Times New Roman" w:cs="Times New Roman"/>
          <w:sz w:val="24"/>
          <w:szCs w:val="24"/>
          <w:shd w:val="clear" w:color="auto" w:fill="FFFFFF"/>
        </w:rPr>
        <w:t>, 1.</w:t>
      </w:r>
      <w:r w:rsidR="00FA48C2">
        <w:rPr>
          <w:rFonts w:ascii="Times New Roman" w:eastAsia="Calibri" w:hAnsi="Times New Roman" w:cs="Times New Roman"/>
          <w:sz w:val="24"/>
          <w:szCs w:val="24"/>
          <w:shd w:val="clear" w:color="auto" w:fill="FFFFFF"/>
        </w:rPr>
        <w:t>scenārija</w:t>
      </w:r>
      <w:r w:rsidR="00112815">
        <w:rPr>
          <w:rFonts w:ascii="Times New Roman" w:eastAsia="Calibri" w:hAnsi="Times New Roman" w:cs="Times New Roman"/>
          <w:sz w:val="24"/>
          <w:szCs w:val="24"/>
          <w:shd w:val="clear" w:color="auto" w:fill="FFFFFF"/>
        </w:rPr>
        <w:t xml:space="preserve"> gadījumā sākot no 30.09.2022. GF atlikums </w:t>
      </w:r>
      <w:r w:rsidR="00465FAF">
        <w:rPr>
          <w:rFonts w:ascii="Times New Roman" w:eastAsia="Calibri" w:hAnsi="Times New Roman" w:cs="Times New Roman"/>
          <w:sz w:val="24"/>
          <w:szCs w:val="24"/>
          <w:shd w:val="clear" w:color="auto" w:fill="FFFFFF"/>
        </w:rPr>
        <w:t xml:space="preserve">laika posmā līdz pilnīgai atlaižu atcelšanai periodiski </w:t>
      </w:r>
      <w:r w:rsidR="00112815">
        <w:rPr>
          <w:rFonts w:ascii="Times New Roman" w:eastAsia="Calibri" w:hAnsi="Times New Roman" w:cs="Times New Roman"/>
          <w:sz w:val="24"/>
          <w:szCs w:val="24"/>
          <w:shd w:val="clear" w:color="auto" w:fill="FFFFFF"/>
        </w:rPr>
        <w:t>būtu zem 15 milj. EUR, kas nozīmē</w:t>
      </w:r>
      <w:r w:rsidR="00465FAF">
        <w:rPr>
          <w:rFonts w:ascii="Times New Roman" w:eastAsia="Calibri" w:hAnsi="Times New Roman" w:cs="Times New Roman"/>
          <w:sz w:val="24"/>
          <w:szCs w:val="24"/>
          <w:shd w:val="clear" w:color="auto" w:fill="FFFFFF"/>
        </w:rPr>
        <w:t>, ka apdrošināšanas sabiedrībām būtu jāveic iemaksas Garantij</w:t>
      </w:r>
      <w:r w:rsidR="00DC7F9C">
        <w:rPr>
          <w:rFonts w:ascii="Times New Roman" w:eastAsia="Calibri" w:hAnsi="Times New Roman" w:cs="Times New Roman"/>
          <w:sz w:val="24"/>
          <w:szCs w:val="24"/>
          <w:shd w:val="clear" w:color="auto" w:fill="FFFFFF"/>
        </w:rPr>
        <w:t>as</w:t>
      </w:r>
      <w:r w:rsidR="00465FAF">
        <w:rPr>
          <w:rFonts w:ascii="Times New Roman" w:eastAsia="Calibri" w:hAnsi="Times New Roman" w:cs="Times New Roman"/>
          <w:sz w:val="24"/>
          <w:szCs w:val="24"/>
          <w:shd w:val="clear" w:color="auto" w:fill="FFFFFF"/>
        </w:rPr>
        <w:t xml:space="preserve"> fondā divkāršā apmērā</w:t>
      </w:r>
      <w:r w:rsidR="00FA48C2">
        <w:rPr>
          <w:rFonts w:ascii="Times New Roman" w:eastAsia="Calibri" w:hAnsi="Times New Roman" w:cs="Times New Roman"/>
          <w:sz w:val="24"/>
          <w:szCs w:val="24"/>
          <w:shd w:val="clear" w:color="auto" w:fill="FFFFFF"/>
        </w:rPr>
        <w:t xml:space="preserve"> šajā periodā</w:t>
      </w:r>
      <w:r w:rsidR="00465FAF">
        <w:rPr>
          <w:rFonts w:ascii="Times New Roman" w:eastAsia="Calibri" w:hAnsi="Times New Roman" w:cs="Times New Roman"/>
          <w:sz w:val="24"/>
          <w:szCs w:val="24"/>
          <w:shd w:val="clear" w:color="auto" w:fill="FFFFFF"/>
        </w:rPr>
        <w:t>.</w:t>
      </w:r>
    </w:p>
    <w:p w14:paraId="76B5D899" w14:textId="77777777" w:rsidR="007A44B5" w:rsidRDefault="007A44B5" w:rsidP="002B7DE7">
      <w:pPr>
        <w:spacing w:after="0"/>
        <w:ind w:left="720"/>
        <w:jc w:val="both"/>
        <w:rPr>
          <w:rFonts w:ascii="Times New Roman" w:eastAsia="Calibri" w:hAnsi="Times New Roman" w:cs="Times New Roman"/>
          <w:b/>
          <w:bCs/>
          <w:sz w:val="24"/>
          <w:szCs w:val="24"/>
          <w:shd w:val="clear" w:color="auto" w:fill="FFFFFF"/>
        </w:rPr>
      </w:pPr>
    </w:p>
    <w:p w14:paraId="394364E3" w14:textId="77777777" w:rsidR="002B7DE7" w:rsidRPr="00596E5F" w:rsidRDefault="002B7DE7" w:rsidP="002B7DE7">
      <w:pPr>
        <w:spacing w:after="0"/>
        <w:ind w:left="720"/>
        <w:jc w:val="both"/>
        <w:rPr>
          <w:rFonts w:ascii="Times New Roman" w:eastAsia="Calibri" w:hAnsi="Times New Roman" w:cs="Times New Roman"/>
          <w:b/>
          <w:bCs/>
          <w:sz w:val="24"/>
          <w:szCs w:val="24"/>
          <w:shd w:val="clear" w:color="auto" w:fill="FFFFFF"/>
        </w:rPr>
      </w:pPr>
      <w:r>
        <w:rPr>
          <w:rFonts w:ascii="Times New Roman" w:eastAsia="Calibri" w:hAnsi="Times New Roman" w:cs="Times New Roman"/>
          <w:b/>
          <w:bCs/>
          <w:sz w:val="24"/>
          <w:szCs w:val="24"/>
          <w:shd w:val="clear" w:color="auto" w:fill="FFFFFF"/>
        </w:rPr>
        <w:t xml:space="preserve">2. </w:t>
      </w:r>
      <w:r w:rsidR="00FA48C2">
        <w:rPr>
          <w:rFonts w:ascii="Times New Roman" w:eastAsia="Calibri" w:hAnsi="Times New Roman" w:cs="Times New Roman"/>
          <w:b/>
          <w:bCs/>
          <w:sz w:val="24"/>
          <w:szCs w:val="24"/>
          <w:shd w:val="clear" w:color="auto" w:fill="FFFFFF"/>
        </w:rPr>
        <w:t>scenārijs</w:t>
      </w:r>
    </w:p>
    <w:p w14:paraId="69822351" w14:textId="77777777" w:rsidR="002B7DE7" w:rsidRDefault="002B7DE7" w:rsidP="002B7DE7">
      <w:pPr>
        <w:spacing w:after="0"/>
        <w:ind w:firstLine="720"/>
        <w:jc w:val="both"/>
        <w:rPr>
          <w:rFonts w:ascii="Times New Roman" w:hAnsi="Times New Roman" w:cs="Times New Roman"/>
          <w:iCs/>
          <w:sz w:val="24"/>
          <w:szCs w:val="24"/>
        </w:rPr>
      </w:pPr>
      <w:r w:rsidRPr="0034771E">
        <w:rPr>
          <w:rFonts w:ascii="Times New Roman" w:eastAsia="Calibri" w:hAnsi="Times New Roman" w:cs="Times New Roman"/>
          <w:sz w:val="24"/>
          <w:szCs w:val="24"/>
          <w:shd w:val="clear" w:color="auto" w:fill="FFFFFF"/>
        </w:rPr>
        <w:t>Veikt grozījumus OCTA likuma 14.pantā,</w:t>
      </w:r>
      <w:r>
        <w:rPr>
          <w:rFonts w:ascii="Times New Roman" w:eastAsia="Calibri" w:hAnsi="Times New Roman" w:cs="Times New Roman"/>
          <w:sz w:val="24"/>
          <w:szCs w:val="24"/>
          <w:shd w:val="clear" w:color="auto" w:fill="FFFFFF"/>
        </w:rPr>
        <w:t xml:space="preserve"> ar 2022.gada 1.janvāri </w:t>
      </w:r>
      <w:r w:rsidRPr="0034771E">
        <w:rPr>
          <w:rFonts w:ascii="Times New Roman" w:eastAsia="Calibri" w:hAnsi="Times New Roman" w:cs="Times New Roman"/>
          <w:sz w:val="24"/>
          <w:szCs w:val="24"/>
          <w:shd w:val="clear" w:color="auto" w:fill="FFFFFF"/>
        </w:rPr>
        <w:t>izslēdzot OCTA</w:t>
      </w:r>
      <w:r>
        <w:rPr>
          <w:rFonts w:ascii="Times New Roman" w:eastAsia="Calibri" w:hAnsi="Times New Roman" w:cs="Times New Roman"/>
          <w:sz w:val="24"/>
          <w:szCs w:val="24"/>
          <w:shd w:val="clear" w:color="auto" w:fill="FFFFFF"/>
        </w:rPr>
        <w:t xml:space="preserve"> </w:t>
      </w:r>
      <w:r w:rsidRPr="0034771E">
        <w:rPr>
          <w:rFonts w:ascii="Times New Roman" w:eastAsia="Calibri" w:hAnsi="Times New Roman" w:cs="Times New Roman"/>
          <w:sz w:val="24"/>
          <w:szCs w:val="24"/>
          <w:shd w:val="clear" w:color="auto" w:fill="FFFFFF"/>
        </w:rPr>
        <w:t xml:space="preserve">14.panta </w:t>
      </w:r>
      <w:r w:rsidRPr="0034771E">
        <w:rPr>
          <w:rFonts w:ascii="Times New Roman" w:hAnsi="Times New Roman" w:cs="Times New Roman"/>
          <w:iCs/>
          <w:color w:val="000000" w:themeColor="text1"/>
          <w:sz w:val="24"/>
          <w:szCs w:val="24"/>
        </w:rPr>
        <w:t>otr</w:t>
      </w:r>
      <w:r>
        <w:rPr>
          <w:rFonts w:ascii="Times New Roman" w:hAnsi="Times New Roman" w:cs="Times New Roman"/>
          <w:iCs/>
          <w:color w:val="000000" w:themeColor="text1"/>
          <w:sz w:val="24"/>
          <w:szCs w:val="24"/>
        </w:rPr>
        <w:t>ās</w:t>
      </w:r>
      <w:r w:rsidRPr="0034771E">
        <w:rPr>
          <w:rFonts w:ascii="Times New Roman" w:hAnsi="Times New Roman" w:cs="Times New Roman"/>
          <w:iCs/>
          <w:color w:val="000000" w:themeColor="text1"/>
          <w:sz w:val="24"/>
          <w:szCs w:val="24"/>
        </w:rPr>
        <w:t xml:space="preserve"> un treš</w:t>
      </w:r>
      <w:r>
        <w:rPr>
          <w:rFonts w:ascii="Times New Roman" w:hAnsi="Times New Roman" w:cs="Times New Roman"/>
          <w:iCs/>
          <w:color w:val="000000" w:themeColor="text1"/>
          <w:sz w:val="24"/>
          <w:szCs w:val="24"/>
        </w:rPr>
        <w:t>ās</w:t>
      </w:r>
      <w:r w:rsidRPr="0034771E">
        <w:rPr>
          <w:rFonts w:ascii="Times New Roman" w:hAnsi="Times New Roman" w:cs="Times New Roman"/>
          <w:iCs/>
          <w:color w:val="000000" w:themeColor="text1"/>
          <w:sz w:val="24"/>
          <w:szCs w:val="24"/>
        </w:rPr>
        <w:t xml:space="preserve"> daļ</w:t>
      </w:r>
      <w:r>
        <w:rPr>
          <w:rFonts w:ascii="Times New Roman" w:hAnsi="Times New Roman" w:cs="Times New Roman"/>
          <w:iCs/>
          <w:color w:val="000000" w:themeColor="text1"/>
          <w:sz w:val="24"/>
          <w:szCs w:val="24"/>
        </w:rPr>
        <w:t>as r</w:t>
      </w:r>
      <w:r w:rsidRPr="0034771E">
        <w:rPr>
          <w:rFonts w:ascii="Times New Roman" w:eastAsia="Calibri" w:hAnsi="Times New Roman" w:cs="Times New Roman"/>
          <w:sz w:val="24"/>
          <w:szCs w:val="24"/>
          <w:shd w:val="clear" w:color="auto" w:fill="FFFFFF"/>
        </w:rPr>
        <w:t>egulējumu</w:t>
      </w:r>
      <w:r w:rsidR="00465FAF">
        <w:rPr>
          <w:rFonts w:ascii="Times New Roman" w:hAnsi="Times New Roman" w:cs="Times New Roman"/>
          <w:iCs/>
          <w:sz w:val="24"/>
          <w:szCs w:val="24"/>
        </w:rPr>
        <w:t xml:space="preserve">, tādējādi atsakoties no atlaidēm kopumā. </w:t>
      </w:r>
    </w:p>
    <w:p w14:paraId="4091C5E0" w14:textId="77777777" w:rsidR="002B7DE7" w:rsidRDefault="002B7DE7" w:rsidP="002B7DE7">
      <w:pPr>
        <w:spacing w:after="0"/>
        <w:ind w:firstLine="720"/>
        <w:jc w:val="both"/>
        <w:rPr>
          <w:rFonts w:ascii="Times New Roman" w:eastAsia="Calibri" w:hAnsi="Times New Roman" w:cs="Times New Roman"/>
          <w:sz w:val="24"/>
          <w:szCs w:val="24"/>
          <w:shd w:val="clear" w:color="auto" w:fill="FFFFFF"/>
        </w:rPr>
      </w:pPr>
    </w:p>
    <w:p w14:paraId="3360E7FC" w14:textId="77777777" w:rsidR="002B7DE7" w:rsidRDefault="002B7DE7" w:rsidP="002B7DE7">
      <w:pPr>
        <w:spacing w:after="0"/>
        <w:ind w:firstLine="72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grafiks</w:t>
      </w:r>
    </w:p>
    <w:p w14:paraId="27B07E92" w14:textId="77777777" w:rsidR="002B7DE7" w:rsidRDefault="002B7DE7" w:rsidP="002B7DE7">
      <w:pPr>
        <w:spacing w:after="0"/>
        <w:ind w:firstLine="720"/>
        <w:jc w:val="both"/>
        <w:rPr>
          <w:rFonts w:ascii="Times New Roman" w:eastAsia="Calibri" w:hAnsi="Times New Roman" w:cs="Times New Roman"/>
          <w:sz w:val="24"/>
          <w:szCs w:val="24"/>
          <w:shd w:val="clear" w:color="auto" w:fill="FFFFFF"/>
        </w:rPr>
      </w:pPr>
      <w:r w:rsidRPr="00A916E8">
        <w:rPr>
          <w:rFonts w:ascii="Times New Roman" w:eastAsia="Calibri" w:hAnsi="Times New Roman" w:cs="Times New Roman"/>
          <w:noProof/>
          <w:sz w:val="24"/>
          <w:szCs w:val="24"/>
          <w:shd w:val="clear" w:color="auto" w:fill="FFFFFF"/>
          <w:lang w:eastAsia="lv-LV"/>
        </w:rPr>
        <w:drawing>
          <wp:inline distT="0" distB="0" distL="0" distR="0" wp14:anchorId="1568CD65" wp14:editId="709C50E3">
            <wp:extent cx="5935980" cy="2760345"/>
            <wp:effectExtent l="0" t="0" r="7620" b="1905"/>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pic:nvPicPr>
                  <pic:blipFill>
                    <a:blip r:embed="rId17"/>
                    <a:stretch>
                      <a:fillRect/>
                    </a:stretch>
                  </pic:blipFill>
                  <pic:spPr>
                    <a:xfrm>
                      <a:off x="0" y="0"/>
                      <a:ext cx="5935980" cy="2760345"/>
                    </a:xfrm>
                    <a:prstGeom prst="rect">
                      <a:avLst/>
                    </a:prstGeom>
                  </pic:spPr>
                </pic:pic>
              </a:graphicData>
            </a:graphic>
          </wp:inline>
        </w:drawing>
      </w:r>
    </w:p>
    <w:p w14:paraId="38F48094" w14:textId="77777777" w:rsidR="002B7DE7" w:rsidRDefault="002B7DE7" w:rsidP="002B7DE7">
      <w:pPr>
        <w:spacing w:after="0"/>
        <w:ind w:firstLine="720"/>
        <w:jc w:val="both"/>
        <w:rPr>
          <w:rFonts w:ascii="Times New Roman" w:eastAsia="Calibri" w:hAnsi="Times New Roman" w:cs="Times New Roman"/>
          <w:sz w:val="24"/>
          <w:szCs w:val="24"/>
          <w:shd w:val="clear" w:color="auto" w:fill="FFFFFF"/>
        </w:rPr>
      </w:pPr>
    </w:p>
    <w:p w14:paraId="16F589EE" w14:textId="77777777" w:rsidR="00465FAF" w:rsidRPr="002418C0" w:rsidRDefault="00465FAF" w:rsidP="00B9719A">
      <w:pPr>
        <w:spacing w:after="0"/>
        <w:ind w:firstLine="720"/>
        <w:jc w:val="both"/>
        <w:rPr>
          <w:rFonts w:ascii="Times New Roman" w:eastAsia="Calibri" w:hAnsi="Times New Roman" w:cs="Times New Roman"/>
          <w:sz w:val="24"/>
          <w:szCs w:val="24"/>
          <w:shd w:val="clear" w:color="auto" w:fill="FFFFFF"/>
        </w:rPr>
      </w:pPr>
      <w:r w:rsidRPr="002418C0">
        <w:rPr>
          <w:rFonts w:ascii="Times New Roman" w:eastAsia="Calibri" w:hAnsi="Times New Roman" w:cs="Times New Roman"/>
          <w:sz w:val="24"/>
          <w:szCs w:val="24"/>
          <w:shd w:val="clear" w:color="auto" w:fill="FFFFFF"/>
        </w:rPr>
        <w:t xml:space="preserve">Atbilstoši </w:t>
      </w:r>
      <w:r>
        <w:rPr>
          <w:rFonts w:ascii="Times New Roman" w:eastAsia="Calibri" w:hAnsi="Times New Roman" w:cs="Times New Roman"/>
          <w:sz w:val="24"/>
          <w:szCs w:val="24"/>
          <w:shd w:val="clear" w:color="auto" w:fill="FFFFFF"/>
        </w:rPr>
        <w:t>grafikā norādītajam, 2.</w:t>
      </w:r>
      <w:r w:rsidR="00FA48C2">
        <w:rPr>
          <w:rFonts w:ascii="Times New Roman" w:eastAsia="Calibri" w:hAnsi="Times New Roman" w:cs="Times New Roman"/>
          <w:sz w:val="24"/>
          <w:szCs w:val="24"/>
          <w:shd w:val="clear" w:color="auto" w:fill="FFFFFF"/>
        </w:rPr>
        <w:t>scenārija</w:t>
      </w:r>
      <w:r>
        <w:rPr>
          <w:rFonts w:ascii="Times New Roman" w:eastAsia="Calibri" w:hAnsi="Times New Roman" w:cs="Times New Roman"/>
          <w:sz w:val="24"/>
          <w:szCs w:val="24"/>
          <w:shd w:val="clear" w:color="auto" w:fill="FFFFFF"/>
        </w:rPr>
        <w:t xml:space="preserve"> gadījumā Garantijas fonda atlikums saglabātos virs 15 milj. EUR, un apdrošināšanas sabiedrībām nebūtu jāveic iemaksas Garantijas fondā divkāršā apmērā. </w:t>
      </w:r>
    </w:p>
    <w:p w14:paraId="64B932F8" w14:textId="77777777" w:rsidR="00465FAF" w:rsidRDefault="00465FAF" w:rsidP="004A4BF8">
      <w:pPr>
        <w:spacing w:after="0"/>
        <w:jc w:val="both"/>
        <w:rPr>
          <w:rFonts w:ascii="Times New Roman" w:eastAsia="Calibri" w:hAnsi="Times New Roman" w:cs="Times New Roman"/>
          <w:sz w:val="24"/>
          <w:szCs w:val="24"/>
          <w:shd w:val="clear" w:color="auto" w:fill="FFFFFF"/>
        </w:rPr>
      </w:pPr>
    </w:p>
    <w:p w14:paraId="2FE5472F" w14:textId="77777777" w:rsidR="007A44B5" w:rsidRDefault="007A44B5" w:rsidP="002B7DE7">
      <w:pPr>
        <w:spacing w:after="0"/>
        <w:ind w:firstLine="720"/>
        <w:jc w:val="both"/>
        <w:rPr>
          <w:rFonts w:ascii="Times New Roman" w:eastAsia="Calibri" w:hAnsi="Times New Roman" w:cs="Times New Roman"/>
          <w:b/>
          <w:bCs/>
          <w:sz w:val="24"/>
          <w:szCs w:val="24"/>
          <w:shd w:val="clear" w:color="auto" w:fill="FFFFFF"/>
        </w:rPr>
      </w:pPr>
    </w:p>
    <w:p w14:paraId="09E8AFEB" w14:textId="77777777" w:rsidR="002B7DE7" w:rsidRPr="00596E5F" w:rsidRDefault="002B7DE7" w:rsidP="002B7DE7">
      <w:pPr>
        <w:spacing w:after="0"/>
        <w:ind w:firstLine="720"/>
        <w:jc w:val="both"/>
        <w:rPr>
          <w:rFonts w:ascii="Times New Roman" w:eastAsia="Calibri" w:hAnsi="Times New Roman" w:cs="Times New Roman"/>
          <w:sz w:val="24"/>
          <w:szCs w:val="24"/>
          <w:shd w:val="clear" w:color="auto" w:fill="FFFFFF"/>
        </w:rPr>
      </w:pPr>
      <w:r>
        <w:rPr>
          <w:rFonts w:ascii="Times New Roman" w:eastAsia="Calibri" w:hAnsi="Times New Roman" w:cs="Times New Roman"/>
          <w:b/>
          <w:bCs/>
          <w:sz w:val="24"/>
          <w:szCs w:val="24"/>
          <w:shd w:val="clear" w:color="auto" w:fill="FFFFFF"/>
        </w:rPr>
        <w:t xml:space="preserve">3. </w:t>
      </w:r>
      <w:r w:rsidR="00FF4A98">
        <w:rPr>
          <w:rFonts w:ascii="Times New Roman" w:eastAsia="Calibri" w:hAnsi="Times New Roman" w:cs="Times New Roman"/>
          <w:b/>
          <w:bCs/>
          <w:sz w:val="24"/>
          <w:szCs w:val="24"/>
          <w:shd w:val="clear" w:color="auto" w:fill="FFFFFF"/>
        </w:rPr>
        <w:t>scenārijs</w:t>
      </w:r>
      <w:r w:rsidR="00FF4A98" w:rsidRPr="0034771E">
        <w:rPr>
          <w:rFonts w:ascii="Times New Roman" w:eastAsia="Calibri" w:hAnsi="Times New Roman" w:cs="Times New Roman"/>
          <w:b/>
          <w:bCs/>
          <w:sz w:val="24"/>
          <w:szCs w:val="24"/>
          <w:shd w:val="clear" w:color="auto" w:fill="FFFFFF"/>
        </w:rPr>
        <w:t xml:space="preserve"> </w:t>
      </w:r>
    </w:p>
    <w:p w14:paraId="3EB175AE" w14:textId="77777777" w:rsidR="002B7DE7" w:rsidRPr="0034771E" w:rsidRDefault="002B7DE7" w:rsidP="002B7DE7">
      <w:pPr>
        <w:spacing w:after="0" w:line="240" w:lineRule="auto"/>
        <w:ind w:firstLine="720"/>
        <w:jc w:val="both"/>
        <w:rPr>
          <w:rFonts w:ascii="Times New Roman" w:eastAsia="Calibri" w:hAnsi="Times New Roman" w:cs="Times New Roman"/>
          <w:b/>
          <w:bCs/>
          <w:sz w:val="24"/>
          <w:szCs w:val="24"/>
          <w:shd w:val="clear" w:color="auto" w:fill="FFFFFF"/>
        </w:rPr>
      </w:pPr>
      <w:r w:rsidRPr="0034771E">
        <w:rPr>
          <w:rFonts w:ascii="Times New Roman" w:eastAsia="Calibri" w:hAnsi="Times New Roman" w:cs="Times New Roman"/>
          <w:sz w:val="24"/>
          <w:szCs w:val="24"/>
          <w:shd w:val="clear" w:color="auto" w:fill="FFFFFF"/>
        </w:rPr>
        <w:t>OCTA likuma 14.</w:t>
      </w:r>
      <w:r>
        <w:rPr>
          <w:rFonts w:ascii="Times New Roman" w:eastAsia="Calibri" w:hAnsi="Times New Roman" w:cs="Times New Roman"/>
          <w:sz w:val="24"/>
          <w:szCs w:val="24"/>
          <w:shd w:val="clear" w:color="auto" w:fill="FFFFFF"/>
        </w:rPr>
        <w:t> </w:t>
      </w:r>
      <w:r w:rsidRPr="0034771E">
        <w:rPr>
          <w:rFonts w:ascii="Times New Roman" w:eastAsia="Calibri" w:hAnsi="Times New Roman" w:cs="Times New Roman"/>
          <w:sz w:val="24"/>
          <w:szCs w:val="24"/>
          <w:shd w:val="clear" w:color="auto" w:fill="FFFFFF"/>
        </w:rPr>
        <w:t xml:space="preserve">pantā </w:t>
      </w:r>
      <w:r w:rsidRPr="0034771E">
        <w:rPr>
          <w:rFonts w:ascii="Times New Roman" w:hAnsi="Times New Roman" w:cs="Times New Roman"/>
          <w:iCs/>
          <w:color w:val="000000" w:themeColor="text1"/>
          <w:sz w:val="24"/>
          <w:szCs w:val="24"/>
        </w:rPr>
        <w:t>otrajā un trešajā daļā noteikto</w:t>
      </w:r>
      <w:r w:rsidRPr="0034771E">
        <w:rPr>
          <w:rFonts w:ascii="Times New Roman" w:eastAsia="Calibri" w:hAnsi="Times New Roman" w:cs="Times New Roman"/>
          <w:sz w:val="24"/>
          <w:szCs w:val="24"/>
          <w:shd w:val="clear" w:color="auto" w:fill="FFFFFF"/>
        </w:rPr>
        <w:t xml:space="preserve"> regulējumu negrozīt</w:t>
      </w:r>
      <w:r w:rsidR="00465FAF">
        <w:rPr>
          <w:rFonts w:ascii="Times New Roman" w:eastAsia="Calibri" w:hAnsi="Times New Roman" w:cs="Times New Roman"/>
          <w:sz w:val="24"/>
          <w:szCs w:val="24"/>
          <w:shd w:val="clear" w:color="auto" w:fill="FFFFFF"/>
        </w:rPr>
        <w:t>, saglabājot atlaides esošajā apmērā</w:t>
      </w:r>
      <w:r w:rsidRPr="0034771E">
        <w:rPr>
          <w:rFonts w:ascii="Times New Roman" w:eastAsia="Calibri" w:hAnsi="Times New Roman" w:cs="Times New Roman"/>
          <w:sz w:val="24"/>
          <w:szCs w:val="24"/>
          <w:shd w:val="clear" w:color="auto" w:fill="FFFFFF"/>
        </w:rPr>
        <w:t xml:space="preserve">. </w:t>
      </w:r>
      <w:r w:rsidRPr="0034771E">
        <w:rPr>
          <w:rFonts w:ascii="Times New Roman" w:hAnsi="Times New Roman" w:cs="Times New Roman"/>
          <w:iCs/>
          <w:sz w:val="24"/>
          <w:szCs w:val="24"/>
        </w:rPr>
        <w:t xml:space="preserve">Šī </w:t>
      </w:r>
      <w:r w:rsidR="00FF4A98">
        <w:rPr>
          <w:rFonts w:ascii="Times New Roman" w:hAnsi="Times New Roman" w:cs="Times New Roman"/>
          <w:iCs/>
          <w:sz w:val="24"/>
          <w:szCs w:val="24"/>
        </w:rPr>
        <w:t>scenārija</w:t>
      </w:r>
      <w:r w:rsidR="00FF4A98" w:rsidRPr="0034771E">
        <w:rPr>
          <w:rFonts w:ascii="Times New Roman" w:hAnsi="Times New Roman" w:cs="Times New Roman"/>
          <w:iCs/>
          <w:sz w:val="24"/>
          <w:szCs w:val="24"/>
        </w:rPr>
        <w:t xml:space="preserve"> </w:t>
      </w:r>
      <w:r w:rsidRPr="0034771E">
        <w:rPr>
          <w:rFonts w:ascii="Times New Roman" w:hAnsi="Times New Roman" w:cs="Times New Roman"/>
          <w:iCs/>
          <w:sz w:val="24"/>
          <w:szCs w:val="24"/>
        </w:rPr>
        <w:t xml:space="preserve">ietekme uz Garantijas fondu attēlota </w:t>
      </w:r>
      <w:r>
        <w:rPr>
          <w:rFonts w:ascii="Times New Roman" w:hAnsi="Times New Roman" w:cs="Times New Roman"/>
          <w:iCs/>
          <w:sz w:val="24"/>
          <w:szCs w:val="24"/>
        </w:rPr>
        <w:t>6</w:t>
      </w:r>
      <w:r w:rsidRPr="0034771E">
        <w:rPr>
          <w:rFonts w:ascii="Times New Roman" w:hAnsi="Times New Roman" w:cs="Times New Roman"/>
          <w:iCs/>
          <w:sz w:val="24"/>
          <w:szCs w:val="24"/>
        </w:rPr>
        <w:t>. grafikā.</w:t>
      </w:r>
    </w:p>
    <w:p w14:paraId="38FC6D9A" w14:textId="77777777" w:rsidR="002B7DE7" w:rsidRDefault="002B7DE7" w:rsidP="002B7DE7">
      <w:pPr>
        <w:spacing w:after="0" w:line="240" w:lineRule="auto"/>
        <w:ind w:firstLine="720"/>
        <w:jc w:val="both"/>
        <w:rPr>
          <w:rFonts w:ascii="Times New Roman" w:eastAsia="Calibri" w:hAnsi="Times New Roman" w:cs="Times New Roman"/>
          <w:sz w:val="24"/>
          <w:szCs w:val="24"/>
          <w:shd w:val="clear" w:color="auto" w:fill="FFFFFF"/>
        </w:rPr>
      </w:pPr>
    </w:p>
    <w:p w14:paraId="47057B2C" w14:textId="77777777" w:rsidR="002B7DE7" w:rsidRPr="0034771E" w:rsidRDefault="002B7DE7" w:rsidP="002B7DE7">
      <w:pPr>
        <w:spacing w:after="0" w:line="240" w:lineRule="auto"/>
        <w:ind w:firstLine="720"/>
        <w:jc w:val="both"/>
        <w:rPr>
          <w:rFonts w:ascii="Times New Roman" w:eastAsia="Calibri" w:hAnsi="Times New Roman" w:cs="Times New Roman"/>
          <w:sz w:val="24"/>
          <w:szCs w:val="24"/>
          <w:shd w:val="clear" w:color="auto" w:fill="FFFFFF"/>
        </w:rPr>
      </w:pPr>
      <w:r w:rsidRPr="0034771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6</w:t>
      </w:r>
      <w:r w:rsidRPr="0034771E">
        <w:rPr>
          <w:rFonts w:ascii="Times New Roman" w:eastAsia="Calibri" w:hAnsi="Times New Roman" w:cs="Times New Roman"/>
          <w:sz w:val="24"/>
          <w:szCs w:val="24"/>
          <w:shd w:val="clear" w:color="auto" w:fill="FFFFFF"/>
        </w:rPr>
        <w:t>. grafiks</w:t>
      </w:r>
    </w:p>
    <w:p w14:paraId="385312BD" w14:textId="77777777" w:rsidR="002B7DE7" w:rsidRPr="0034771E" w:rsidRDefault="002B7DE7" w:rsidP="002B7DE7">
      <w:pPr>
        <w:spacing w:after="0" w:line="240" w:lineRule="auto"/>
        <w:ind w:firstLine="720"/>
        <w:jc w:val="both"/>
        <w:rPr>
          <w:rFonts w:ascii="Times New Roman" w:eastAsia="Calibri" w:hAnsi="Times New Roman" w:cs="Times New Roman"/>
          <w:sz w:val="24"/>
          <w:szCs w:val="24"/>
          <w:shd w:val="clear" w:color="auto" w:fill="FFFFFF"/>
        </w:rPr>
      </w:pPr>
    </w:p>
    <w:p w14:paraId="6602A8A3" w14:textId="77777777" w:rsidR="002B7DE7" w:rsidRPr="0034771E" w:rsidRDefault="002B7DE7" w:rsidP="002B7DE7">
      <w:pPr>
        <w:spacing w:after="0" w:line="240" w:lineRule="auto"/>
        <w:ind w:firstLine="720"/>
        <w:jc w:val="both"/>
        <w:rPr>
          <w:rFonts w:ascii="Times New Roman" w:eastAsia="Calibri" w:hAnsi="Times New Roman" w:cs="Times New Roman"/>
          <w:sz w:val="24"/>
          <w:szCs w:val="24"/>
          <w:shd w:val="clear" w:color="auto" w:fill="FFFFFF"/>
        </w:rPr>
      </w:pPr>
      <w:r w:rsidRPr="00A916E8">
        <w:rPr>
          <w:rFonts w:ascii="Times New Roman" w:eastAsia="Calibri" w:hAnsi="Times New Roman" w:cs="Times New Roman"/>
          <w:noProof/>
          <w:sz w:val="24"/>
          <w:szCs w:val="24"/>
          <w:shd w:val="clear" w:color="auto" w:fill="FFFFFF"/>
          <w:lang w:eastAsia="lv-LV"/>
        </w:rPr>
        <w:drawing>
          <wp:inline distT="0" distB="0" distL="0" distR="0" wp14:anchorId="37D81352" wp14:editId="7769F831">
            <wp:extent cx="5935980" cy="2376170"/>
            <wp:effectExtent l="0" t="0" r="7620" b="5080"/>
            <wp:docPr id="16" name="Picture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able&#10;&#10;Description automatically generated"/>
                    <pic:cNvPicPr/>
                  </pic:nvPicPr>
                  <pic:blipFill>
                    <a:blip r:embed="rId18"/>
                    <a:stretch>
                      <a:fillRect/>
                    </a:stretch>
                  </pic:blipFill>
                  <pic:spPr>
                    <a:xfrm>
                      <a:off x="0" y="0"/>
                      <a:ext cx="5935980" cy="2376170"/>
                    </a:xfrm>
                    <a:prstGeom prst="rect">
                      <a:avLst/>
                    </a:prstGeom>
                  </pic:spPr>
                </pic:pic>
              </a:graphicData>
            </a:graphic>
          </wp:inline>
        </w:drawing>
      </w:r>
    </w:p>
    <w:p w14:paraId="0F0C561A" w14:textId="77777777" w:rsidR="00465FAF" w:rsidRPr="002418C0" w:rsidRDefault="00465FAF" w:rsidP="00B9719A">
      <w:pPr>
        <w:spacing w:after="0"/>
        <w:ind w:firstLine="720"/>
        <w:jc w:val="both"/>
        <w:rPr>
          <w:rFonts w:ascii="Times New Roman" w:eastAsia="Calibri" w:hAnsi="Times New Roman" w:cs="Times New Roman"/>
          <w:sz w:val="24"/>
          <w:szCs w:val="24"/>
          <w:shd w:val="clear" w:color="auto" w:fill="FFFFFF"/>
        </w:rPr>
      </w:pPr>
      <w:r w:rsidRPr="002418C0">
        <w:rPr>
          <w:rFonts w:ascii="Times New Roman" w:eastAsia="Calibri" w:hAnsi="Times New Roman" w:cs="Times New Roman"/>
          <w:sz w:val="24"/>
          <w:szCs w:val="24"/>
          <w:shd w:val="clear" w:color="auto" w:fill="FFFFFF"/>
        </w:rPr>
        <w:t xml:space="preserve">Atbilstoši </w:t>
      </w:r>
      <w:r>
        <w:rPr>
          <w:rFonts w:ascii="Times New Roman" w:eastAsia="Calibri" w:hAnsi="Times New Roman" w:cs="Times New Roman"/>
          <w:sz w:val="24"/>
          <w:szCs w:val="24"/>
          <w:shd w:val="clear" w:color="auto" w:fill="FFFFFF"/>
        </w:rPr>
        <w:t>grafikā norādītajam, 3.</w:t>
      </w:r>
      <w:r w:rsidR="00FF4A98">
        <w:rPr>
          <w:rFonts w:ascii="Times New Roman" w:eastAsia="Calibri" w:hAnsi="Times New Roman" w:cs="Times New Roman"/>
          <w:sz w:val="24"/>
          <w:szCs w:val="24"/>
          <w:shd w:val="clear" w:color="auto" w:fill="FFFFFF"/>
        </w:rPr>
        <w:t>scenārija</w:t>
      </w:r>
      <w:r>
        <w:rPr>
          <w:rFonts w:ascii="Times New Roman" w:eastAsia="Calibri" w:hAnsi="Times New Roman" w:cs="Times New Roman"/>
          <w:sz w:val="24"/>
          <w:szCs w:val="24"/>
          <w:shd w:val="clear" w:color="auto" w:fill="FFFFFF"/>
        </w:rPr>
        <w:t xml:space="preserve"> gadījumā </w:t>
      </w:r>
      <w:r w:rsidR="00FF4A98">
        <w:rPr>
          <w:rFonts w:ascii="Times New Roman" w:eastAsia="Calibri" w:hAnsi="Times New Roman" w:cs="Times New Roman"/>
          <w:sz w:val="24"/>
          <w:szCs w:val="24"/>
          <w:shd w:val="clear" w:color="auto" w:fill="FFFFFF"/>
        </w:rPr>
        <w:t xml:space="preserve">Garantijas fonda atlikums </w:t>
      </w:r>
      <w:r>
        <w:rPr>
          <w:rFonts w:ascii="Times New Roman" w:eastAsia="Calibri" w:hAnsi="Times New Roman" w:cs="Times New Roman"/>
          <w:sz w:val="24"/>
          <w:szCs w:val="24"/>
          <w:shd w:val="clear" w:color="auto" w:fill="FFFFFF"/>
        </w:rPr>
        <w:t>sākot no 30.09.2022. periodiski būtu zem 15 milj. EUR, kas nozīmē, ka apdrošināšanas sabiedrībām būtu</w:t>
      </w:r>
      <w:r w:rsidR="00FF4A98">
        <w:rPr>
          <w:rFonts w:ascii="Times New Roman" w:eastAsia="Calibri" w:hAnsi="Times New Roman" w:cs="Times New Roman"/>
          <w:sz w:val="24"/>
          <w:szCs w:val="24"/>
          <w:shd w:val="clear" w:color="auto" w:fill="FFFFFF"/>
        </w:rPr>
        <w:t xml:space="preserve"> periodiski</w:t>
      </w:r>
      <w:r>
        <w:rPr>
          <w:rFonts w:ascii="Times New Roman" w:eastAsia="Calibri" w:hAnsi="Times New Roman" w:cs="Times New Roman"/>
          <w:sz w:val="24"/>
          <w:szCs w:val="24"/>
          <w:shd w:val="clear" w:color="auto" w:fill="FFFFFF"/>
        </w:rPr>
        <w:t xml:space="preserve"> jāveic iemaksas Garantij</w:t>
      </w:r>
      <w:r w:rsidR="00DC7F9C">
        <w:rPr>
          <w:rFonts w:ascii="Times New Roman" w:eastAsia="Calibri" w:hAnsi="Times New Roman" w:cs="Times New Roman"/>
          <w:sz w:val="24"/>
          <w:szCs w:val="24"/>
          <w:shd w:val="clear" w:color="auto" w:fill="FFFFFF"/>
        </w:rPr>
        <w:t xml:space="preserve">as </w:t>
      </w:r>
      <w:r>
        <w:rPr>
          <w:rFonts w:ascii="Times New Roman" w:eastAsia="Calibri" w:hAnsi="Times New Roman" w:cs="Times New Roman"/>
          <w:sz w:val="24"/>
          <w:szCs w:val="24"/>
          <w:shd w:val="clear" w:color="auto" w:fill="FFFFFF"/>
        </w:rPr>
        <w:t>fondā divkāršā apmērā.</w:t>
      </w:r>
    </w:p>
    <w:p w14:paraId="674FD199" w14:textId="77777777" w:rsidR="002B7DE7" w:rsidRDefault="002B7DE7" w:rsidP="002B7DE7">
      <w:pPr>
        <w:spacing w:after="0"/>
        <w:jc w:val="both"/>
        <w:rPr>
          <w:rFonts w:ascii="Times New Roman" w:hAnsi="Times New Roman" w:cs="Times New Roman"/>
          <w:iCs/>
          <w:sz w:val="24"/>
          <w:szCs w:val="24"/>
        </w:rPr>
      </w:pPr>
    </w:p>
    <w:p w14:paraId="7C28D696" w14:textId="77777777" w:rsidR="00DC7F9C" w:rsidRPr="0034771E" w:rsidRDefault="00DC7F9C" w:rsidP="00DC7F9C">
      <w:pPr>
        <w:spacing w:after="0"/>
        <w:ind w:firstLine="720"/>
        <w:jc w:val="both"/>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 xml:space="preserve">Secinājumi un </w:t>
      </w:r>
      <w:r w:rsidR="00FA48C2">
        <w:rPr>
          <w:rFonts w:ascii="Times New Roman" w:eastAsia="Times New Roman" w:hAnsi="Times New Roman" w:cs="Times New Roman"/>
          <w:b/>
          <w:bCs/>
          <w:color w:val="000000" w:themeColor="text1"/>
          <w:sz w:val="24"/>
          <w:szCs w:val="24"/>
          <w:lang w:eastAsia="en-GB"/>
        </w:rPr>
        <w:t>turpmākā rīcība</w:t>
      </w:r>
    </w:p>
    <w:p w14:paraId="45BD29EF" w14:textId="77777777" w:rsidR="00465FAF" w:rsidRDefault="00DC7F9C" w:rsidP="002B7DE7">
      <w:pPr>
        <w:spacing w:after="0"/>
        <w:jc w:val="both"/>
        <w:rPr>
          <w:rFonts w:ascii="Times New Roman" w:hAnsi="Times New Roman" w:cs="Times New Roman"/>
          <w:iCs/>
          <w:sz w:val="24"/>
          <w:szCs w:val="24"/>
        </w:rPr>
      </w:pPr>
      <w:r>
        <w:rPr>
          <w:rFonts w:ascii="Times New Roman" w:hAnsi="Times New Roman" w:cs="Times New Roman"/>
          <w:iCs/>
          <w:sz w:val="24"/>
          <w:szCs w:val="24"/>
        </w:rPr>
        <w:tab/>
      </w:r>
      <w:r w:rsidR="00FF4A98">
        <w:rPr>
          <w:rFonts w:ascii="Times New Roman" w:hAnsi="Times New Roman" w:cs="Times New Roman"/>
          <w:iCs/>
          <w:sz w:val="24"/>
          <w:szCs w:val="24"/>
        </w:rPr>
        <w:t>Ņemot vērā to, ka</w:t>
      </w:r>
      <w:r w:rsidR="00F605D9">
        <w:rPr>
          <w:rFonts w:ascii="Times New Roman" w:hAnsi="Times New Roman" w:cs="Times New Roman"/>
          <w:iCs/>
          <w:sz w:val="24"/>
          <w:szCs w:val="24"/>
        </w:rPr>
        <w:t xml:space="preserve"> tikai 2021.gadā (10.janvārī un 1.jūlijā) ir stājušās spēkā būtiskas izmaiņas OCTA likuma 14.panta regulējumā, vienlaikus gan nosakot ierobežojumus, gan </w:t>
      </w:r>
      <w:r w:rsidR="00F605D9">
        <w:rPr>
          <w:rFonts w:ascii="Times New Roman" w:hAnsi="Times New Roman" w:cs="Times New Roman"/>
          <w:iCs/>
          <w:sz w:val="24"/>
          <w:szCs w:val="24"/>
        </w:rPr>
        <w:lastRenderedPageBreak/>
        <w:t xml:space="preserve">paplašinot apdrošināšanas prēmijas samazinājuma saņēmēju loku, pašreizējā brīdī var sniegt tikai </w:t>
      </w:r>
      <w:proofErr w:type="spellStart"/>
      <w:r w:rsidR="00F605D9">
        <w:rPr>
          <w:rFonts w:ascii="Times New Roman" w:hAnsi="Times New Roman" w:cs="Times New Roman"/>
          <w:iCs/>
          <w:sz w:val="24"/>
          <w:szCs w:val="24"/>
        </w:rPr>
        <w:t>pirmsšķietamu</w:t>
      </w:r>
      <w:proofErr w:type="spellEnd"/>
      <w:r w:rsidR="00F605D9">
        <w:rPr>
          <w:rFonts w:ascii="Times New Roman" w:hAnsi="Times New Roman" w:cs="Times New Roman"/>
          <w:iCs/>
          <w:sz w:val="24"/>
          <w:szCs w:val="24"/>
        </w:rPr>
        <w:t xml:space="preserve"> šo grozījumu ietekmes novērtējumu, līdz ar to apdrošināšanas prēmijas samazinājuma pārskatīšana pašreizējā brīdī ir pāragra, jo</w:t>
      </w:r>
      <w:r w:rsidR="00CD3B3D">
        <w:rPr>
          <w:rFonts w:ascii="Times New Roman" w:hAnsi="Times New Roman" w:cs="Times New Roman"/>
          <w:iCs/>
          <w:sz w:val="24"/>
          <w:szCs w:val="24"/>
        </w:rPr>
        <w:t xml:space="preserve"> būtu lietderīgi iz</w:t>
      </w:r>
      <w:r w:rsidR="00F605D9">
        <w:rPr>
          <w:rFonts w:ascii="Times New Roman" w:hAnsi="Times New Roman" w:cs="Times New Roman"/>
          <w:iCs/>
          <w:sz w:val="24"/>
          <w:szCs w:val="24"/>
        </w:rPr>
        <w:t>vērtēt nesen spēkā stājušā</w:t>
      </w:r>
      <w:r w:rsidR="00CD3B3D">
        <w:rPr>
          <w:rFonts w:ascii="Times New Roman" w:hAnsi="Times New Roman" w:cs="Times New Roman"/>
          <w:iCs/>
          <w:sz w:val="24"/>
          <w:szCs w:val="24"/>
        </w:rPr>
        <w:t xml:space="preserve"> </w:t>
      </w:r>
      <w:r w:rsidR="00F605D9">
        <w:rPr>
          <w:rFonts w:ascii="Times New Roman" w:hAnsi="Times New Roman" w:cs="Times New Roman"/>
          <w:iCs/>
          <w:sz w:val="24"/>
          <w:szCs w:val="24"/>
        </w:rPr>
        <w:t>regulējuma ietekmi ilgākā termiņ</w:t>
      </w:r>
      <w:r w:rsidR="00CD3B3D">
        <w:rPr>
          <w:rFonts w:ascii="Times New Roman" w:hAnsi="Times New Roman" w:cs="Times New Roman"/>
          <w:iCs/>
          <w:sz w:val="24"/>
          <w:szCs w:val="24"/>
        </w:rPr>
        <w:t>ā</w:t>
      </w:r>
      <w:r w:rsidR="00F605D9">
        <w:rPr>
          <w:rFonts w:ascii="Times New Roman" w:hAnsi="Times New Roman" w:cs="Times New Roman"/>
          <w:iCs/>
          <w:sz w:val="24"/>
          <w:szCs w:val="24"/>
        </w:rPr>
        <w:t xml:space="preserve"> pirms atkārtotu grozījumu veikšanas. </w:t>
      </w:r>
    </w:p>
    <w:p w14:paraId="04FE8FF8" w14:textId="084FF184" w:rsidR="00465FAF" w:rsidRDefault="00465FAF" w:rsidP="002B7DE7">
      <w:pPr>
        <w:spacing w:after="0"/>
        <w:jc w:val="both"/>
        <w:rPr>
          <w:rFonts w:ascii="Times New Roman" w:hAnsi="Times New Roman" w:cs="Times New Roman"/>
          <w:iCs/>
          <w:sz w:val="24"/>
          <w:szCs w:val="24"/>
        </w:rPr>
      </w:pPr>
    </w:p>
    <w:p w14:paraId="4E6FD91F" w14:textId="347EB621" w:rsidR="00207954" w:rsidRDefault="008B00E6" w:rsidP="002B7DE7">
      <w:pPr>
        <w:spacing w:after="0"/>
        <w:jc w:val="both"/>
        <w:rPr>
          <w:rFonts w:ascii="Times New Roman" w:hAnsi="Times New Roman" w:cs="Times New Roman"/>
          <w:iCs/>
          <w:sz w:val="24"/>
          <w:szCs w:val="24"/>
        </w:rPr>
      </w:pPr>
      <w:r>
        <w:rPr>
          <w:rFonts w:ascii="Times New Roman" w:hAnsi="Times New Roman" w:cs="Times New Roman"/>
          <w:iCs/>
          <w:sz w:val="24"/>
          <w:szCs w:val="24"/>
        </w:rPr>
        <w:t>Pielikumā:</w:t>
      </w:r>
      <w:r w:rsidR="00C8275F">
        <w:rPr>
          <w:rFonts w:ascii="Times New Roman" w:hAnsi="Times New Roman" w:cs="Times New Roman"/>
          <w:iCs/>
          <w:sz w:val="24"/>
          <w:szCs w:val="24"/>
        </w:rPr>
        <w:t xml:space="preserve"> </w:t>
      </w:r>
      <w:r w:rsidR="00C8275F">
        <w:rPr>
          <w:rFonts w:ascii="Times New Roman" w:hAnsi="Times New Roman" w:cs="Times New Roman"/>
          <w:iCs/>
          <w:sz w:val="24"/>
          <w:szCs w:val="24"/>
        </w:rPr>
        <w:tab/>
      </w:r>
      <w:r w:rsidR="00207954">
        <w:rPr>
          <w:rFonts w:ascii="Times New Roman" w:hAnsi="Times New Roman" w:cs="Times New Roman"/>
          <w:iCs/>
          <w:sz w:val="24"/>
          <w:szCs w:val="24"/>
        </w:rPr>
        <w:t xml:space="preserve">1. </w:t>
      </w:r>
      <w:r w:rsidRPr="008B00E6">
        <w:rPr>
          <w:rFonts w:ascii="Times New Roman" w:hAnsi="Times New Roman" w:cs="Times New Roman"/>
          <w:iCs/>
          <w:sz w:val="24"/>
          <w:szCs w:val="24"/>
        </w:rPr>
        <w:t>Labklājības ministrij</w:t>
      </w:r>
      <w:r w:rsidR="00C8275F">
        <w:rPr>
          <w:rFonts w:ascii="Times New Roman" w:hAnsi="Times New Roman" w:cs="Times New Roman"/>
          <w:iCs/>
          <w:sz w:val="24"/>
          <w:szCs w:val="24"/>
        </w:rPr>
        <w:t>as</w:t>
      </w:r>
      <w:r w:rsidR="00B06E8D">
        <w:rPr>
          <w:rFonts w:ascii="Times New Roman" w:hAnsi="Times New Roman" w:cs="Times New Roman"/>
          <w:iCs/>
          <w:sz w:val="24"/>
          <w:szCs w:val="24"/>
        </w:rPr>
        <w:t xml:space="preserve"> </w:t>
      </w:r>
      <w:r w:rsidR="00B06E8D" w:rsidRPr="008B00E6">
        <w:rPr>
          <w:rFonts w:ascii="Times New Roman" w:hAnsi="Times New Roman" w:cs="Times New Roman"/>
          <w:iCs/>
          <w:sz w:val="24"/>
          <w:szCs w:val="24"/>
        </w:rPr>
        <w:t>2021.gada</w:t>
      </w:r>
      <w:r w:rsidR="00B06E8D">
        <w:rPr>
          <w:rFonts w:ascii="Times New Roman" w:hAnsi="Times New Roman" w:cs="Times New Roman"/>
          <w:iCs/>
          <w:sz w:val="24"/>
          <w:szCs w:val="24"/>
        </w:rPr>
        <w:t xml:space="preserve"> </w:t>
      </w:r>
      <w:r w:rsidR="00B06E8D" w:rsidRPr="008B00E6">
        <w:rPr>
          <w:rFonts w:ascii="Times New Roman" w:hAnsi="Times New Roman" w:cs="Times New Roman"/>
          <w:iCs/>
          <w:sz w:val="24"/>
          <w:szCs w:val="24"/>
        </w:rPr>
        <w:t>8.marta vēstul</w:t>
      </w:r>
      <w:r w:rsidR="00B06E8D">
        <w:rPr>
          <w:rFonts w:ascii="Times New Roman" w:hAnsi="Times New Roman" w:cs="Times New Roman"/>
          <w:iCs/>
          <w:sz w:val="24"/>
          <w:szCs w:val="24"/>
        </w:rPr>
        <w:t xml:space="preserve">e </w:t>
      </w:r>
      <w:r w:rsidR="00B06E8D" w:rsidRPr="008B00E6">
        <w:rPr>
          <w:rFonts w:ascii="Times New Roman" w:hAnsi="Times New Roman" w:cs="Times New Roman"/>
          <w:iCs/>
          <w:sz w:val="24"/>
          <w:szCs w:val="24"/>
        </w:rPr>
        <w:t>Nr. 40-1-04/405</w:t>
      </w:r>
      <w:r w:rsidR="00B06E8D">
        <w:rPr>
          <w:rFonts w:ascii="Times New Roman" w:hAnsi="Times New Roman" w:cs="Times New Roman"/>
          <w:iCs/>
          <w:sz w:val="24"/>
          <w:szCs w:val="24"/>
        </w:rPr>
        <w:t>;</w:t>
      </w:r>
    </w:p>
    <w:p w14:paraId="7DF10F52" w14:textId="73AFF158" w:rsidR="008B00E6" w:rsidRDefault="00207954" w:rsidP="002B7DE7">
      <w:pPr>
        <w:spacing w:after="0"/>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2.</w:t>
      </w:r>
      <w:r w:rsidR="008B00E6" w:rsidRPr="008B00E6">
        <w:rPr>
          <w:rFonts w:ascii="Times New Roman" w:hAnsi="Times New Roman" w:cs="Times New Roman"/>
          <w:iCs/>
          <w:sz w:val="24"/>
          <w:szCs w:val="24"/>
        </w:rPr>
        <w:t xml:space="preserve"> </w:t>
      </w:r>
      <w:r w:rsidRPr="008B00E6">
        <w:rPr>
          <w:rFonts w:ascii="Times New Roman" w:hAnsi="Times New Roman" w:cs="Times New Roman"/>
          <w:iCs/>
          <w:sz w:val="24"/>
          <w:szCs w:val="24"/>
        </w:rPr>
        <w:t>Labklājības ministrij</w:t>
      </w:r>
      <w:r>
        <w:rPr>
          <w:rFonts w:ascii="Times New Roman" w:hAnsi="Times New Roman" w:cs="Times New Roman"/>
          <w:iCs/>
          <w:sz w:val="24"/>
          <w:szCs w:val="24"/>
        </w:rPr>
        <w:t>as</w:t>
      </w:r>
      <w:r w:rsidRPr="008B00E6">
        <w:rPr>
          <w:rFonts w:ascii="Times New Roman" w:hAnsi="Times New Roman" w:cs="Times New Roman"/>
          <w:iCs/>
          <w:sz w:val="24"/>
          <w:szCs w:val="24"/>
        </w:rPr>
        <w:t xml:space="preserve"> </w:t>
      </w:r>
      <w:r w:rsidR="00B06E8D" w:rsidRPr="008B00E6">
        <w:rPr>
          <w:rFonts w:ascii="Times New Roman" w:hAnsi="Times New Roman" w:cs="Times New Roman"/>
          <w:iCs/>
          <w:sz w:val="24"/>
          <w:szCs w:val="24"/>
        </w:rPr>
        <w:t>2020.gada 21.janvāra vēstul</w:t>
      </w:r>
      <w:r w:rsidR="00B06E8D">
        <w:rPr>
          <w:rFonts w:ascii="Times New Roman" w:hAnsi="Times New Roman" w:cs="Times New Roman"/>
          <w:iCs/>
          <w:sz w:val="24"/>
          <w:szCs w:val="24"/>
        </w:rPr>
        <w:t>e</w:t>
      </w:r>
      <w:r w:rsidR="00B06E8D" w:rsidRPr="008B00E6">
        <w:rPr>
          <w:rFonts w:ascii="Times New Roman" w:hAnsi="Times New Roman" w:cs="Times New Roman"/>
          <w:iCs/>
          <w:sz w:val="24"/>
          <w:szCs w:val="24"/>
        </w:rPr>
        <w:t xml:space="preserve"> Nr. 40-1-04/85</w:t>
      </w:r>
      <w:r w:rsidR="00B06E8D">
        <w:rPr>
          <w:rFonts w:ascii="Times New Roman" w:hAnsi="Times New Roman" w:cs="Times New Roman"/>
          <w:iCs/>
          <w:sz w:val="24"/>
          <w:szCs w:val="24"/>
        </w:rPr>
        <w:t>.</w:t>
      </w:r>
    </w:p>
    <w:p w14:paraId="3FE841C7" w14:textId="5E4B26C5" w:rsidR="008B00E6" w:rsidRDefault="008B00E6" w:rsidP="002B7DE7">
      <w:pPr>
        <w:spacing w:after="0"/>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p>
    <w:p w14:paraId="34E5BDEA" w14:textId="77777777" w:rsidR="003D444A" w:rsidRPr="0034771E" w:rsidRDefault="003D444A" w:rsidP="00A068DE">
      <w:pPr>
        <w:jc w:val="both"/>
        <w:rPr>
          <w:rFonts w:ascii="Times New Roman" w:hAnsi="Times New Roman" w:cs="Times New Roman"/>
          <w:color w:val="000000" w:themeColor="text1"/>
          <w:sz w:val="24"/>
          <w:szCs w:val="24"/>
        </w:rPr>
      </w:pPr>
    </w:p>
    <w:p w14:paraId="6CB382E9" w14:textId="77777777" w:rsidR="001D0112" w:rsidRPr="0034771E" w:rsidRDefault="00A068DE" w:rsidP="007A44B5">
      <w:pPr>
        <w:jc w:val="both"/>
        <w:rPr>
          <w:rFonts w:ascii="Times New Roman" w:hAnsi="Times New Roman" w:cs="Times New Roman"/>
          <w:color w:val="000000" w:themeColor="text1"/>
          <w:sz w:val="24"/>
          <w:szCs w:val="24"/>
        </w:rPr>
      </w:pPr>
      <w:r w:rsidRPr="0034771E">
        <w:rPr>
          <w:rFonts w:ascii="Times New Roman" w:hAnsi="Times New Roman" w:cs="Times New Roman"/>
          <w:color w:val="000000" w:themeColor="text1"/>
          <w:sz w:val="24"/>
          <w:szCs w:val="24"/>
        </w:rPr>
        <w:t xml:space="preserve">Finanšu ministrs  </w:t>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r w:rsidRPr="0034771E">
        <w:rPr>
          <w:rFonts w:ascii="Times New Roman" w:hAnsi="Times New Roman" w:cs="Times New Roman"/>
          <w:color w:val="000000" w:themeColor="text1"/>
          <w:sz w:val="24"/>
          <w:szCs w:val="24"/>
        </w:rPr>
        <w:tab/>
      </w:r>
      <w:proofErr w:type="spellStart"/>
      <w:r w:rsidRPr="0034771E">
        <w:rPr>
          <w:rFonts w:ascii="Times New Roman" w:hAnsi="Times New Roman" w:cs="Times New Roman"/>
          <w:color w:val="000000" w:themeColor="text1"/>
          <w:sz w:val="24"/>
          <w:szCs w:val="24"/>
        </w:rPr>
        <w:t>J.Reirs</w:t>
      </w:r>
      <w:proofErr w:type="spellEnd"/>
    </w:p>
    <w:p w14:paraId="3DB21ABB" w14:textId="77777777" w:rsidR="007A44B5" w:rsidRDefault="007A44B5" w:rsidP="00A068DE">
      <w:pPr>
        <w:spacing w:after="0"/>
        <w:jc w:val="both"/>
        <w:rPr>
          <w:rFonts w:ascii="Times New Roman" w:hAnsi="Times New Roman" w:cs="Times New Roman"/>
          <w:color w:val="000000" w:themeColor="text1"/>
          <w:sz w:val="20"/>
          <w:szCs w:val="20"/>
        </w:rPr>
      </w:pPr>
    </w:p>
    <w:p w14:paraId="74B85BF6" w14:textId="1AE6F4BD" w:rsidR="007A44B5" w:rsidRDefault="007A44B5" w:rsidP="00A068DE">
      <w:pPr>
        <w:spacing w:after="0"/>
        <w:jc w:val="both"/>
        <w:rPr>
          <w:rFonts w:ascii="Times New Roman" w:hAnsi="Times New Roman" w:cs="Times New Roman"/>
          <w:color w:val="000000" w:themeColor="text1"/>
          <w:sz w:val="20"/>
          <w:szCs w:val="20"/>
        </w:rPr>
      </w:pPr>
    </w:p>
    <w:p w14:paraId="2947AF9B" w14:textId="77777777" w:rsidR="00E357E0" w:rsidRDefault="00E357E0" w:rsidP="00A068DE">
      <w:pPr>
        <w:spacing w:after="0"/>
        <w:jc w:val="both"/>
        <w:rPr>
          <w:rFonts w:ascii="Times New Roman" w:hAnsi="Times New Roman" w:cs="Times New Roman"/>
          <w:color w:val="000000" w:themeColor="text1"/>
          <w:sz w:val="20"/>
          <w:szCs w:val="20"/>
        </w:rPr>
      </w:pPr>
    </w:p>
    <w:p w14:paraId="5FACD903" w14:textId="77777777" w:rsidR="007A44B5" w:rsidRDefault="007A44B5" w:rsidP="00A068DE">
      <w:pPr>
        <w:spacing w:after="0"/>
        <w:jc w:val="both"/>
        <w:rPr>
          <w:rFonts w:ascii="Times New Roman" w:hAnsi="Times New Roman" w:cs="Times New Roman"/>
          <w:color w:val="000000" w:themeColor="text1"/>
          <w:sz w:val="20"/>
          <w:szCs w:val="20"/>
        </w:rPr>
      </w:pPr>
    </w:p>
    <w:p w14:paraId="050E309E" w14:textId="77777777" w:rsidR="00A068DE" w:rsidRPr="003D444A" w:rsidRDefault="00A068DE" w:rsidP="00A068DE">
      <w:pPr>
        <w:spacing w:after="0"/>
        <w:jc w:val="both"/>
        <w:rPr>
          <w:rFonts w:ascii="Times New Roman" w:hAnsi="Times New Roman" w:cs="Times New Roman"/>
          <w:color w:val="000000" w:themeColor="text1"/>
          <w:sz w:val="20"/>
          <w:szCs w:val="20"/>
        </w:rPr>
      </w:pPr>
      <w:proofErr w:type="spellStart"/>
      <w:r w:rsidRPr="003D444A">
        <w:rPr>
          <w:rFonts w:ascii="Times New Roman" w:hAnsi="Times New Roman" w:cs="Times New Roman"/>
          <w:color w:val="000000" w:themeColor="text1"/>
          <w:sz w:val="20"/>
          <w:szCs w:val="20"/>
        </w:rPr>
        <w:t>I.Albova</w:t>
      </w:r>
      <w:proofErr w:type="spellEnd"/>
      <w:r w:rsidRPr="003D444A">
        <w:rPr>
          <w:rFonts w:ascii="Times New Roman" w:hAnsi="Times New Roman" w:cs="Times New Roman"/>
          <w:color w:val="000000" w:themeColor="text1"/>
          <w:sz w:val="20"/>
          <w:szCs w:val="20"/>
        </w:rPr>
        <w:t xml:space="preserve"> 67083857</w:t>
      </w:r>
    </w:p>
    <w:p w14:paraId="3FB3F336" w14:textId="77777777" w:rsidR="00670FA6" w:rsidRDefault="005666D3" w:rsidP="00670FA6">
      <w:pPr>
        <w:spacing w:after="0"/>
        <w:jc w:val="both"/>
        <w:rPr>
          <w:rFonts w:ascii="Times New Roman" w:hAnsi="Times New Roman" w:cs="Times New Roman"/>
          <w:color w:val="000000" w:themeColor="text1"/>
          <w:sz w:val="20"/>
          <w:szCs w:val="20"/>
        </w:rPr>
      </w:pPr>
      <w:hyperlink r:id="rId19" w:history="1">
        <w:r w:rsidR="00676F89" w:rsidRPr="007B65AB">
          <w:rPr>
            <w:rStyle w:val="Hyperlink"/>
            <w:rFonts w:ascii="Times New Roman" w:hAnsi="Times New Roman" w:cs="Times New Roman"/>
            <w:color w:val="000000" w:themeColor="text1"/>
            <w:sz w:val="20"/>
            <w:szCs w:val="20"/>
            <w:u w:val="none"/>
          </w:rPr>
          <w:t>Inese.Albova@fm.gov.lv</w:t>
        </w:r>
      </w:hyperlink>
    </w:p>
    <w:p w14:paraId="7786CB8D" w14:textId="75863E73" w:rsidR="00784135" w:rsidRPr="00854DC7" w:rsidRDefault="00784135" w:rsidP="00670FA6">
      <w:pPr>
        <w:spacing w:after="0"/>
        <w:jc w:val="both"/>
        <w:rPr>
          <w:rFonts w:ascii="Times New Roman" w:hAnsi="Times New Roman" w:cs="Times New Roman"/>
          <w:color w:val="000000" w:themeColor="text1"/>
          <w:sz w:val="20"/>
          <w:szCs w:val="20"/>
        </w:rPr>
      </w:pPr>
    </w:p>
    <w:sectPr w:rsidR="00784135" w:rsidRPr="00854DC7" w:rsidSect="00670FA6">
      <w:footerReference w:type="even" r:id="rId20"/>
      <w:footerReference w:type="default" r:id="rId21"/>
      <w:pgSz w:w="11900" w:h="16840"/>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B565" w14:textId="77777777" w:rsidR="005666D3" w:rsidRDefault="005666D3" w:rsidP="00C807A3">
      <w:pPr>
        <w:spacing w:after="0" w:line="240" w:lineRule="auto"/>
      </w:pPr>
      <w:r>
        <w:separator/>
      </w:r>
    </w:p>
  </w:endnote>
  <w:endnote w:type="continuationSeparator" w:id="0">
    <w:p w14:paraId="13209080" w14:textId="77777777" w:rsidR="005666D3" w:rsidRDefault="005666D3" w:rsidP="00C8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Gotham Pro LT">
    <w:altName w:val="Calibri"/>
    <w:charset w:val="BA"/>
    <w:family w:val="auto"/>
    <w:pitch w:val="variable"/>
    <w:sig w:usb0="80000AAF" w:usb1="5000204A"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0327150"/>
      <w:docPartObj>
        <w:docPartGallery w:val="Page Numbers (Bottom of Page)"/>
        <w:docPartUnique/>
      </w:docPartObj>
    </w:sdtPr>
    <w:sdtEndPr>
      <w:rPr>
        <w:rStyle w:val="PageNumber"/>
      </w:rPr>
    </w:sdtEndPr>
    <w:sdtContent>
      <w:p w14:paraId="55762626" w14:textId="77777777" w:rsidR="004D0181" w:rsidRDefault="004D0181" w:rsidP="004D01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272AC" w14:textId="77777777" w:rsidR="004D0181" w:rsidRDefault="004D0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03581992"/>
      <w:docPartObj>
        <w:docPartGallery w:val="Page Numbers (Bottom of Page)"/>
        <w:docPartUnique/>
      </w:docPartObj>
    </w:sdtPr>
    <w:sdtEndPr>
      <w:rPr>
        <w:rStyle w:val="PageNumber"/>
      </w:rPr>
    </w:sdtEndPr>
    <w:sdtContent>
      <w:p w14:paraId="5C74E7E8" w14:textId="5B28F3EC" w:rsidR="004D0181" w:rsidRPr="00B6560B" w:rsidRDefault="004D0181" w:rsidP="00B6560B">
        <w:pPr>
          <w:pStyle w:val="Footer"/>
          <w:framePr w:wrap="none" w:vAnchor="text" w:hAnchor="margin" w:xAlign="center" w:y="1"/>
          <w:spacing w:before="240"/>
          <w:rPr>
            <w:rStyle w:val="PageNumber"/>
            <w:rFonts w:ascii="Times New Roman" w:hAnsi="Times New Roman" w:cs="Times New Roman"/>
          </w:rPr>
        </w:pPr>
        <w:r w:rsidRPr="00B6560B">
          <w:rPr>
            <w:rStyle w:val="PageNumber"/>
            <w:rFonts w:ascii="Times New Roman" w:hAnsi="Times New Roman" w:cs="Times New Roman"/>
          </w:rPr>
          <w:fldChar w:fldCharType="begin"/>
        </w:r>
        <w:r w:rsidRPr="00B6560B">
          <w:rPr>
            <w:rStyle w:val="PageNumber"/>
            <w:rFonts w:ascii="Times New Roman" w:hAnsi="Times New Roman" w:cs="Times New Roman"/>
          </w:rPr>
          <w:instrText xml:space="preserve"> PAGE </w:instrText>
        </w:r>
        <w:r w:rsidRPr="00B6560B">
          <w:rPr>
            <w:rStyle w:val="PageNumber"/>
            <w:rFonts w:ascii="Times New Roman" w:hAnsi="Times New Roman" w:cs="Times New Roman"/>
          </w:rPr>
          <w:fldChar w:fldCharType="separate"/>
        </w:r>
        <w:r w:rsidR="006151B8">
          <w:rPr>
            <w:rStyle w:val="PageNumber"/>
            <w:rFonts w:ascii="Times New Roman" w:hAnsi="Times New Roman" w:cs="Times New Roman"/>
            <w:noProof/>
          </w:rPr>
          <w:t>2</w:t>
        </w:r>
        <w:r w:rsidRPr="00B6560B">
          <w:rPr>
            <w:rStyle w:val="PageNumber"/>
            <w:rFonts w:ascii="Times New Roman" w:hAnsi="Times New Roman" w:cs="Times New Roman"/>
          </w:rPr>
          <w:fldChar w:fldCharType="end"/>
        </w:r>
      </w:p>
    </w:sdtContent>
  </w:sdt>
  <w:p w14:paraId="0BF1878D" w14:textId="77777777" w:rsidR="00B6560B" w:rsidRDefault="00B6560B">
    <w:pPr>
      <w:pStyle w:val="Footer"/>
      <w:rPr>
        <w:rFonts w:ascii="Times New Roman" w:hAnsi="Times New Roman" w:cs="Times New Roman"/>
        <w:sz w:val="20"/>
        <w:szCs w:val="20"/>
      </w:rPr>
    </w:pPr>
  </w:p>
  <w:p w14:paraId="4BE9DEA6" w14:textId="77777777" w:rsidR="004D0181" w:rsidRDefault="004D0181">
    <w:pPr>
      <w:pStyle w:val="Footer"/>
      <w:rPr>
        <w:rFonts w:ascii="Times New Roman" w:hAnsi="Times New Roman" w:cs="Times New Roman"/>
        <w:sz w:val="20"/>
        <w:szCs w:val="20"/>
      </w:rPr>
    </w:pPr>
  </w:p>
  <w:p w14:paraId="660F6982" w14:textId="36DE52AE" w:rsidR="00A96C1A" w:rsidRPr="00381084" w:rsidRDefault="00A96C1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E5763">
      <w:rPr>
        <w:rFonts w:ascii="Times New Roman" w:hAnsi="Times New Roman" w:cs="Times New Roman"/>
        <w:noProof/>
        <w:sz w:val="20"/>
        <w:szCs w:val="20"/>
      </w:rPr>
      <w:t>FMzin_160821_OCTApremija.docx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79FA" w14:textId="77777777" w:rsidR="005666D3" w:rsidRDefault="005666D3" w:rsidP="00C807A3">
      <w:pPr>
        <w:spacing w:after="0" w:line="240" w:lineRule="auto"/>
      </w:pPr>
      <w:r>
        <w:separator/>
      </w:r>
    </w:p>
  </w:footnote>
  <w:footnote w:type="continuationSeparator" w:id="0">
    <w:p w14:paraId="6174A219" w14:textId="77777777" w:rsidR="005666D3" w:rsidRDefault="005666D3" w:rsidP="00C8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AB4"/>
    <w:multiLevelType w:val="hybridMultilevel"/>
    <w:tmpl w:val="2D7EA1E8"/>
    <w:lvl w:ilvl="0" w:tplc="04090017">
      <w:start w:val="1"/>
      <w:numFmt w:val="lowerLetter"/>
      <w:lvlText w:val="%1)"/>
      <w:lvlJc w:val="left"/>
      <w:pPr>
        <w:tabs>
          <w:tab w:val="num" w:pos="1080"/>
        </w:tabs>
        <w:ind w:left="1080" w:hanging="360"/>
      </w:pPr>
      <w:rPr>
        <w:rFonts w:hint="default"/>
      </w:rPr>
    </w:lvl>
    <w:lvl w:ilvl="1" w:tplc="70C24888" w:tentative="1">
      <w:start w:val="1"/>
      <w:numFmt w:val="bullet"/>
      <w:lvlText w:val=""/>
      <w:lvlJc w:val="left"/>
      <w:pPr>
        <w:tabs>
          <w:tab w:val="num" w:pos="1800"/>
        </w:tabs>
        <w:ind w:left="1800" w:hanging="360"/>
      </w:pPr>
      <w:rPr>
        <w:rFonts w:ascii="Wingdings" w:hAnsi="Wingdings" w:hint="default"/>
      </w:rPr>
    </w:lvl>
    <w:lvl w:ilvl="2" w:tplc="0AE8D282" w:tentative="1">
      <w:start w:val="1"/>
      <w:numFmt w:val="bullet"/>
      <w:lvlText w:val=""/>
      <w:lvlJc w:val="left"/>
      <w:pPr>
        <w:tabs>
          <w:tab w:val="num" w:pos="2520"/>
        </w:tabs>
        <w:ind w:left="2520" w:hanging="360"/>
      </w:pPr>
      <w:rPr>
        <w:rFonts w:ascii="Wingdings" w:hAnsi="Wingdings" w:hint="default"/>
      </w:rPr>
    </w:lvl>
    <w:lvl w:ilvl="3" w:tplc="73585A84" w:tentative="1">
      <w:start w:val="1"/>
      <w:numFmt w:val="bullet"/>
      <w:lvlText w:val=""/>
      <w:lvlJc w:val="left"/>
      <w:pPr>
        <w:tabs>
          <w:tab w:val="num" w:pos="3240"/>
        </w:tabs>
        <w:ind w:left="3240" w:hanging="360"/>
      </w:pPr>
      <w:rPr>
        <w:rFonts w:ascii="Wingdings" w:hAnsi="Wingdings" w:hint="default"/>
      </w:rPr>
    </w:lvl>
    <w:lvl w:ilvl="4" w:tplc="17A8D492" w:tentative="1">
      <w:start w:val="1"/>
      <w:numFmt w:val="bullet"/>
      <w:lvlText w:val=""/>
      <w:lvlJc w:val="left"/>
      <w:pPr>
        <w:tabs>
          <w:tab w:val="num" w:pos="3960"/>
        </w:tabs>
        <w:ind w:left="3960" w:hanging="360"/>
      </w:pPr>
      <w:rPr>
        <w:rFonts w:ascii="Wingdings" w:hAnsi="Wingdings" w:hint="default"/>
      </w:rPr>
    </w:lvl>
    <w:lvl w:ilvl="5" w:tplc="62CEED9E" w:tentative="1">
      <w:start w:val="1"/>
      <w:numFmt w:val="bullet"/>
      <w:lvlText w:val=""/>
      <w:lvlJc w:val="left"/>
      <w:pPr>
        <w:tabs>
          <w:tab w:val="num" w:pos="4680"/>
        </w:tabs>
        <w:ind w:left="4680" w:hanging="360"/>
      </w:pPr>
      <w:rPr>
        <w:rFonts w:ascii="Wingdings" w:hAnsi="Wingdings" w:hint="default"/>
      </w:rPr>
    </w:lvl>
    <w:lvl w:ilvl="6" w:tplc="7AE884AC" w:tentative="1">
      <w:start w:val="1"/>
      <w:numFmt w:val="bullet"/>
      <w:lvlText w:val=""/>
      <w:lvlJc w:val="left"/>
      <w:pPr>
        <w:tabs>
          <w:tab w:val="num" w:pos="5400"/>
        </w:tabs>
        <w:ind w:left="5400" w:hanging="360"/>
      </w:pPr>
      <w:rPr>
        <w:rFonts w:ascii="Wingdings" w:hAnsi="Wingdings" w:hint="default"/>
      </w:rPr>
    </w:lvl>
    <w:lvl w:ilvl="7" w:tplc="6318EB74" w:tentative="1">
      <w:start w:val="1"/>
      <w:numFmt w:val="bullet"/>
      <w:lvlText w:val=""/>
      <w:lvlJc w:val="left"/>
      <w:pPr>
        <w:tabs>
          <w:tab w:val="num" w:pos="6120"/>
        </w:tabs>
        <w:ind w:left="6120" w:hanging="360"/>
      </w:pPr>
      <w:rPr>
        <w:rFonts w:ascii="Wingdings" w:hAnsi="Wingdings" w:hint="default"/>
      </w:rPr>
    </w:lvl>
    <w:lvl w:ilvl="8" w:tplc="7BCC9E7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BD3BF7"/>
    <w:multiLevelType w:val="hybridMultilevel"/>
    <w:tmpl w:val="E2661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B57E1"/>
    <w:multiLevelType w:val="hybridMultilevel"/>
    <w:tmpl w:val="8CF28CF8"/>
    <w:lvl w:ilvl="0" w:tplc="2A94F494">
      <w:start w:val="1"/>
      <w:numFmt w:val="decimal"/>
      <w:lvlText w:val="%1."/>
      <w:lvlJc w:val="left"/>
      <w:pPr>
        <w:ind w:left="1080" w:hanging="360"/>
      </w:pPr>
      <w:rPr>
        <w:rFonts w:eastAsia="Calibri"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60E7A65"/>
    <w:multiLevelType w:val="hybridMultilevel"/>
    <w:tmpl w:val="B9EE8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3F40D1"/>
    <w:multiLevelType w:val="hybridMultilevel"/>
    <w:tmpl w:val="F5F428A2"/>
    <w:lvl w:ilvl="0" w:tplc="3F3AFC1A">
      <w:start w:val="1"/>
      <w:numFmt w:val="decimal"/>
      <w:lvlText w:val="%1."/>
      <w:lvlJc w:val="left"/>
      <w:pPr>
        <w:ind w:left="1080" w:hanging="360"/>
      </w:pPr>
      <w:rPr>
        <w:rFonts w:hint="default"/>
        <w:b/>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65931B0"/>
    <w:multiLevelType w:val="hybridMultilevel"/>
    <w:tmpl w:val="E6140AF6"/>
    <w:lvl w:ilvl="0" w:tplc="04090017">
      <w:start w:val="1"/>
      <w:numFmt w:val="lowerLetter"/>
      <w:lvlText w:val="%1)"/>
      <w:lvlJc w:val="left"/>
      <w:pPr>
        <w:tabs>
          <w:tab w:val="num" w:pos="720"/>
        </w:tabs>
        <w:ind w:left="720" w:hanging="360"/>
      </w:pPr>
      <w:rPr>
        <w:rFonts w:hint="default"/>
      </w:rPr>
    </w:lvl>
    <w:lvl w:ilvl="1" w:tplc="70C24888" w:tentative="1">
      <w:start w:val="1"/>
      <w:numFmt w:val="bullet"/>
      <w:lvlText w:val=""/>
      <w:lvlJc w:val="left"/>
      <w:pPr>
        <w:tabs>
          <w:tab w:val="num" w:pos="1440"/>
        </w:tabs>
        <w:ind w:left="1440" w:hanging="360"/>
      </w:pPr>
      <w:rPr>
        <w:rFonts w:ascii="Wingdings" w:hAnsi="Wingdings" w:hint="default"/>
      </w:rPr>
    </w:lvl>
    <w:lvl w:ilvl="2" w:tplc="0AE8D282" w:tentative="1">
      <w:start w:val="1"/>
      <w:numFmt w:val="bullet"/>
      <w:lvlText w:val=""/>
      <w:lvlJc w:val="left"/>
      <w:pPr>
        <w:tabs>
          <w:tab w:val="num" w:pos="2160"/>
        </w:tabs>
        <w:ind w:left="2160" w:hanging="360"/>
      </w:pPr>
      <w:rPr>
        <w:rFonts w:ascii="Wingdings" w:hAnsi="Wingdings" w:hint="default"/>
      </w:rPr>
    </w:lvl>
    <w:lvl w:ilvl="3" w:tplc="73585A84" w:tentative="1">
      <w:start w:val="1"/>
      <w:numFmt w:val="bullet"/>
      <w:lvlText w:val=""/>
      <w:lvlJc w:val="left"/>
      <w:pPr>
        <w:tabs>
          <w:tab w:val="num" w:pos="2880"/>
        </w:tabs>
        <w:ind w:left="2880" w:hanging="360"/>
      </w:pPr>
      <w:rPr>
        <w:rFonts w:ascii="Wingdings" w:hAnsi="Wingdings" w:hint="default"/>
      </w:rPr>
    </w:lvl>
    <w:lvl w:ilvl="4" w:tplc="17A8D492" w:tentative="1">
      <w:start w:val="1"/>
      <w:numFmt w:val="bullet"/>
      <w:lvlText w:val=""/>
      <w:lvlJc w:val="left"/>
      <w:pPr>
        <w:tabs>
          <w:tab w:val="num" w:pos="3600"/>
        </w:tabs>
        <w:ind w:left="3600" w:hanging="360"/>
      </w:pPr>
      <w:rPr>
        <w:rFonts w:ascii="Wingdings" w:hAnsi="Wingdings" w:hint="default"/>
      </w:rPr>
    </w:lvl>
    <w:lvl w:ilvl="5" w:tplc="62CEED9E" w:tentative="1">
      <w:start w:val="1"/>
      <w:numFmt w:val="bullet"/>
      <w:lvlText w:val=""/>
      <w:lvlJc w:val="left"/>
      <w:pPr>
        <w:tabs>
          <w:tab w:val="num" w:pos="4320"/>
        </w:tabs>
        <w:ind w:left="4320" w:hanging="360"/>
      </w:pPr>
      <w:rPr>
        <w:rFonts w:ascii="Wingdings" w:hAnsi="Wingdings" w:hint="default"/>
      </w:rPr>
    </w:lvl>
    <w:lvl w:ilvl="6" w:tplc="7AE884AC" w:tentative="1">
      <w:start w:val="1"/>
      <w:numFmt w:val="bullet"/>
      <w:lvlText w:val=""/>
      <w:lvlJc w:val="left"/>
      <w:pPr>
        <w:tabs>
          <w:tab w:val="num" w:pos="5040"/>
        </w:tabs>
        <w:ind w:left="5040" w:hanging="360"/>
      </w:pPr>
      <w:rPr>
        <w:rFonts w:ascii="Wingdings" w:hAnsi="Wingdings" w:hint="default"/>
      </w:rPr>
    </w:lvl>
    <w:lvl w:ilvl="7" w:tplc="6318EB74" w:tentative="1">
      <w:start w:val="1"/>
      <w:numFmt w:val="bullet"/>
      <w:lvlText w:val=""/>
      <w:lvlJc w:val="left"/>
      <w:pPr>
        <w:tabs>
          <w:tab w:val="num" w:pos="5760"/>
        </w:tabs>
        <w:ind w:left="5760" w:hanging="360"/>
      </w:pPr>
      <w:rPr>
        <w:rFonts w:ascii="Wingdings" w:hAnsi="Wingdings" w:hint="default"/>
      </w:rPr>
    </w:lvl>
    <w:lvl w:ilvl="8" w:tplc="7BCC9E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D851A4"/>
    <w:multiLevelType w:val="hybridMultilevel"/>
    <w:tmpl w:val="7AD0F85C"/>
    <w:lvl w:ilvl="0" w:tplc="04090017">
      <w:start w:val="1"/>
      <w:numFmt w:val="lowerLetter"/>
      <w:lvlText w:val="%1)"/>
      <w:lvlJc w:val="left"/>
      <w:pPr>
        <w:tabs>
          <w:tab w:val="num" w:pos="1080"/>
        </w:tabs>
        <w:ind w:left="1080" w:hanging="360"/>
      </w:pPr>
      <w:rPr>
        <w:rFonts w:hint="default"/>
      </w:rPr>
    </w:lvl>
    <w:lvl w:ilvl="1" w:tplc="70C24888" w:tentative="1">
      <w:start w:val="1"/>
      <w:numFmt w:val="bullet"/>
      <w:lvlText w:val=""/>
      <w:lvlJc w:val="left"/>
      <w:pPr>
        <w:tabs>
          <w:tab w:val="num" w:pos="1800"/>
        </w:tabs>
        <w:ind w:left="1800" w:hanging="360"/>
      </w:pPr>
      <w:rPr>
        <w:rFonts w:ascii="Wingdings" w:hAnsi="Wingdings" w:hint="default"/>
      </w:rPr>
    </w:lvl>
    <w:lvl w:ilvl="2" w:tplc="0AE8D282" w:tentative="1">
      <w:start w:val="1"/>
      <w:numFmt w:val="bullet"/>
      <w:lvlText w:val=""/>
      <w:lvlJc w:val="left"/>
      <w:pPr>
        <w:tabs>
          <w:tab w:val="num" w:pos="2520"/>
        </w:tabs>
        <w:ind w:left="2520" w:hanging="360"/>
      </w:pPr>
      <w:rPr>
        <w:rFonts w:ascii="Wingdings" w:hAnsi="Wingdings" w:hint="default"/>
      </w:rPr>
    </w:lvl>
    <w:lvl w:ilvl="3" w:tplc="73585A84" w:tentative="1">
      <w:start w:val="1"/>
      <w:numFmt w:val="bullet"/>
      <w:lvlText w:val=""/>
      <w:lvlJc w:val="left"/>
      <w:pPr>
        <w:tabs>
          <w:tab w:val="num" w:pos="3240"/>
        </w:tabs>
        <w:ind w:left="3240" w:hanging="360"/>
      </w:pPr>
      <w:rPr>
        <w:rFonts w:ascii="Wingdings" w:hAnsi="Wingdings" w:hint="default"/>
      </w:rPr>
    </w:lvl>
    <w:lvl w:ilvl="4" w:tplc="17A8D492" w:tentative="1">
      <w:start w:val="1"/>
      <w:numFmt w:val="bullet"/>
      <w:lvlText w:val=""/>
      <w:lvlJc w:val="left"/>
      <w:pPr>
        <w:tabs>
          <w:tab w:val="num" w:pos="3960"/>
        </w:tabs>
        <w:ind w:left="3960" w:hanging="360"/>
      </w:pPr>
      <w:rPr>
        <w:rFonts w:ascii="Wingdings" w:hAnsi="Wingdings" w:hint="default"/>
      </w:rPr>
    </w:lvl>
    <w:lvl w:ilvl="5" w:tplc="62CEED9E" w:tentative="1">
      <w:start w:val="1"/>
      <w:numFmt w:val="bullet"/>
      <w:lvlText w:val=""/>
      <w:lvlJc w:val="left"/>
      <w:pPr>
        <w:tabs>
          <w:tab w:val="num" w:pos="4680"/>
        </w:tabs>
        <w:ind w:left="4680" w:hanging="360"/>
      </w:pPr>
      <w:rPr>
        <w:rFonts w:ascii="Wingdings" w:hAnsi="Wingdings" w:hint="default"/>
      </w:rPr>
    </w:lvl>
    <w:lvl w:ilvl="6" w:tplc="7AE884AC" w:tentative="1">
      <w:start w:val="1"/>
      <w:numFmt w:val="bullet"/>
      <w:lvlText w:val=""/>
      <w:lvlJc w:val="left"/>
      <w:pPr>
        <w:tabs>
          <w:tab w:val="num" w:pos="5400"/>
        </w:tabs>
        <w:ind w:left="5400" w:hanging="360"/>
      </w:pPr>
      <w:rPr>
        <w:rFonts w:ascii="Wingdings" w:hAnsi="Wingdings" w:hint="default"/>
      </w:rPr>
    </w:lvl>
    <w:lvl w:ilvl="7" w:tplc="6318EB74" w:tentative="1">
      <w:start w:val="1"/>
      <w:numFmt w:val="bullet"/>
      <w:lvlText w:val=""/>
      <w:lvlJc w:val="left"/>
      <w:pPr>
        <w:tabs>
          <w:tab w:val="num" w:pos="6120"/>
        </w:tabs>
        <w:ind w:left="6120" w:hanging="360"/>
      </w:pPr>
      <w:rPr>
        <w:rFonts w:ascii="Wingdings" w:hAnsi="Wingdings" w:hint="default"/>
      </w:rPr>
    </w:lvl>
    <w:lvl w:ilvl="8" w:tplc="7BCC9E72"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A3"/>
    <w:rsid w:val="00000A4A"/>
    <w:rsid w:val="00004A45"/>
    <w:rsid w:val="00004B86"/>
    <w:rsid w:val="000053D1"/>
    <w:rsid w:val="00005D44"/>
    <w:rsid w:val="000127BB"/>
    <w:rsid w:val="00015722"/>
    <w:rsid w:val="00016758"/>
    <w:rsid w:val="0001799F"/>
    <w:rsid w:val="00017D56"/>
    <w:rsid w:val="00017F47"/>
    <w:rsid w:val="00022EC1"/>
    <w:rsid w:val="00024520"/>
    <w:rsid w:val="00030B98"/>
    <w:rsid w:val="00036F4A"/>
    <w:rsid w:val="00040067"/>
    <w:rsid w:val="0004217F"/>
    <w:rsid w:val="00045431"/>
    <w:rsid w:val="000455AC"/>
    <w:rsid w:val="00057DE4"/>
    <w:rsid w:val="0007148C"/>
    <w:rsid w:val="000745A2"/>
    <w:rsid w:val="00075AD0"/>
    <w:rsid w:val="000763FB"/>
    <w:rsid w:val="00076716"/>
    <w:rsid w:val="00077873"/>
    <w:rsid w:val="0008130B"/>
    <w:rsid w:val="0008569E"/>
    <w:rsid w:val="000900D1"/>
    <w:rsid w:val="00090FCB"/>
    <w:rsid w:val="00093EDB"/>
    <w:rsid w:val="000945C9"/>
    <w:rsid w:val="000958E8"/>
    <w:rsid w:val="000A081B"/>
    <w:rsid w:val="000A21CD"/>
    <w:rsid w:val="000A2723"/>
    <w:rsid w:val="000A7136"/>
    <w:rsid w:val="000A73D9"/>
    <w:rsid w:val="000A7DD0"/>
    <w:rsid w:val="000B01E4"/>
    <w:rsid w:val="000B0BF9"/>
    <w:rsid w:val="000B2D24"/>
    <w:rsid w:val="000C0024"/>
    <w:rsid w:val="000C0A0C"/>
    <w:rsid w:val="000C0D9A"/>
    <w:rsid w:val="000C41FA"/>
    <w:rsid w:val="000D25A3"/>
    <w:rsid w:val="000E02AC"/>
    <w:rsid w:val="000E1D56"/>
    <w:rsid w:val="000E5763"/>
    <w:rsid w:val="000E6C0C"/>
    <w:rsid w:val="00103406"/>
    <w:rsid w:val="001042F6"/>
    <w:rsid w:val="00111AAF"/>
    <w:rsid w:val="00112815"/>
    <w:rsid w:val="001142D4"/>
    <w:rsid w:val="0012409D"/>
    <w:rsid w:val="00124C50"/>
    <w:rsid w:val="00135F03"/>
    <w:rsid w:val="00140C6F"/>
    <w:rsid w:val="00151B16"/>
    <w:rsid w:val="00152AE8"/>
    <w:rsid w:val="00161EB1"/>
    <w:rsid w:val="001624EA"/>
    <w:rsid w:val="001662B4"/>
    <w:rsid w:val="00166AAE"/>
    <w:rsid w:val="001762EE"/>
    <w:rsid w:val="00177D7C"/>
    <w:rsid w:val="00182F6F"/>
    <w:rsid w:val="0018372C"/>
    <w:rsid w:val="00184D1E"/>
    <w:rsid w:val="001860A1"/>
    <w:rsid w:val="00192298"/>
    <w:rsid w:val="00192529"/>
    <w:rsid w:val="001B01FD"/>
    <w:rsid w:val="001B1586"/>
    <w:rsid w:val="001B6023"/>
    <w:rsid w:val="001C06E3"/>
    <w:rsid w:val="001C0B32"/>
    <w:rsid w:val="001D0112"/>
    <w:rsid w:val="001D4D39"/>
    <w:rsid w:val="001E07EE"/>
    <w:rsid w:val="001E3A53"/>
    <w:rsid w:val="00200D3C"/>
    <w:rsid w:val="00203611"/>
    <w:rsid w:val="00204F83"/>
    <w:rsid w:val="00205BDF"/>
    <w:rsid w:val="00207954"/>
    <w:rsid w:val="002139C9"/>
    <w:rsid w:val="00213F92"/>
    <w:rsid w:val="00216B8E"/>
    <w:rsid w:val="002204B0"/>
    <w:rsid w:val="00222DA2"/>
    <w:rsid w:val="00224AC4"/>
    <w:rsid w:val="002260E2"/>
    <w:rsid w:val="002319FA"/>
    <w:rsid w:val="00245919"/>
    <w:rsid w:val="00245EA9"/>
    <w:rsid w:val="00257AA9"/>
    <w:rsid w:val="002611D7"/>
    <w:rsid w:val="002616B7"/>
    <w:rsid w:val="00261755"/>
    <w:rsid w:val="00262831"/>
    <w:rsid w:val="00272F0F"/>
    <w:rsid w:val="00274337"/>
    <w:rsid w:val="00277F40"/>
    <w:rsid w:val="00277F60"/>
    <w:rsid w:val="00285607"/>
    <w:rsid w:val="00287D09"/>
    <w:rsid w:val="00291B35"/>
    <w:rsid w:val="002921FE"/>
    <w:rsid w:val="002939A5"/>
    <w:rsid w:val="00295E3A"/>
    <w:rsid w:val="00297A13"/>
    <w:rsid w:val="002A2FF1"/>
    <w:rsid w:val="002A44A3"/>
    <w:rsid w:val="002A769B"/>
    <w:rsid w:val="002B0432"/>
    <w:rsid w:val="002B1CF1"/>
    <w:rsid w:val="002B7CB7"/>
    <w:rsid w:val="002B7DE7"/>
    <w:rsid w:val="002C07F8"/>
    <w:rsid w:val="002C32DF"/>
    <w:rsid w:val="002C3630"/>
    <w:rsid w:val="002C4798"/>
    <w:rsid w:val="002C7698"/>
    <w:rsid w:val="002D030C"/>
    <w:rsid w:val="002D0B22"/>
    <w:rsid w:val="002D1905"/>
    <w:rsid w:val="002D331E"/>
    <w:rsid w:val="002E0574"/>
    <w:rsid w:val="002E2358"/>
    <w:rsid w:val="002E494A"/>
    <w:rsid w:val="002F2071"/>
    <w:rsid w:val="002F3C21"/>
    <w:rsid w:val="002F4548"/>
    <w:rsid w:val="002F778B"/>
    <w:rsid w:val="002F7D76"/>
    <w:rsid w:val="00301890"/>
    <w:rsid w:val="00306450"/>
    <w:rsid w:val="00310CDF"/>
    <w:rsid w:val="0031197A"/>
    <w:rsid w:val="003139D3"/>
    <w:rsid w:val="00314697"/>
    <w:rsid w:val="00316AB6"/>
    <w:rsid w:val="00320E25"/>
    <w:rsid w:val="00321A16"/>
    <w:rsid w:val="00325940"/>
    <w:rsid w:val="00333630"/>
    <w:rsid w:val="00333BA2"/>
    <w:rsid w:val="00335397"/>
    <w:rsid w:val="00340CA4"/>
    <w:rsid w:val="003428F9"/>
    <w:rsid w:val="0034771E"/>
    <w:rsid w:val="0035499E"/>
    <w:rsid w:val="0035715C"/>
    <w:rsid w:val="00362A13"/>
    <w:rsid w:val="003643C6"/>
    <w:rsid w:val="003664C5"/>
    <w:rsid w:val="00366871"/>
    <w:rsid w:val="003675F6"/>
    <w:rsid w:val="00372561"/>
    <w:rsid w:val="00374A3C"/>
    <w:rsid w:val="00377755"/>
    <w:rsid w:val="00381084"/>
    <w:rsid w:val="00383E30"/>
    <w:rsid w:val="00390538"/>
    <w:rsid w:val="003922C6"/>
    <w:rsid w:val="003925BD"/>
    <w:rsid w:val="00393873"/>
    <w:rsid w:val="00393B40"/>
    <w:rsid w:val="00394951"/>
    <w:rsid w:val="003A4BED"/>
    <w:rsid w:val="003A505E"/>
    <w:rsid w:val="003A7043"/>
    <w:rsid w:val="003B4492"/>
    <w:rsid w:val="003B5985"/>
    <w:rsid w:val="003C14B1"/>
    <w:rsid w:val="003C23AC"/>
    <w:rsid w:val="003D0969"/>
    <w:rsid w:val="003D1A11"/>
    <w:rsid w:val="003D2741"/>
    <w:rsid w:val="003D444A"/>
    <w:rsid w:val="003D55F6"/>
    <w:rsid w:val="003E013A"/>
    <w:rsid w:val="003E254E"/>
    <w:rsid w:val="003E2963"/>
    <w:rsid w:val="003E48D5"/>
    <w:rsid w:val="003E4C01"/>
    <w:rsid w:val="003F0FD8"/>
    <w:rsid w:val="00400DB8"/>
    <w:rsid w:val="00402B5D"/>
    <w:rsid w:val="00410426"/>
    <w:rsid w:val="00410C7C"/>
    <w:rsid w:val="00410FB6"/>
    <w:rsid w:val="004241F7"/>
    <w:rsid w:val="00433266"/>
    <w:rsid w:val="004337CC"/>
    <w:rsid w:val="00433C2C"/>
    <w:rsid w:val="00436251"/>
    <w:rsid w:val="004367F9"/>
    <w:rsid w:val="0044109F"/>
    <w:rsid w:val="00445D91"/>
    <w:rsid w:val="00445DD3"/>
    <w:rsid w:val="00450DB2"/>
    <w:rsid w:val="0045552A"/>
    <w:rsid w:val="00456AF7"/>
    <w:rsid w:val="00457500"/>
    <w:rsid w:val="00460058"/>
    <w:rsid w:val="0046016B"/>
    <w:rsid w:val="00465FAF"/>
    <w:rsid w:val="0047129A"/>
    <w:rsid w:val="004716AD"/>
    <w:rsid w:val="00472955"/>
    <w:rsid w:val="00476E4D"/>
    <w:rsid w:val="004909E1"/>
    <w:rsid w:val="0049551A"/>
    <w:rsid w:val="004A148C"/>
    <w:rsid w:val="004A1832"/>
    <w:rsid w:val="004A49CA"/>
    <w:rsid w:val="004A4BF8"/>
    <w:rsid w:val="004B2622"/>
    <w:rsid w:val="004B3C59"/>
    <w:rsid w:val="004C3BDF"/>
    <w:rsid w:val="004C6488"/>
    <w:rsid w:val="004C68FB"/>
    <w:rsid w:val="004C6937"/>
    <w:rsid w:val="004C71BB"/>
    <w:rsid w:val="004D0181"/>
    <w:rsid w:val="004D3518"/>
    <w:rsid w:val="004E08BD"/>
    <w:rsid w:val="004E72AD"/>
    <w:rsid w:val="004F13A4"/>
    <w:rsid w:val="004F1F64"/>
    <w:rsid w:val="004F3558"/>
    <w:rsid w:val="00505EAC"/>
    <w:rsid w:val="00506189"/>
    <w:rsid w:val="005106FF"/>
    <w:rsid w:val="00511C66"/>
    <w:rsid w:val="00512C8B"/>
    <w:rsid w:val="005144DD"/>
    <w:rsid w:val="005155B0"/>
    <w:rsid w:val="0051606B"/>
    <w:rsid w:val="00520B0A"/>
    <w:rsid w:val="00527F20"/>
    <w:rsid w:val="00535F32"/>
    <w:rsid w:val="00540BE7"/>
    <w:rsid w:val="005439F9"/>
    <w:rsid w:val="0054616F"/>
    <w:rsid w:val="00546BB9"/>
    <w:rsid w:val="0055261F"/>
    <w:rsid w:val="005530C6"/>
    <w:rsid w:val="0055699D"/>
    <w:rsid w:val="0056033B"/>
    <w:rsid w:val="005666D3"/>
    <w:rsid w:val="00567AEB"/>
    <w:rsid w:val="005722C3"/>
    <w:rsid w:val="005723E1"/>
    <w:rsid w:val="0057319E"/>
    <w:rsid w:val="00574BE3"/>
    <w:rsid w:val="00576813"/>
    <w:rsid w:val="00576B4B"/>
    <w:rsid w:val="00577363"/>
    <w:rsid w:val="00582157"/>
    <w:rsid w:val="00585038"/>
    <w:rsid w:val="0058681A"/>
    <w:rsid w:val="005928F5"/>
    <w:rsid w:val="00596E5F"/>
    <w:rsid w:val="005A32E3"/>
    <w:rsid w:val="005A41E5"/>
    <w:rsid w:val="005A5199"/>
    <w:rsid w:val="005A60E8"/>
    <w:rsid w:val="005A77BD"/>
    <w:rsid w:val="005B1C1C"/>
    <w:rsid w:val="005B2C11"/>
    <w:rsid w:val="005B3AC4"/>
    <w:rsid w:val="005B60C9"/>
    <w:rsid w:val="005C2BF3"/>
    <w:rsid w:val="005C2BF4"/>
    <w:rsid w:val="005C2CBA"/>
    <w:rsid w:val="005C2E1B"/>
    <w:rsid w:val="005D5DB4"/>
    <w:rsid w:val="005E6243"/>
    <w:rsid w:val="005F0C7A"/>
    <w:rsid w:val="005F1CBA"/>
    <w:rsid w:val="005F4A68"/>
    <w:rsid w:val="005F5BDA"/>
    <w:rsid w:val="0060192F"/>
    <w:rsid w:val="00613D58"/>
    <w:rsid w:val="006151B8"/>
    <w:rsid w:val="006175E5"/>
    <w:rsid w:val="00620527"/>
    <w:rsid w:val="0062079B"/>
    <w:rsid w:val="0062571B"/>
    <w:rsid w:val="00626794"/>
    <w:rsid w:val="006302AD"/>
    <w:rsid w:val="0063197F"/>
    <w:rsid w:val="00633623"/>
    <w:rsid w:val="0063379B"/>
    <w:rsid w:val="00633CD9"/>
    <w:rsid w:val="00635B51"/>
    <w:rsid w:val="00636F15"/>
    <w:rsid w:val="00644E09"/>
    <w:rsid w:val="00650566"/>
    <w:rsid w:val="00656393"/>
    <w:rsid w:val="00657AE4"/>
    <w:rsid w:val="006657FB"/>
    <w:rsid w:val="00667528"/>
    <w:rsid w:val="00670FA6"/>
    <w:rsid w:val="00671958"/>
    <w:rsid w:val="0067344B"/>
    <w:rsid w:val="00676B70"/>
    <w:rsid w:val="00676F89"/>
    <w:rsid w:val="006819F6"/>
    <w:rsid w:val="0068249E"/>
    <w:rsid w:val="00687339"/>
    <w:rsid w:val="00696D51"/>
    <w:rsid w:val="006A3F90"/>
    <w:rsid w:val="006A746E"/>
    <w:rsid w:val="006B1289"/>
    <w:rsid w:val="006B33EB"/>
    <w:rsid w:val="006C1180"/>
    <w:rsid w:val="006C4EDF"/>
    <w:rsid w:val="006C5002"/>
    <w:rsid w:val="006C7707"/>
    <w:rsid w:val="006D2374"/>
    <w:rsid w:val="006D4361"/>
    <w:rsid w:val="006E14C1"/>
    <w:rsid w:val="006E190B"/>
    <w:rsid w:val="006E3BA8"/>
    <w:rsid w:val="006F0A98"/>
    <w:rsid w:val="006F47EE"/>
    <w:rsid w:val="006F508B"/>
    <w:rsid w:val="006F52BE"/>
    <w:rsid w:val="006F5BBE"/>
    <w:rsid w:val="006F7E30"/>
    <w:rsid w:val="00700602"/>
    <w:rsid w:val="00734A70"/>
    <w:rsid w:val="007361AD"/>
    <w:rsid w:val="00737D6F"/>
    <w:rsid w:val="00741289"/>
    <w:rsid w:val="00741BE6"/>
    <w:rsid w:val="00743B0C"/>
    <w:rsid w:val="007477EF"/>
    <w:rsid w:val="00750154"/>
    <w:rsid w:val="00750688"/>
    <w:rsid w:val="0075214C"/>
    <w:rsid w:val="00756C7D"/>
    <w:rsid w:val="00760FA5"/>
    <w:rsid w:val="00763D8F"/>
    <w:rsid w:val="007659A9"/>
    <w:rsid w:val="00766281"/>
    <w:rsid w:val="007672B5"/>
    <w:rsid w:val="00776E3F"/>
    <w:rsid w:val="00784135"/>
    <w:rsid w:val="0078483F"/>
    <w:rsid w:val="00785CDE"/>
    <w:rsid w:val="00785DA6"/>
    <w:rsid w:val="007928C5"/>
    <w:rsid w:val="007929FB"/>
    <w:rsid w:val="00794D87"/>
    <w:rsid w:val="0079628D"/>
    <w:rsid w:val="00796C4E"/>
    <w:rsid w:val="007A44B5"/>
    <w:rsid w:val="007A59BF"/>
    <w:rsid w:val="007A6EF4"/>
    <w:rsid w:val="007B19E2"/>
    <w:rsid w:val="007B3678"/>
    <w:rsid w:val="007B3852"/>
    <w:rsid w:val="007B65AB"/>
    <w:rsid w:val="007B7083"/>
    <w:rsid w:val="007C21F4"/>
    <w:rsid w:val="007C55D6"/>
    <w:rsid w:val="007C6D56"/>
    <w:rsid w:val="007D13D3"/>
    <w:rsid w:val="007D2B01"/>
    <w:rsid w:val="007D356F"/>
    <w:rsid w:val="007D4133"/>
    <w:rsid w:val="007E100E"/>
    <w:rsid w:val="007E3292"/>
    <w:rsid w:val="007E533E"/>
    <w:rsid w:val="007E734E"/>
    <w:rsid w:val="00812002"/>
    <w:rsid w:val="008157BD"/>
    <w:rsid w:val="00821BED"/>
    <w:rsid w:val="0082244E"/>
    <w:rsid w:val="00823D09"/>
    <w:rsid w:val="00831A7D"/>
    <w:rsid w:val="00833F5A"/>
    <w:rsid w:val="008341FC"/>
    <w:rsid w:val="008404A6"/>
    <w:rsid w:val="00840A8B"/>
    <w:rsid w:val="00843ED7"/>
    <w:rsid w:val="00844E40"/>
    <w:rsid w:val="00854DC7"/>
    <w:rsid w:val="0085667E"/>
    <w:rsid w:val="00856FF8"/>
    <w:rsid w:val="00860483"/>
    <w:rsid w:val="00875722"/>
    <w:rsid w:val="00877B85"/>
    <w:rsid w:val="00882FB4"/>
    <w:rsid w:val="00883468"/>
    <w:rsid w:val="00886B47"/>
    <w:rsid w:val="00890192"/>
    <w:rsid w:val="00893D07"/>
    <w:rsid w:val="0089780A"/>
    <w:rsid w:val="008A693A"/>
    <w:rsid w:val="008B00E6"/>
    <w:rsid w:val="008B3BD6"/>
    <w:rsid w:val="008C1816"/>
    <w:rsid w:val="008C3534"/>
    <w:rsid w:val="008C3FF8"/>
    <w:rsid w:val="008C6B0B"/>
    <w:rsid w:val="008D48BB"/>
    <w:rsid w:val="008D7179"/>
    <w:rsid w:val="008D77B2"/>
    <w:rsid w:val="008E0118"/>
    <w:rsid w:val="008E4873"/>
    <w:rsid w:val="008F0DFB"/>
    <w:rsid w:val="008F1780"/>
    <w:rsid w:val="008F2586"/>
    <w:rsid w:val="00902651"/>
    <w:rsid w:val="00902AB3"/>
    <w:rsid w:val="009038A4"/>
    <w:rsid w:val="009064C1"/>
    <w:rsid w:val="00911090"/>
    <w:rsid w:val="00913938"/>
    <w:rsid w:val="00917080"/>
    <w:rsid w:val="00925BCC"/>
    <w:rsid w:val="00934288"/>
    <w:rsid w:val="009371F9"/>
    <w:rsid w:val="00943232"/>
    <w:rsid w:val="00944D4B"/>
    <w:rsid w:val="009457D4"/>
    <w:rsid w:val="00947B4B"/>
    <w:rsid w:val="00952CB4"/>
    <w:rsid w:val="009531F7"/>
    <w:rsid w:val="00961625"/>
    <w:rsid w:val="0096491E"/>
    <w:rsid w:val="00966901"/>
    <w:rsid w:val="00967B99"/>
    <w:rsid w:val="00971D7D"/>
    <w:rsid w:val="009720DA"/>
    <w:rsid w:val="00983903"/>
    <w:rsid w:val="00984F28"/>
    <w:rsid w:val="00986394"/>
    <w:rsid w:val="00986504"/>
    <w:rsid w:val="0099129B"/>
    <w:rsid w:val="009917A4"/>
    <w:rsid w:val="0099492D"/>
    <w:rsid w:val="009954E3"/>
    <w:rsid w:val="00997D66"/>
    <w:rsid w:val="009A363A"/>
    <w:rsid w:val="009A7F13"/>
    <w:rsid w:val="009B5D0E"/>
    <w:rsid w:val="009C15B3"/>
    <w:rsid w:val="009C4B45"/>
    <w:rsid w:val="009C5FDC"/>
    <w:rsid w:val="009C6A9B"/>
    <w:rsid w:val="009C7B3E"/>
    <w:rsid w:val="009D0919"/>
    <w:rsid w:val="009D6257"/>
    <w:rsid w:val="009D7EBD"/>
    <w:rsid w:val="009F27C2"/>
    <w:rsid w:val="009F5919"/>
    <w:rsid w:val="009F694F"/>
    <w:rsid w:val="00A00C13"/>
    <w:rsid w:val="00A05F3D"/>
    <w:rsid w:val="00A068DE"/>
    <w:rsid w:val="00A07E8F"/>
    <w:rsid w:val="00A136DC"/>
    <w:rsid w:val="00A161EC"/>
    <w:rsid w:val="00A20CFC"/>
    <w:rsid w:val="00A22BA9"/>
    <w:rsid w:val="00A256ED"/>
    <w:rsid w:val="00A2611C"/>
    <w:rsid w:val="00A27E4E"/>
    <w:rsid w:val="00A334DF"/>
    <w:rsid w:val="00A342B0"/>
    <w:rsid w:val="00A40848"/>
    <w:rsid w:val="00A4389E"/>
    <w:rsid w:val="00A4414C"/>
    <w:rsid w:val="00A56BAB"/>
    <w:rsid w:val="00A57BCA"/>
    <w:rsid w:val="00A57F68"/>
    <w:rsid w:val="00A64D78"/>
    <w:rsid w:val="00A65473"/>
    <w:rsid w:val="00A71233"/>
    <w:rsid w:val="00A71C24"/>
    <w:rsid w:val="00A72492"/>
    <w:rsid w:val="00A76CC7"/>
    <w:rsid w:val="00A80F32"/>
    <w:rsid w:val="00A834B4"/>
    <w:rsid w:val="00A86777"/>
    <w:rsid w:val="00A906E2"/>
    <w:rsid w:val="00A96C1A"/>
    <w:rsid w:val="00AA31E1"/>
    <w:rsid w:val="00AB402D"/>
    <w:rsid w:val="00AC29BF"/>
    <w:rsid w:val="00AC673D"/>
    <w:rsid w:val="00AD35AC"/>
    <w:rsid w:val="00AD5307"/>
    <w:rsid w:val="00AE5CD1"/>
    <w:rsid w:val="00AF263B"/>
    <w:rsid w:val="00B015E2"/>
    <w:rsid w:val="00B06E8D"/>
    <w:rsid w:val="00B07990"/>
    <w:rsid w:val="00B07F83"/>
    <w:rsid w:val="00B12014"/>
    <w:rsid w:val="00B12160"/>
    <w:rsid w:val="00B12E97"/>
    <w:rsid w:val="00B12FB3"/>
    <w:rsid w:val="00B1386A"/>
    <w:rsid w:val="00B139F4"/>
    <w:rsid w:val="00B13FF4"/>
    <w:rsid w:val="00B14C19"/>
    <w:rsid w:val="00B17F67"/>
    <w:rsid w:val="00B2318E"/>
    <w:rsid w:val="00B23474"/>
    <w:rsid w:val="00B24C45"/>
    <w:rsid w:val="00B24EB0"/>
    <w:rsid w:val="00B253AD"/>
    <w:rsid w:val="00B270EC"/>
    <w:rsid w:val="00B31618"/>
    <w:rsid w:val="00B31B92"/>
    <w:rsid w:val="00B3248C"/>
    <w:rsid w:val="00B324A5"/>
    <w:rsid w:val="00B3426F"/>
    <w:rsid w:val="00B35CC6"/>
    <w:rsid w:val="00B41945"/>
    <w:rsid w:val="00B44E1B"/>
    <w:rsid w:val="00B46A9A"/>
    <w:rsid w:val="00B46DA8"/>
    <w:rsid w:val="00B50CCA"/>
    <w:rsid w:val="00B566D5"/>
    <w:rsid w:val="00B56F60"/>
    <w:rsid w:val="00B6560B"/>
    <w:rsid w:val="00B775ED"/>
    <w:rsid w:val="00B82AD6"/>
    <w:rsid w:val="00B927DA"/>
    <w:rsid w:val="00B92CA6"/>
    <w:rsid w:val="00B93216"/>
    <w:rsid w:val="00B93AD7"/>
    <w:rsid w:val="00B946A7"/>
    <w:rsid w:val="00B9719A"/>
    <w:rsid w:val="00BA05F7"/>
    <w:rsid w:val="00BA3FD7"/>
    <w:rsid w:val="00BB154F"/>
    <w:rsid w:val="00BB5401"/>
    <w:rsid w:val="00BB6C08"/>
    <w:rsid w:val="00BB7B67"/>
    <w:rsid w:val="00BC1ED7"/>
    <w:rsid w:val="00BC377B"/>
    <w:rsid w:val="00BC7C5F"/>
    <w:rsid w:val="00BD043E"/>
    <w:rsid w:val="00BD4FFA"/>
    <w:rsid w:val="00BF0A78"/>
    <w:rsid w:val="00C02372"/>
    <w:rsid w:val="00C05786"/>
    <w:rsid w:val="00C064A5"/>
    <w:rsid w:val="00C1729F"/>
    <w:rsid w:val="00C22115"/>
    <w:rsid w:val="00C228CD"/>
    <w:rsid w:val="00C27863"/>
    <w:rsid w:val="00C37353"/>
    <w:rsid w:val="00C41A00"/>
    <w:rsid w:val="00C441A4"/>
    <w:rsid w:val="00C44DFF"/>
    <w:rsid w:val="00C62711"/>
    <w:rsid w:val="00C80457"/>
    <w:rsid w:val="00C807A3"/>
    <w:rsid w:val="00C8275F"/>
    <w:rsid w:val="00C8471F"/>
    <w:rsid w:val="00C86EF0"/>
    <w:rsid w:val="00C9288D"/>
    <w:rsid w:val="00C9441C"/>
    <w:rsid w:val="00CA17D3"/>
    <w:rsid w:val="00CA1CF6"/>
    <w:rsid w:val="00CA62FC"/>
    <w:rsid w:val="00CA6D11"/>
    <w:rsid w:val="00CB14D5"/>
    <w:rsid w:val="00CB2A2A"/>
    <w:rsid w:val="00CB5CC9"/>
    <w:rsid w:val="00CC665E"/>
    <w:rsid w:val="00CD3B3D"/>
    <w:rsid w:val="00CD4558"/>
    <w:rsid w:val="00CD58C8"/>
    <w:rsid w:val="00CD7D4B"/>
    <w:rsid w:val="00CE19C0"/>
    <w:rsid w:val="00CE260E"/>
    <w:rsid w:val="00CE2CE0"/>
    <w:rsid w:val="00CE3297"/>
    <w:rsid w:val="00CE4CB5"/>
    <w:rsid w:val="00CE72A6"/>
    <w:rsid w:val="00CE7657"/>
    <w:rsid w:val="00CF314A"/>
    <w:rsid w:val="00CF36CF"/>
    <w:rsid w:val="00CF5D64"/>
    <w:rsid w:val="00CF5F98"/>
    <w:rsid w:val="00CF7620"/>
    <w:rsid w:val="00D03C41"/>
    <w:rsid w:val="00D0423E"/>
    <w:rsid w:val="00D054A1"/>
    <w:rsid w:val="00D10688"/>
    <w:rsid w:val="00D11772"/>
    <w:rsid w:val="00D1313B"/>
    <w:rsid w:val="00D15647"/>
    <w:rsid w:val="00D15669"/>
    <w:rsid w:val="00D2008B"/>
    <w:rsid w:val="00D26741"/>
    <w:rsid w:val="00D3359A"/>
    <w:rsid w:val="00D345DC"/>
    <w:rsid w:val="00D35171"/>
    <w:rsid w:val="00D35907"/>
    <w:rsid w:val="00D373BD"/>
    <w:rsid w:val="00D464A2"/>
    <w:rsid w:val="00D51102"/>
    <w:rsid w:val="00D5237A"/>
    <w:rsid w:val="00D531DF"/>
    <w:rsid w:val="00D53F18"/>
    <w:rsid w:val="00D62762"/>
    <w:rsid w:val="00D6690C"/>
    <w:rsid w:val="00D745CF"/>
    <w:rsid w:val="00D74C42"/>
    <w:rsid w:val="00D95EB9"/>
    <w:rsid w:val="00DA1481"/>
    <w:rsid w:val="00DA2F7F"/>
    <w:rsid w:val="00DA3D86"/>
    <w:rsid w:val="00DA4774"/>
    <w:rsid w:val="00DB1820"/>
    <w:rsid w:val="00DB62E4"/>
    <w:rsid w:val="00DB73FC"/>
    <w:rsid w:val="00DC6270"/>
    <w:rsid w:val="00DC7F9C"/>
    <w:rsid w:val="00DD095A"/>
    <w:rsid w:val="00DD0BAA"/>
    <w:rsid w:val="00DD1162"/>
    <w:rsid w:val="00DD4151"/>
    <w:rsid w:val="00DF177A"/>
    <w:rsid w:val="00DF1AF0"/>
    <w:rsid w:val="00DF255D"/>
    <w:rsid w:val="00DF3F82"/>
    <w:rsid w:val="00DF64FB"/>
    <w:rsid w:val="00DF6BC9"/>
    <w:rsid w:val="00E003B2"/>
    <w:rsid w:val="00E01076"/>
    <w:rsid w:val="00E124D8"/>
    <w:rsid w:val="00E14B1F"/>
    <w:rsid w:val="00E17AD4"/>
    <w:rsid w:val="00E244E4"/>
    <w:rsid w:val="00E2581B"/>
    <w:rsid w:val="00E277A4"/>
    <w:rsid w:val="00E2784C"/>
    <w:rsid w:val="00E33D18"/>
    <w:rsid w:val="00E34DEE"/>
    <w:rsid w:val="00E357E0"/>
    <w:rsid w:val="00E3671B"/>
    <w:rsid w:val="00E427C1"/>
    <w:rsid w:val="00E4607C"/>
    <w:rsid w:val="00E63709"/>
    <w:rsid w:val="00E84A8F"/>
    <w:rsid w:val="00E8632B"/>
    <w:rsid w:val="00E8655F"/>
    <w:rsid w:val="00E94C08"/>
    <w:rsid w:val="00E96C6F"/>
    <w:rsid w:val="00EA2453"/>
    <w:rsid w:val="00EA3398"/>
    <w:rsid w:val="00EA618F"/>
    <w:rsid w:val="00EA7F56"/>
    <w:rsid w:val="00EB5A7D"/>
    <w:rsid w:val="00EC0B59"/>
    <w:rsid w:val="00EC4630"/>
    <w:rsid w:val="00EC57F8"/>
    <w:rsid w:val="00EC6526"/>
    <w:rsid w:val="00EC7CE3"/>
    <w:rsid w:val="00EE4716"/>
    <w:rsid w:val="00EE4BF7"/>
    <w:rsid w:val="00EE622A"/>
    <w:rsid w:val="00EE697A"/>
    <w:rsid w:val="00EF5015"/>
    <w:rsid w:val="00EF5FDA"/>
    <w:rsid w:val="00F01947"/>
    <w:rsid w:val="00F07B8A"/>
    <w:rsid w:val="00F14C78"/>
    <w:rsid w:val="00F1757E"/>
    <w:rsid w:val="00F20E7C"/>
    <w:rsid w:val="00F32D5B"/>
    <w:rsid w:val="00F43C0D"/>
    <w:rsid w:val="00F44EA5"/>
    <w:rsid w:val="00F50584"/>
    <w:rsid w:val="00F50D6C"/>
    <w:rsid w:val="00F55DF2"/>
    <w:rsid w:val="00F605D9"/>
    <w:rsid w:val="00F60734"/>
    <w:rsid w:val="00F621D5"/>
    <w:rsid w:val="00F62B80"/>
    <w:rsid w:val="00F62F0C"/>
    <w:rsid w:val="00F634DD"/>
    <w:rsid w:val="00F63661"/>
    <w:rsid w:val="00F665C4"/>
    <w:rsid w:val="00F70603"/>
    <w:rsid w:val="00F7235E"/>
    <w:rsid w:val="00F73894"/>
    <w:rsid w:val="00F75F38"/>
    <w:rsid w:val="00F8344A"/>
    <w:rsid w:val="00F83520"/>
    <w:rsid w:val="00F92F9D"/>
    <w:rsid w:val="00F950E0"/>
    <w:rsid w:val="00F9586F"/>
    <w:rsid w:val="00F95B5D"/>
    <w:rsid w:val="00F96A64"/>
    <w:rsid w:val="00FA01D7"/>
    <w:rsid w:val="00FA1ECF"/>
    <w:rsid w:val="00FA21AC"/>
    <w:rsid w:val="00FA48C2"/>
    <w:rsid w:val="00FA5491"/>
    <w:rsid w:val="00FB5E46"/>
    <w:rsid w:val="00FC3FD9"/>
    <w:rsid w:val="00FD39FE"/>
    <w:rsid w:val="00FD58F7"/>
    <w:rsid w:val="00FE06F8"/>
    <w:rsid w:val="00FE099C"/>
    <w:rsid w:val="00FF0759"/>
    <w:rsid w:val="00FF1BF0"/>
    <w:rsid w:val="00FF4A98"/>
    <w:rsid w:val="00FF6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98C5"/>
  <w15:chartTrackingRefBased/>
  <w15:docId w15:val="{DA2FB2A4-6AF9-9C49-A88C-B1D41869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A3"/>
    <w:pPr>
      <w:spacing w:after="160" w:line="259" w:lineRule="auto"/>
    </w:pPr>
    <w:rPr>
      <w:sz w:val="22"/>
      <w:szCs w:val="22"/>
    </w:rPr>
  </w:style>
  <w:style w:type="paragraph" w:styleId="Heading3">
    <w:name w:val="heading 3"/>
    <w:basedOn w:val="Normal"/>
    <w:link w:val="Heading3Char"/>
    <w:uiPriority w:val="9"/>
    <w:qFormat/>
    <w:rsid w:val="00947B4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7A3"/>
    <w:rPr>
      <w:color w:val="0563C1" w:themeColor="hyperlink"/>
      <w:u w:val="single"/>
    </w:rPr>
  </w:style>
  <w:style w:type="paragraph" w:styleId="FootnoteText">
    <w:name w:val="footnote text"/>
    <w:basedOn w:val="Normal"/>
    <w:link w:val="FootnoteTextChar"/>
    <w:uiPriority w:val="99"/>
    <w:unhideWhenUsed/>
    <w:rsid w:val="00C807A3"/>
    <w:pPr>
      <w:spacing w:after="0" w:line="240" w:lineRule="auto"/>
    </w:pPr>
    <w:rPr>
      <w:sz w:val="20"/>
      <w:szCs w:val="20"/>
    </w:rPr>
  </w:style>
  <w:style w:type="character" w:customStyle="1" w:styleId="FootnoteTextChar">
    <w:name w:val="Footnote Text Char"/>
    <w:basedOn w:val="DefaultParagraphFont"/>
    <w:link w:val="FootnoteText"/>
    <w:uiPriority w:val="99"/>
    <w:rsid w:val="00C807A3"/>
    <w:rPr>
      <w:sz w:val="20"/>
      <w:szCs w:val="20"/>
      <w:lang w:val="lv-LV"/>
    </w:rPr>
  </w:style>
  <w:style w:type="character" w:styleId="FootnoteReference">
    <w:name w:val="footnote reference"/>
    <w:basedOn w:val="DefaultParagraphFont"/>
    <w:uiPriority w:val="99"/>
    <w:unhideWhenUsed/>
    <w:rsid w:val="00C807A3"/>
    <w:rPr>
      <w:vertAlign w:val="superscript"/>
    </w:rPr>
  </w:style>
  <w:style w:type="paragraph" w:customStyle="1" w:styleId="tv213">
    <w:name w:val="tv213"/>
    <w:basedOn w:val="Normal"/>
    <w:rsid w:val="00574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4BE3"/>
  </w:style>
  <w:style w:type="character" w:customStyle="1" w:styleId="fontsize2">
    <w:name w:val="fontsize2"/>
    <w:basedOn w:val="DefaultParagraphFont"/>
    <w:rsid w:val="00574BE3"/>
  </w:style>
  <w:style w:type="paragraph" w:styleId="ListParagraph">
    <w:name w:val="List Paragraph"/>
    <w:basedOn w:val="Normal"/>
    <w:uiPriority w:val="34"/>
    <w:qFormat/>
    <w:rsid w:val="00DC6270"/>
    <w:pPr>
      <w:spacing w:after="200" w:line="276" w:lineRule="auto"/>
      <w:ind w:left="720"/>
      <w:contextualSpacing/>
    </w:pPr>
  </w:style>
  <w:style w:type="paragraph" w:styleId="NoSpacing">
    <w:name w:val="No Spacing"/>
    <w:link w:val="NoSpacingChar"/>
    <w:uiPriority w:val="1"/>
    <w:qFormat/>
    <w:rsid w:val="00203611"/>
    <w:pPr>
      <w:ind w:firstLine="720"/>
      <w:jc w:val="both"/>
    </w:pPr>
    <w:rPr>
      <w:rFonts w:ascii="Times New Roman" w:eastAsia="Calibri" w:hAnsi="Times New Roman" w:cs="Times New Roman"/>
      <w:sz w:val="26"/>
      <w:szCs w:val="26"/>
      <w:lang w:val="en-GB" w:eastAsia="en-GB"/>
    </w:rPr>
  </w:style>
  <w:style w:type="character" w:customStyle="1" w:styleId="NoSpacingChar">
    <w:name w:val="No Spacing Char"/>
    <w:basedOn w:val="DefaultParagraphFont"/>
    <w:link w:val="NoSpacing"/>
    <w:uiPriority w:val="1"/>
    <w:rsid w:val="00203611"/>
    <w:rPr>
      <w:rFonts w:ascii="Times New Roman" w:eastAsia="Calibri" w:hAnsi="Times New Roman" w:cs="Times New Roman"/>
      <w:sz w:val="26"/>
      <w:szCs w:val="26"/>
      <w:lang w:val="en-GB" w:eastAsia="en-GB"/>
    </w:rPr>
  </w:style>
  <w:style w:type="paragraph" w:customStyle="1" w:styleId="title-doc-first">
    <w:name w:val="title-doc-first"/>
    <w:basedOn w:val="Normal"/>
    <w:rsid w:val="002036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6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A9"/>
    <w:rPr>
      <w:sz w:val="22"/>
      <w:szCs w:val="22"/>
      <w:lang w:val="lv-LV"/>
    </w:rPr>
  </w:style>
  <w:style w:type="character" w:styleId="PageNumber">
    <w:name w:val="page number"/>
    <w:basedOn w:val="DefaultParagraphFont"/>
    <w:uiPriority w:val="99"/>
    <w:semiHidden/>
    <w:unhideWhenUsed/>
    <w:rsid w:val="007659A9"/>
  </w:style>
  <w:style w:type="paragraph" w:styleId="Header">
    <w:name w:val="header"/>
    <w:basedOn w:val="Normal"/>
    <w:link w:val="HeaderChar"/>
    <w:uiPriority w:val="99"/>
    <w:unhideWhenUsed/>
    <w:rsid w:val="00381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084"/>
    <w:rPr>
      <w:sz w:val="22"/>
      <w:szCs w:val="22"/>
      <w:lang w:val="lv-LV"/>
    </w:rPr>
  </w:style>
  <w:style w:type="paragraph" w:styleId="BalloonText">
    <w:name w:val="Balloon Text"/>
    <w:basedOn w:val="Normal"/>
    <w:link w:val="BalloonTextChar"/>
    <w:uiPriority w:val="99"/>
    <w:semiHidden/>
    <w:unhideWhenUsed/>
    <w:rsid w:val="00456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F7"/>
    <w:rPr>
      <w:rFonts w:ascii="Segoe UI" w:hAnsi="Segoe UI" w:cs="Segoe UI"/>
      <w:sz w:val="18"/>
      <w:szCs w:val="18"/>
    </w:rPr>
  </w:style>
  <w:style w:type="character" w:styleId="CommentReference">
    <w:name w:val="annotation reference"/>
    <w:basedOn w:val="DefaultParagraphFont"/>
    <w:uiPriority w:val="99"/>
    <w:semiHidden/>
    <w:unhideWhenUsed/>
    <w:rsid w:val="00620527"/>
    <w:rPr>
      <w:sz w:val="16"/>
      <w:szCs w:val="16"/>
    </w:rPr>
  </w:style>
  <w:style w:type="paragraph" w:styleId="CommentText">
    <w:name w:val="annotation text"/>
    <w:basedOn w:val="Normal"/>
    <w:link w:val="CommentTextChar"/>
    <w:uiPriority w:val="99"/>
    <w:semiHidden/>
    <w:unhideWhenUsed/>
    <w:rsid w:val="00620527"/>
    <w:pPr>
      <w:spacing w:line="240" w:lineRule="auto"/>
    </w:pPr>
    <w:rPr>
      <w:sz w:val="20"/>
      <w:szCs w:val="20"/>
    </w:rPr>
  </w:style>
  <w:style w:type="character" w:customStyle="1" w:styleId="CommentTextChar">
    <w:name w:val="Comment Text Char"/>
    <w:basedOn w:val="DefaultParagraphFont"/>
    <w:link w:val="CommentText"/>
    <w:uiPriority w:val="99"/>
    <w:semiHidden/>
    <w:rsid w:val="00620527"/>
    <w:rPr>
      <w:sz w:val="20"/>
      <w:szCs w:val="20"/>
    </w:rPr>
  </w:style>
  <w:style w:type="paragraph" w:styleId="CommentSubject">
    <w:name w:val="annotation subject"/>
    <w:basedOn w:val="CommentText"/>
    <w:next w:val="CommentText"/>
    <w:link w:val="CommentSubjectChar"/>
    <w:uiPriority w:val="99"/>
    <w:semiHidden/>
    <w:unhideWhenUsed/>
    <w:rsid w:val="00620527"/>
    <w:rPr>
      <w:b/>
      <w:bCs/>
    </w:rPr>
  </w:style>
  <w:style w:type="character" w:customStyle="1" w:styleId="CommentSubjectChar">
    <w:name w:val="Comment Subject Char"/>
    <w:basedOn w:val="CommentTextChar"/>
    <w:link w:val="CommentSubject"/>
    <w:uiPriority w:val="99"/>
    <w:semiHidden/>
    <w:rsid w:val="00620527"/>
    <w:rPr>
      <w:b/>
      <w:bCs/>
      <w:sz w:val="20"/>
      <w:szCs w:val="20"/>
    </w:rPr>
  </w:style>
  <w:style w:type="character" w:customStyle="1" w:styleId="Bodytext2">
    <w:name w:val="Body text (2)_"/>
    <w:basedOn w:val="DefaultParagraphFont"/>
    <w:link w:val="Bodytext21"/>
    <w:rsid w:val="0056033B"/>
    <w:rPr>
      <w:rFonts w:ascii="Book Antiqua" w:eastAsia="Book Antiqua" w:hAnsi="Book Antiqua" w:cs="Book Antiqua"/>
      <w:sz w:val="17"/>
      <w:szCs w:val="17"/>
      <w:shd w:val="clear" w:color="auto" w:fill="FFFFFF"/>
    </w:rPr>
  </w:style>
  <w:style w:type="paragraph" w:customStyle="1" w:styleId="Bodytext21">
    <w:name w:val="Body text (2)1"/>
    <w:basedOn w:val="Normal"/>
    <w:link w:val="Bodytext2"/>
    <w:rsid w:val="0056033B"/>
    <w:pPr>
      <w:widowControl w:val="0"/>
      <w:shd w:val="clear" w:color="auto" w:fill="FFFFFF"/>
      <w:spacing w:after="0" w:line="250" w:lineRule="exact"/>
      <w:jc w:val="both"/>
    </w:pPr>
    <w:rPr>
      <w:rFonts w:ascii="Book Antiqua" w:eastAsia="Book Antiqua" w:hAnsi="Book Antiqua" w:cs="Book Antiqua"/>
      <w:sz w:val="17"/>
      <w:szCs w:val="17"/>
    </w:rPr>
  </w:style>
  <w:style w:type="paragraph" w:styleId="Revision">
    <w:name w:val="Revision"/>
    <w:hidden/>
    <w:uiPriority w:val="99"/>
    <w:semiHidden/>
    <w:rsid w:val="00B35CC6"/>
    <w:rPr>
      <w:sz w:val="22"/>
      <w:szCs w:val="22"/>
    </w:rPr>
  </w:style>
  <w:style w:type="paragraph" w:styleId="NormalWeb">
    <w:name w:val="Normal (Web)"/>
    <w:basedOn w:val="Normal"/>
    <w:uiPriority w:val="99"/>
    <w:semiHidden/>
    <w:unhideWhenUsed/>
    <w:rsid w:val="00C944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C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7B4B"/>
    <w:rPr>
      <w:rFonts w:ascii="Times New Roman" w:eastAsia="Times New Roman" w:hAnsi="Times New Roman" w:cs="Times New Roman"/>
      <w:b/>
      <w:bCs/>
      <w:sz w:val="27"/>
      <w:szCs w:val="27"/>
      <w:lang w:eastAsia="lv-LV"/>
    </w:rPr>
  </w:style>
  <w:style w:type="character" w:customStyle="1" w:styleId="UnresolvedMention">
    <w:name w:val="Unresolved Mention"/>
    <w:basedOn w:val="DefaultParagraphFont"/>
    <w:uiPriority w:val="99"/>
    <w:semiHidden/>
    <w:unhideWhenUsed/>
    <w:rsid w:val="0067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3444">
      <w:bodyDiv w:val="1"/>
      <w:marLeft w:val="0"/>
      <w:marRight w:val="0"/>
      <w:marTop w:val="0"/>
      <w:marBottom w:val="0"/>
      <w:divBdr>
        <w:top w:val="none" w:sz="0" w:space="0" w:color="auto"/>
        <w:left w:val="none" w:sz="0" w:space="0" w:color="auto"/>
        <w:bottom w:val="none" w:sz="0" w:space="0" w:color="auto"/>
        <w:right w:val="none" w:sz="0" w:space="0" w:color="auto"/>
      </w:divBdr>
    </w:div>
    <w:div w:id="220946511">
      <w:bodyDiv w:val="1"/>
      <w:marLeft w:val="0"/>
      <w:marRight w:val="0"/>
      <w:marTop w:val="0"/>
      <w:marBottom w:val="0"/>
      <w:divBdr>
        <w:top w:val="none" w:sz="0" w:space="0" w:color="auto"/>
        <w:left w:val="none" w:sz="0" w:space="0" w:color="auto"/>
        <w:bottom w:val="none" w:sz="0" w:space="0" w:color="auto"/>
        <w:right w:val="none" w:sz="0" w:space="0" w:color="auto"/>
      </w:divBdr>
    </w:div>
    <w:div w:id="463695669">
      <w:bodyDiv w:val="1"/>
      <w:marLeft w:val="0"/>
      <w:marRight w:val="0"/>
      <w:marTop w:val="0"/>
      <w:marBottom w:val="0"/>
      <w:divBdr>
        <w:top w:val="none" w:sz="0" w:space="0" w:color="auto"/>
        <w:left w:val="none" w:sz="0" w:space="0" w:color="auto"/>
        <w:bottom w:val="none" w:sz="0" w:space="0" w:color="auto"/>
        <w:right w:val="none" w:sz="0" w:space="0" w:color="auto"/>
      </w:divBdr>
    </w:div>
    <w:div w:id="591740968">
      <w:bodyDiv w:val="1"/>
      <w:marLeft w:val="0"/>
      <w:marRight w:val="0"/>
      <w:marTop w:val="0"/>
      <w:marBottom w:val="0"/>
      <w:divBdr>
        <w:top w:val="none" w:sz="0" w:space="0" w:color="auto"/>
        <w:left w:val="none" w:sz="0" w:space="0" w:color="auto"/>
        <w:bottom w:val="none" w:sz="0" w:space="0" w:color="auto"/>
        <w:right w:val="none" w:sz="0" w:space="0" w:color="auto"/>
      </w:divBdr>
    </w:div>
    <w:div w:id="646787046">
      <w:bodyDiv w:val="1"/>
      <w:marLeft w:val="0"/>
      <w:marRight w:val="0"/>
      <w:marTop w:val="0"/>
      <w:marBottom w:val="0"/>
      <w:divBdr>
        <w:top w:val="none" w:sz="0" w:space="0" w:color="auto"/>
        <w:left w:val="none" w:sz="0" w:space="0" w:color="auto"/>
        <w:bottom w:val="none" w:sz="0" w:space="0" w:color="auto"/>
        <w:right w:val="none" w:sz="0" w:space="0" w:color="auto"/>
      </w:divBdr>
      <w:divsChild>
        <w:div w:id="1635983360">
          <w:marLeft w:val="0"/>
          <w:marRight w:val="0"/>
          <w:marTop w:val="0"/>
          <w:marBottom w:val="0"/>
          <w:divBdr>
            <w:top w:val="none" w:sz="0" w:space="0" w:color="auto"/>
            <w:left w:val="none" w:sz="0" w:space="0" w:color="auto"/>
            <w:bottom w:val="none" w:sz="0" w:space="0" w:color="auto"/>
            <w:right w:val="none" w:sz="0" w:space="0" w:color="auto"/>
          </w:divBdr>
          <w:divsChild>
            <w:div w:id="1084842799">
              <w:marLeft w:val="0"/>
              <w:marRight w:val="0"/>
              <w:marTop w:val="0"/>
              <w:marBottom w:val="0"/>
              <w:divBdr>
                <w:top w:val="none" w:sz="0" w:space="0" w:color="auto"/>
                <w:left w:val="none" w:sz="0" w:space="0" w:color="auto"/>
                <w:bottom w:val="none" w:sz="0" w:space="0" w:color="auto"/>
                <w:right w:val="none" w:sz="0" w:space="0" w:color="auto"/>
              </w:divBdr>
              <w:divsChild>
                <w:div w:id="721028104">
                  <w:marLeft w:val="0"/>
                  <w:marRight w:val="0"/>
                  <w:marTop w:val="0"/>
                  <w:marBottom w:val="0"/>
                  <w:divBdr>
                    <w:top w:val="none" w:sz="0" w:space="0" w:color="auto"/>
                    <w:left w:val="none" w:sz="0" w:space="0" w:color="auto"/>
                    <w:bottom w:val="none" w:sz="0" w:space="0" w:color="auto"/>
                    <w:right w:val="none" w:sz="0" w:space="0" w:color="auto"/>
                  </w:divBdr>
                </w:div>
              </w:divsChild>
            </w:div>
            <w:div w:id="1276331432">
              <w:marLeft w:val="0"/>
              <w:marRight w:val="0"/>
              <w:marTop w:val="0"/>
              <w:marBottom w:val="0"/>
              <w:divBdr>
                <w:top w:val="none" w:sz="0" w:space="0" w:color="auto"/>
                <w:left w:val="none" w:sz="0" w:space="0" w:color="auto"/>
                <w:bottom w:val="none" w:sz="0" w:space="0" w:color="auto"/>
                <w:right w:val="none" w:sz="0" w:space="0" w:color="auto"/>
              </w:divBdr>
              <w:divsChild>
                <w:div w:id="743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126">
          <w:marLeft w:val="0"/>
          <w:marRight w:val="0"/>
          <w:marTop w:val="0"/>
          <w:marBottom w:val="0"/>
          <w:divBdr>
            <w:top w:val="none" w:sz="0" w:space="0" w:color="auto"/>
            <w:left w:val="none" w:sz="0" w:space="0" w:color="auto"/>
            <w:bottom w:val="none" w:sz="0" w:space="0" w:color="auto"/>
            <w:right w:val="none" w:sz="0" w:space="0" w:color="auto"/>
          </w:divBdr>
          <w:divsChild>
            <w:div w:id="505681178">
              <w:marLeft w:val="0"/>
              <w:marRight w:val="0"/>
              <w:marTop w:val="0"/>
              <w:marBottom w:val="0"/>
              <w:divBdr>
                <w:top w:val="none" w:sz="0" w:space="0" w:color="auto"/>
                <w:left w:val="none" w:sz="0" w:space="0" w:color="auto"/>
                <w:bottom w:val="none" w:sz="0" w:space="0" w:color="auto"/>
                <w:right w:val="none" w:sz="0" w:space="0" w:color="auto"/>
              </w:divBdr>
              <w:divsChild>
                <w:div w:id="710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3079">
      <w:bodyDiv w:val="1"/>
      <w:marLeft w:val="0"/>
      <w:marRight w:val="0"/>
      <w:marTop w:val="0"/>
      <w:marBottom w:val="0"/>
      <w:divBdr>
        <w:top w:val="none" w:sz="0" w:space="0" w:color="auto"/>
        <w:left w:val="none" w:sz="0" w:space="0" w:color="auto"/>
        <w:bottom w:val="none" w:sz="0" w:space="0" w:color="auto"/>
        <w:right w:val="none" w:sz="0" w:space="0" w:color="auto"/>
      </w:divBdr>
    </w:div>
    <w:div w:id="846095440">
      <w:bodyDiv w:val="1"/>
      <w:marLeft w:val="0"/>
      <w:marRight w:val="0"/>
      <w:marTop w:val="0"/>
      <w:marBottom w:val="0"/>
      <w:divBdr>
        <w:top w:val="none" w:sz="0" w:space="0" w:color="auto"/>
        <w:left w:val="none" w:sz="0" w:space="0" w:color="auto"/>
        <w:bottom w:val="none" w:sz="0" w:space="0" w:color="auto"/>
        <w:right w:val="none" w:sz="0" w:space="0" w:color="auto"/>
      </w:divBdr>
    </w:div>
    <w:div w:id="1089623206">
      <w:bodyDiv w:val="1"/>
      <w:marLeft w:val="0"/>
      <w:marRight w:val="0"/>
      <w:marTop w:val="0"/>
      <w:marBottom w:val="0"/>
      <w:divBdr>
        <w:top w:val="none" w:sz="0" w:space="0" w:color="auto"/>
        <w:left w:val="none" w:sz="0" w:space="0" w:color="auto"/>
        <w:bottom w:val="none" w:sz="0" w:space="0" w:color="auto"/>
        <w:right w:val="none" w:sz="0" w:space="0" w:color="auto"/>
      </w:divBdr>
      <w:divsChild>
        <w:div w:id="1753047399">
          <w:marLeft w:val="0"/>
          <w:marRight w:val="0"/>
          <w:marTop w:val="0"/>
          <w:marBottom w:val="0"/>
          <w:divBdr>
            <w:top w:val="none" w:sz="0" w:space="0" w:color="auto"/>
            <w:left w:val="none" w:sz="0" w:space="0" w:color="auto"/>
            <w:bottom w:val="none" w:sz="0" w:space="0" w:color="auto"/>
            <w:right w:val="none" w:sz="0" w:space="0" w:color="auto"/>
          </w:divBdr>
          <w:divsChild>
            <w:div w:id="1471090521">
              <w:marLeft w:val="0"/>
              <w:marRight w:val="0"/>
              <w:marTop w:val="0"/>
              <w:marBottom w:val="0"/>
              <w:divBdr>
                <w:top w:val="none" w:sz="0" w:space="0" w:color="auto"/>
                <w:left w:val="none" w:sz="0" w:space="0" w:color="auto"/>
                <w:bottom w:val="none" w:sz="0" w:space="0" w:color="auto"/>
                <w:right w:val="none" w:sz="0" w:space="0" w:color="auto"/>
              </w:divBdr>
              <w:divsChild>
                <w:div w:id="2105225862">
                  <w:marLeft w:val="0"/>
                  <w:marRight w:val="0"/>
                  <w:marTop w:val="0"/>
                  <w:marBottom w:val="0"/>
                  <w:divBdr>
                    <w:top w:val="none" w:sz="0" w:space="0" w:color="auto"/>
                    <w:left w:val="none" w:sz="0" w:space="0" w:color="auto"/>
                    <w:bottom w:val="none" w:sz="0" w:space="0" w:color="auto"/>
                    <w:right w:val="none" w:sz="0" w:space="0" w:color="auto"/>
                  </w:divBdr>
                  <w:divsChild>
                    <w:div w:id="1671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0241">
      <w:bodyDiv w:val="1"/>
      <w:marLeft w:val="0"/>
      <w:marRight w:val="0"/>
      <w:marTop w:val="0"/>
      <w:marBottom w:val="0"/>
      <w:divBdr>
        <w:top w:val="none" w:sz="0" w:space="0" w:color="auto"/>
        <w:left w:val="none" w:sz="0" w:space="0" w:color="auto"/>
        <w:bottom w:val="none" w:sz="0" w:space="0" w:color="auto"/>
        <w:right w:val="none" w:sz="0" w:space="0" w:color="auto"/>
      </w:divBdr>
    </w:div>
    <w:div w:id="1365250779">
      <w:bodyDiv w:val="1"/>
      <w:marLeft w:val="0"/>
      <w:marRight w:val="0"/>
      <w:marTop w:val="0"/>
      <w:marBottom w:val="0"/>
      <w:divBdr>
        <w:top w:val="none" w:sz="0" w:space="0" w:color="auto"/>
        <w:left w:val="none" w:sz="0" w:space="0" w:color="auto"/>
        <w:bottom w:val="none" w:sz="0" w:space="0" w:color="auto"/>
        <w:right w:val="none" w:sz="0" w:space="0" w:color="auto"/>
      </w:divBdr>
    </w:div>
    <w:div w:id="1414819366">
      <w:bodyDiv w:val="1"/>
      <w:marLeft w:val="0"/>
      <w:marRight w:val="0"/>
      <w:marTop w:val="0"/>
      <w:marBottom w:val="0"/>
      <w:divBdr>
        <w:top w:val="none" w:sz="0" w:space="0" w:color="auto"/>
        <w:left w:val="none" w:sz="0" w:space="0" w:color="auto"/>
        <w:bottom w:val="none" w:sz="0" w:space="0" w:color="auto"/>
        <w:right w:val="none" w:sz="0" w:space="0" w:color="auto"/>
      </w:divBdr>
    </w:div>
    <w:div w:id="1644041595">
      <w:bodyDiv w:val="1"/>
      <w:marLeft w:val="0"/>
      <w:marRight w:val="0"/>
      <w:marTop w:val="0"/>
      <w:marBottom w:val="0"/>
      <w:divBdr>
        <w:top w:val="none" w:sz="0" w:space="0" w:color="auto"/>
        <w:left w:val="none" w:sz="0" w:space="0" w:color="auto"/>
        <w:bottom w:val="none" w:sz="0" w:space="0" w:color="auto"/>
        <w:right w:val="none" w:sz="0" w:space="0" w:color="auto"/>
      </w:divBdr>
    </w:div>
    <w:div w:id="1644310240">
      <w:bodyDiv w:val="1"/>
      <w:marLeft w:val="0"/>
      <w:marRight w:val="0"/>
      <w:marTop w:val="0"/>
      <w:marBottom w:val="0"/>
      <w:divBdr>
        <w:top w:val="none" w:sz="0" w:space="0" w:color="auto"/>
        <w:left w:val="none" w:sz="0" w:space="0" w:color="auto"/>
        <w:bottom w:val="none" w:sz="0" w:space="0" w:color="auto"/>
        <w:right w:val="none" w:sz="0" w:space="0" w:color="auto"/>
      </w:divBdr>
    </w:div>
    <w:div w:id="1710884061">
      <w:bodyDiv w:val="1"/>
      <w:marLeft w:val="0"/>
      <w:marRight w:val="0"/>
      <w:marTop w:val="0"/>
      <w:marBottom w:val="0"/>
      <w:divBdr>
        <w:top w:val="none" w:sz="0" w:space="0" w:color="auto"/>
        <w:left w:val="none" w:sz="0" w:space="0" w:color="auto"/>
        <w:bottom w:val="none" w:sz="0" w:space="0" w:color="auto"/>
        <w:right w:val="none" w:sz="0" w:space="0" w:color="auto"/>
      </w:divBdr>
    </w:div>
    <w:div w:id="2106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77A35.D3F05F80" TargetMode="External"/><Relationship Id="rId5" Type="http://schemas.openxmlformats.org/officeDocument/2006/relationships/webSettings" Target="webSettings.xml"/><Relationship Id="rId15" Type="http://schemas.openxmlformats.org/officeDocument/2006/relationships/image" Target="cid:image001.png@01D77A35.33250B0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nese.Albova@f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A6F1-54FC-449F-8499-E4D8E938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18789</Words>
  <Characters>10710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Sauszemes transportlīdzekļu īpašnieku civiltiesiskās atbildības obligātās apdrošināšanas likuma 14.pantā noteiktā tiesiskā regulējuma izvērtējumu”</dc:title>
  <dc:subject/>
  <dc:creator>Inese Albova</dc:creator>
  <cp:keywords/>
  <dc:description>67083857, inese.albova@fm.gov.lv</dc:description>
  <cp:lastModifiedBy>Inese Albova</cp:lastModifiedBy>
  <cp:revision>48</cp:revision>
  <dcterms:created xsi:type="dcterms:W3CDTF">2021-08-17T05:49:00Z</dcterms:created>
  <dcterms:modified xsi:type="dcterms:W3CDTF">2021-08-20T10:47:00Z</dcterms:modified>
</cp:coreProperties>
</file>