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DE5B" w14:textId="77777777" w:rsidR="005E017E" w:rsidRDefault="005E017E" w:rsidP="00B02B61">
      <w:pPr>
        <w:jc w:val="center"/>
        <w:rPr>
          <w:b/>
        </w:rPr>
      </w:pPr>
    </w:p>
    <w:p w14:paraId="6A228075" w14:textId="692D3A20" w:rsidR="00527E03" w:rsidRPr="00527E03" w:rsidRDefault="00527E03" w:rsidP="00B02B61">
      <w:pPr>
        <w:jc w:val="center"/>
        <w:rPr>
          <w:b/>
        </w:rPr>
      </w:pPr>
      <w:r w:rsidRPr="00527E03">
        <w:rPr>
          <w:b/>
        </w:rPr>
        <w:t xml:space="preserve">Informatīvais ziņojums par </w:t>
      </w:r>
      <w:r w:rsidR="00C0683B">
        <w:rPr>
          <w:b/>
        </w:rPr>
        <w:t>Latvijas</w:t>
      </w:r>
      <w:r w:rsidR="00C0683B" w:rsidRPr="00527E03">
        <w:rPr>
          <w:b/>
        </w:rPr>
        <w:t xml:space="preserve"> </w:t>
      </w:r>
      <w:r w:rsidRPr="00527E03">
        <w:rPr>
          <w:b/>
        </w:rPr>
        <w:t>Atveseļošanas un noturības mehānism</w:t>
      </w:r>
      <w:r w:rsidR="00025C9E">
        <w:rPr>
          <w:b/>
        </w:rPr>
        <w:t>a</w:t>
      </w:r>
      <w:r w:rsidR="00C0683B">
        <w:rPr>
          <w:b/>
        </w:rPr>
        <w:t xml:space="preserve"> plāna</w:t>
      </w:r>
      <w:r w:rsidR="00025C9E">
        <w:rPr>
          <w:b/>
        </w:rPr>
        <w:t xml:space="preserve"> ieviešanu</w:t>
      </w:r>
    </w:p>
    <w:p w14:paraId="0DEDAFF7" w14:textId="123F7D73" w:rsidR="00A75810" w:rsidRDefault="00A75810" w:rsidP="00B02B61">
      <w:pPr>
        <w:spacing w:after="0"/>
        <w:ind w:firstLine="567"/>
        <w:contextualSpacing/>
        <w:jc w:val="both"/>
        <w:rPr>
          <w:rFonts w:eastAsia="Times New Roman"/>
          <w:szCs w:val="22"/>
        </w:rPr>
      </w:pPr>
    </w:p>
    <w:p w14:paraId="2DDAEC38" w14:textId="08990B86" w:rsidR="003C1E4C" w:rsidRDefault="003C1E4C" w:rsidP="00B02B61">
      <w:pPr>
        <w:spacing w:after="0"/>
        <w:ind w:firstLine="567"/>
        <w:contextualSpacing/>
        <w:jc w:val="both"/>
        <w:rPr>
          <w:rFonts w:eastAsia="Times New Roman"/>
          <w:szCs w:val="22"/>
        </w:rPr>
      </w:pPr>
      <w:r w:rsidRPr="003C1E4C">
        <w:rPr>
          <w:rFonts w:eastAsia="Times New Roman"/>
          <w:szCs w:val="22"/>
        </w:rPr>
        <w:t xml:space="preserve">Informatīvā ziņojuma mērķis ir informēt par Latvijas Atveseļošanas un noturības mehānisma (turpmāk – </w:t>
      </w:r>
      <w:bookmarkStart w:id="0" w:name="_Hlk80795252"/>
      <w:r w:rsidR="00DE7A09">
        <w:rPr>
          <w:rFonts w:eastAsia="Times New Roman"/>
          <w:szCs w:val="22"/>
        </w:rPr>
        <w:t>Atveseļošanas fonda</w:t>
      </w:r>
      <w:bookmarkEnd w:id="0"/>
      <w:r w:rsidRPr="003C1E4C">
        <w:rPr>
          <w:rFonts w:eastAsia="Times New Roman"/>
          <w:szCs w:val="22"/>
        </w:rPr>
        <w:t xml:space="preserve">) plāna </w:t>
      </w:r>
      <w:r>
        <w:rPr>
          <w:rFonts w:eastAsia="Times New Roman"/>
          <w:szCs w:val="22"/>
        </w:rPr>
        <w:t xml:space="preserve">ieviešanai nepieciešamajiem finanšu resursiem atbilstošas vadības un kontroles sistēmas nodrošināšanai. </w:t>
      </w:r>
    </w:p>
    <w:p w14:paraId="4A44BB1B" w14:textId="76A92C66" w:rsidR="003C1E4C" w:rsidRDefault="003C1E4C" w:rsidP="00B02B61">
      <w:pPr>
        <w:spacing w:after="0"/>
        <w:ind w:firstLine="567"/>
        <w:contextualSpacing/>
        <w:jc w:val="both"/>
        <w:rPr>
          <w:rFonts w:eastAsia="Times New Roman"/>
          <w:szCs w:val="22"/>
        </w:rPr>
      </w:pPr>
    </w:p>
    <w:p w14:paraId="53193C31" w14:textId="725BD8B0" w:rsidR="003C1E4C" w:rsidRPr="00DA0156" w:rsidRDefault="00DE7A09" w:rsidP="00DA0156">
      <w:pPr>
        <w:pStyle w:val="ListParagraph"/>
        <w:numPr>
          <w:ilvl w:val="0"/>
          <w:numId w:val="24"/>
        </w:numPr>
        <w:spacing w:after="0"/>
        <w:jc w:val="center"/>
        <w:rPr>
          <w:rFonts w:eastAsia="Times New Roman"/>
          <w:b/>
          <w:bCs/>
          <w:szCs w:val="22"/>
        </w:rPr>
      </w:pPr>
      <w:r w:rsidRPr="00DE7A09">
        <w:rPr>
          <w:rFonts w:eastAsia="Times New Roman"/>
          <w:b/>
          <w:bCs/>
          <w:szCs w:val="22"/>
        </w:rPr>
        <w:t>Atveseļošanas fonda</w:t>
      </w:r>
      <w:r w:rsidR="00DA0156" w:rsidRPr="00DA0156">
        <w:rPr>
          <w:rFonts w:eastAsia="Times New Roman"/>
          <w:b/>
          <w:bCs/>
          <w:szCs w:val="22"/>
        </w:rPr>
        <w:t xml:space="preserve"> plāna ietekme uz tautsaimniecību</w:t>
      </w:r>
    </w:p>
    <w:p w14:paraId="045860F9" w14:textId="775E1BC0" w:rsidR="003C1E4C" w:rsidRDefault="003C1E4C" w:rsidP="00B02B61">
      <w:pPr>
        <w:spacing w:after="0"/>
        <w:ind w:firstLine="567"/>
        <w:contextualSpacing/>
        <w:jc w:val="both"/>
        <w:rPr>
          <w:rFonts w:eastAsia="Times New Roman"/>
          <w:szCs w:val="22"/>
        </w:rPr>
      </w:pPr>
    </w:p>
    <w:p w14:paraId="5D054BB5" w14:textId="0D213DB3" w:rsidR="00921C59" w:rsidRDefault="00921C59" w:rsidP="00693A75">
      <w:pPr>
        <w:spacing w:after="0" w:line="276" w:lineRule="auto"/>
        <w:ind w:firstLine="567"/>
        <w:contextualSpacing/>
        <w:jc w:val="both"/>
        <w:rPr>
          <w:rFonts w:eastAsia="Times New Roman"/>
          <w:szCs w:val="22"/>
        </w:rPr>
      </w:pPr>
      <w:r w:rsidRPr="00921C59">
        <w:rPr>
          <w:rFonts w:eastAsia="Times New Roman"/>
          <w:szCs w:val="22"/>
        </w:rPr>
        <w:t>2021.</w:t>
      </w:r>
      <w:r w:rsidR="003C3BB9">
        <w:rPr>
          <w:rFonts w:eastAsia="Times New Roman"/>
          <w:szCs w:val="22"/>
        </w:rPr>
        <w:t> </w:t>
      </w:r>
      <w:r w:rsidRPr="00921C59">
        <w:rPr>
          <w:rFonts w:eastAsia="Times New Roman"/>
          <w:szCs w:val="22"/>
        </w:rPr>
        <w:t xml:space="preserve">gada </w:t>
      </w:r>
      <w:r w:rsidR="00970869" w:rsidRPr="00921C59">
        <w:rPr>
          <w:rFonts w:eastAsia="Times New Roman"/>
          <w:szCs w:val="22"/>
        </w:rPr>
        <w:t>2</w:t>
      </w:r>
      <w:r w:rsidR="00970869">
        <w:rPr>
          <w:rFonts w:eastAsia="Times New Roman"/>
          <w:szCs w:val="22"/>
        </w:rPr>
        <w:t>7</w:t>
      </w:r>
      <w:r w:rsidRPr="00921C59">
        <w:rPr>
          <w:rFonts w:eastAsia="Times New Roman"/>
          <w:szCs w:val="22"/>
        </w:rPr>
        <w:t>.</w:t>
      </w:r>
      <w:r w:rsidR="003C3BB9">
        <w:rPr>
          <w:rFonts w:eastAsia="Times New Roman"/>
          <w:szCs w:val="22"/>
        </w:rPr>
        <w:t> </w:t>
      </w:r>
      <w:r w:rsidRPr="00921C59">
        <w:rPr>
          <w:rFonts w:eastAsia="Times New Roman"/>
          <w:szCs w:val="22"/>
        </w:rPr>
        <w:t>aprīlī Ministru kabinetā</w:t>
      </w:r>
      <w:r w:rsidR="006B0416">
        <w:rPr>
          <w:rFonts w:eastAsia="Times New Roman"/>
          <w:szCs w:val="22"/>
        </w:rPr>
        <w:t xml:space="preserve"> (turpmāk – MK)</w:t>
      </w:r>
      <w:r w:rsidRPr="00921C59">
        <w:rPr>
          <w:rFonts w:eastAsia="Times New Roman"/>
          <w:szCs w:val="22"/>
        </w:rPr>
        <w:t xml:space="preserve"> apstiprināts nacionālais </w:t>
      </w:r>
      <w:r w:rsidR="00DE7A09" w:rsidRPr="00DE7A09">
        <w:rPr>
          <w:rFonts w:eastAsia="Times New Roman"/>
          <w:szCs w:val="22"/>
        </w:rPr>
        <w:t>Atveseļošanas fonda</w:t>
      </w:r>
      <w:r w:rsidRPr="00921C59">
        <w:rPr>
          <w:rFonts w:eastAsia="Times New Roman"/>
          <w:szCs w:val="22"/>
        </w:rPr>
        <w:t xml:space="preserve"> plāna projekts</w:t>
      </w:r>
      <w:r w:rsidR="00211EAE">
        <w:rPr>
          <w:rStyle w:val="FootnoteReference"/>
          <w:rFonts w:eastAsia="Times New Roman"/>
          <w:szCs w:val="22"/>
        </w:rPr>
        <w:footnoteReference w:id="1"/>
      </w:r>
      <w:r w:rsidRPr="00921C59">
        <w:rPr>
          <w:rFonts w:eastAsia="Times New Roman"/>
          <w:szCs w:val="22"/>
        </w:rPr>
        <w:t>, (prot. Nr. 36 27. §) kurš 2021.</w:t>
      </w:r>
      <w:r w:rsidR="003C3BB9">
        <w:rPr>
          <w:rFonts w:eastAsia="Times New Roman"/>
          <w:szCs w:val="22"/>
        </w:rPr>
        <w:t> </w:t>
      </w:r>
      <w:r w:rsidRPr="00921C59">
        <w:rPr>
          <w:rFonts w:eastAsia="Times New Roman"/>
          <w:szCs w:val="22"/>
        </w:rPr>
        <w:t>gada 30.</w:t>
      </w:r>
      <w:r w:rsidR="003C3BB9">
        <w:rPr>
          <w:rFonts w:eastAsia="Times New Roman"/>
          <w:szCs w:val="22"/>
        </w:rPr>
        <w:t> </w:t>
      </w:r>
      <w:r w:rsidRPr="00921C59">
        <w:rPr>
          <w:rFonts w:eastAsia="Times New Roman"/>
          <w:szCs w:val="22"/>
        </w:rPr>
        <w:t>aprīlī oficiāli iesniegts Eiropas Komisijai</w:t>
      </w:r>
      <w:r w:rsidR="005F45AA">
        <w:rPr>
          <w:rFonts w:eastAsia="Times New Roman"/>
          <w:szCs w:val="22"/>
        </w:rPr>
        <w:t xml:space="preserve"> (turpmāk – EK)</w:t>
      </w:r>
      <w:r w:rsidRPr="00921C59">
        <w:rPr>
          <w:rFonts w:eastAsia="Times New Roman"/>
          <w:szCs w:val="22"/>
        </w:rPr>
        <w:t>. 2021.</w:t>
      </w:r>
      <w:r w:rsidR="003C3BB9">
        <w:rPr>
          <w:rFonts w:eastAsia="Times New Roman"/>
          <w:szCs w:val="22"/>
        </w:rPr>
        <w:t xml:space="preserve"> </w:t>
      </w:r>
      <w:r w:rsidRPr="00921C59">
        <w:rPr>
          <w:rFonts w:eastAsia="Times New Roman"/>
          <w:szCs w:val="22"/>
        </w:rPr>
        <w:t>gada 13.</w:t>
      </w:r>
      <w:r w:rsidR="003C3BB9">
        <w:rPr>
          <w:rFonts w:eastAsia="Times New Roman"/>
          <w:szCs w:val="22"/>
        </w:rPr>
        <w:t> </w:t>
      </w:r>
      <w:r w:rsidRPr="00921C59">
        <w:rPr>
          <w:rFonts w:eastAsia="Times New Roman"/>
          <w:szCs w:val="22"/>
        </w:rPr>
        <w:t xml:space="preserve">jūlijā </w:t>
      </w:r>
      <w:r w:rsidR="00DE7A09" w:rsidRPr="00DE7A09">
        <w:rPr>
          <w:rFonts w:eastAsia="Times New Roman"/>
          <w:szCs w:val="22"/>
        </w:rPr>
        <w:t>Atveseļošanas fonda</w:t>
      </w:r>
      <w:r w:rsidRPr="00921C59">
        <w:rPr>
          <w:rFonts w:eastAsia="Times New Roman"/>
          <w:szCs w:val="22"/>
        </w:rPr>
        <w:t xml:space="preserve"> Padomes </w:t>
      </w:r>
      <w:r w:rsidR="00F131BC">
        <w:rPr>
          <w:rFonts w:eastAsia="Times New Roman"/>
          <w:szCs w:val="22"/>
        </w:rPr>
        <w:t>Ī</w:t>
      </w:r>
      <w:r w:rsidRPr="00921C59">
        <w:rPr>
          <w:rFonts w:eastAsia="Times New Roman"/>
          <w:szCs w:val="22"/>
        </w:rPr>
        <w:t xml:space="preserve">stenošanas </w:t>
      </w:r>
      <w:r w:rsidR="00F131BC">
        <w:rPr>
          <w:rFonts w:eastAsia="Times New Roman"/>
          <w:szCs w:val="22"/>
        </w:rPr>
        <w:t>lēmums</w:t>
      </w:r>
      <w:r w:rsidR="00F131BC">
        <w:rPr>
          <w:rStyle w:val="FootnoteReference"/>
          <w:rFonts w:eastAsia="Times New Roman"/>
          <w:szCs w:val="22"/>
        </w:rPr>
        <w:footnoteReference w:id="2"/>
      </w:r>
      <w:r w:rsidRPr="00921C59">
        <w:rPr>
          <w:rFonts w:eastAsia="Times New Roman"/>
          <w:szCs w:val="22"/>
        </w:rPr>
        <w:t xml:space="preserve"> apstiprināts </w:t>
      </w:r>
      <w:r w:rsidR="00B61F6F" w:rsidRPr="00B61F6F">
        <w:rPr>
          <w:rFonts w:eastAsia="Times New Roman"/>
          <w:szCs w:val="22"/>
        </w:rPr>
        <w:t>Eiropas Savienības Ekonomikas un finanšu padom</w:t>
      </w:r>
      <w:r w:rsidR="00F131BC">
        <w:rPr>
          <w:rFonts w:eastAsia="Times New Roman"/>
          <w:szCs w:val="22"/>
        </w:rPr>
        <w:t>ē</w:t>
      </w:r>
      <w:r w:rsidR="00B61F6F" w:rsidRPr="00B61F6F">
        <w:rPr>
          <w:rFonts w:eastAsia="Times New Roman"/>
          <w:szCs w:val="22"/>
        </w:rPr>
        <w:t xml:space="preserve"> (ECOFIN) </w:t>
      </w:r>
      <w:r w:rsidR="00B61F6F">
        <w:rPr>
          <w:rFonts w:eastAsia="Times New Roman"/>
          <w:szCs w:val="22"/>
        </w:rPr>
        <w:t xml:space="preserve">(turpmāk – </w:t>
      </w:r>
      <w:r w:rsidRPr="00921C59">
        <w:rPr>
          <w:rFonts w:eastAsia="Times New Roman"/>
          <w:szCs w:val="22"/>
        </w:rPr>
        <w:t>Padomē</w:t>
      </w:r>
      <w:r w:rsidR="00B61F6F">
        <w:rPr>
          <w:rFonts w:eastAsia="Times New Roman"/>
          <w:szCs w:val="22"/>
        </w:rPr>
        <w:t>)</w:t>
      </w:r>
      <w:r w:rsidRPr="00921C59">
        <w:rPr>
          <w:rFonts w:eastAsia="Times New Roman"/>
          <w:szCs w:val="22"/>
        </w:rPr>
        <w:t>.</w:t>
      </w:r>
    </w:p>
    <w:p w14:paraId="68F52FE7" w14:textId="553DDD24" w:rsidR="00CC5B33" w:rsidRDefault="00934C7F" w:rsidP="005E017E">
      <w:pPr>
        <w:spacing w:after="120" w:line="276" w:lineRule="auto"/>
        <w:ind w:firstLine="567"/>
        <w:contextualSpacing/>
        <w:jc w:val="both"/>
        <w:rPr>
          <w:rFonts w:eastAsia="Times New Roman"/>
          <w:szCs w:val="22"/>
        </w:rPr>
      </w:pPr>
      <w:r>
        <w:rPr>
          <w:rFonts w:eastAsia="Times New Roman"/>
          <w:szCs w:val="22"/>
        </w:rPr>
        <w:t xml:space="preserve">Apstiprinātais </w:t>
      </w:r>
      <w:r w:rsidR="00DE7A09" w:rsidRPr="00DE7A09">
        <w:rPr>
          <w:rFonts w:eastAsia="Times New Roman"/>
          <w:szCs w:val="22"/>
        </w:rPr>
        <w:t>Atveseļošanas fonda</w:t>
      </w:r>
      <w:r w:rsidR="000F6718" w:rsidRPr="000F6718">
        <w:rPr>
          <w:rFonts w:eastAsia="Times New Roman"/>
          <w:szCs w:val="22"/>
        </w:rPr>
        <w:t xml:space="preserve"> plāns </w:t>
      </w:r>
      <w:r>
        <w:rPr>
          <w:rFonts w:eastAsia="Times New Roman"/>
          <w:szCs w:val="22"/>
        </w:rPr>
        <w:t>aptver</w:t>
      </w:r>
      <w:r w:rsidR="000F6718" w:rsidRPr="000F6718">
        <w:rPr>
          <w:rFonts w:eastAsia="Times New Roman"/>
          <w:szCs w:val="22"/>
        </w:rPr>
        <w:t xml:space="preserve"> atbalsta </w:t>
      </w:r>
      <w:proofErr w:type="spellStart"/>
      <w:r w:rsidR="000F6718" w:rsidRPr="000F6718">
        <w:rPr>
          <w:rFonts w:eastAsia="Times New Roman"/>
          <w:szCs w:val="22"/>
        </w:rPr>
        <w:t>grantu</w:t>
      </w:r>
      <w:proofErr w:type="spellEnd"/>
      <w:r w:rsidR="000F6718" w:rsidRPr="000F6718">
        <w:rPr>
          <w:rFonts w:eastAsia="Times New Roman"/>
          <w:szCs w:val="22"/>
        </w:rPr>
        <w:t xml:space="preserve"> daļu 1,82</w:t>
      </w:r>
      <w:r w:rsidR="008425C3">
        <w:rPr>
          <w:rFonts w:eastAsia="Times New Roman"/>
          <w:szCs w:val="22"/>
        </w:rPr>
        <w:t> </w:t>
      </w:r>
      <w:r w:rsidR="00E5073A" w:rsidRPr="00E5073A">
        <w:rPr>
          <w:rFonts w:eastAsia="Times New Roman"/>
          <w:szCs w:val="22"/>
        </w:rPr>
        <w:t>mljrd</w:t>
      </w:r>
      <w:r w:rsidR="00E5073A">
        <w:rPr>
          <w:rFonts w:eastAsia="Times New Roman"/>
          <w:szCs w:val="22"/>
        </w:rPr>
        <w:t xml:space="preserve">. </w:t>
      </w:r>
      <w:r w:rsidR="00970869">
        <w:rPr>
          <w:rFonts w:eastAsia="Times New Roman"/>
          <w:szCs w:val="22"/>
        </w:rPr>
        <w:t>EUR</w:t>
      </w:r>
      <w:r w:rsidR="000F6718" w:rsidRPr="000F6718">
        <w:rPr>
          <w:rFonts w:eastAsia="Times New Roman"/>
          <w:szCs w:val="22"/>
        </w:rPr>
        <w:t>, kas ir maksimālais Latvijai pieejamais finansējuma apjoms, balstoties uz aktuālajām ekonomikas prognozēm.</w:t>
      </w:r>
      <w:r w:rsidR="000F6718">
        <w:rPr>
          <w:rFonts w:eastAsia="Times New Roman"/>
          <w:szCs w:val="22"/>
        </w:rPr>
        <w:t xml:space="preserve"> </w:t>
      </w:r>
      <w:r w:rsidR="00093A83" w:rsidRPr="00093A83">
        <w:rPr>
          <w:rFonts w:eastAsia="Times New Roman"/>
          <w:szCs w:val="22"/>
        </w:rPr>
        <w:t xml:space="preserve">Tieši ekonomikas transformācijas un izaugsmes stadijā gaidāms galvenais </w:t>
      </w:r>
      <w:r w:rsidR="00DE7A09" w:rsidRPr="00DE7A09">
        <w:rPr>
          <w:rFonts w:eastAsia="Times New Roman"/>
          <w:szCs w:val="22"/>
        </w:rPr>
        <w:t>Atveseļošanas fonda</w:t>
      </w:r>
      <w:r w:rsidR="00093A83" w:rsidRPr="00093A83">
        <w:rPr>
          <w:rFonts w:eastAsia="Times New Roman"/>
          <w:szCs w:val="22"/>
        </w:rPr>
        <w:t xml:space="preserve"> plān</w:t>
      </w:r>
      <w:r w:rsidR="00093A83">
        <w:rPr>
          <w:rFonts w:eastAsia="Times New Roman"/>
          <w:szCs w:val="22"/>
        </w:rPr>
        <w:t>a</w:t>
      </w:r>
      <w:r w:rsidR="00093A83" w:rsidRPr="00093A83">
        <w:rPr>
          <w:rFonts w:eastAsia="Times New Roman"/>
          <w:szCs w:val="22"/>
        </w:rPr>
        <w:t xml:space="preserve"> pienesums kopējo Latvijas COVID</w:t>
      </w:r>
      <w:r w:rsidR="00CE558C">
        <w:rPr>
          <w:rFonts w:eastAsia="Times New Roman"/>
          <w:szCs w:val="22"/>
        </w:rPr>
        <w:t xml:space="preserve"> </w:t>
      </w:r>
      <w:r w:rsidR="00093A83" w:rsidRPr="00093A83">
        <w:rPr>
          <w:rFonts w:eastAsia="Times New Roman"/>
          <w:szCs w:val="22"/>
        </w:rPr>
        <w:t xml:space="preserve">- 19 pārvarēšanas stratēģijas mērķu sasniegšanā. Kā galvenie </w:t>
      </w:r>
      <w:r w:rsidR="00DA0AB9">
        <w:rPr>
          <w:rFonts w:eastAsia="Times New Roman"/>
          <w:szCs w:val="22"/>
        </w:rPr>
        <w:t>nacionālās industriālās politikas</w:t>
      </w:r>
      <w:r w:rsidR="00093A83" w:rsidRPr="00093A83">
        <w:rPr>
          <w:rFonts w:eastAsia="Times New Roman"/>
          <w:szCs w:val="22"/>
        </w:rPr>
        <w:t xml:space="preserve"> rīcības virzieni Latvijas attīstībai ir noteikti </w:t>
      </w:r>
      <w:proofErr w:type="spellStart"/>
      <w:r w:rsidR="00093A83" w:rsidRPr="00093A83">
        <w:rPr>
          <w:rFonts w:eastAsia="Times New Roman"/>
          <w:szCs w:val="22"/>
        </w:rPr>
        <w:t>cilvēkkapitāls</w:t>
      </w:r>
      <w:proofErr w:type="spellEnd"/>
      <w:r w:rsidR="00093A83" w:rsidRPr="00093A83">
        <w:rPr>
          <w:rFonts w:eastAsia="Times New Roman"/>
          <w:szCs w:val="22"/>
        </w:rPr>
        <w:t xml:space="preserve">, inovācija, biznesa vide un eksportspēja, finanšu pieejamība un infrastruktūra. </w:t>
      </w:r>
      <w:r w:rsidR="00DE7A09" w:rsidRPr="00DE7A09">
        <w:rPr>
          <w:rFonts w:eastAsia="Times New Roman"/>
          <w:szCs w:val="22"/>
        </w:rPr>
        <w:t>Atveseļošanas fonda</w:t>
      </w:r>
      <w:r w:rsidR="00093A83" w:rsidRPr="00093A83">
        <w:rPr>
          <w:rFonts w:eastAsia="Times New Roman"/>
          <w:szCs w:val="22"/>
        </w:rPr>
        <w:t xml:space="preserve"> plāns sniegs tiešu ieguldījumu visu minēto stratēģijas mērķu sasniegšanā, gan nodrošinot investīciju atbalstu, gan ieviešot būtiskas strukturālās reformas, lai sakārtotu politikas ietvaru konkrētās jomās.</w:t>
      </w:r>
      <w:r w:rsidR="00E668ED">
        <w:rPr>
          <w:rFonts w:eastAsia="Times New Roman"/>
          <w:szCs w:val="22"/>
        </w:rPr>
        <w:t xml:space="preserve"> </w:t>
      </w:r>
    </w:p>
    <w:p w14:paraId="336C6483" w14:textId="41599F4C" w:rsidR="000F6718" w:rsidRDefault="00E668ED" w:rsidP="005E017E">
      <w:pPr>
        <w:spacing w:before="120" w:after="120" w:line="276" w:lineRule="auto"/>
        <w:ind w:firstLine="567"/>
        <w:jc w:val="both"/>
        <w:rPr>
          <w:rFonts w:eastAsia="Times New Roman"/>
          <w:szCs w:val="22"/>
        </w:rPr>
      </w:pPr>
      <w:r>
        <w:rPr>
          <w:rFonts w:eastAsia="Times New Roman"/>
          <w:szCs w:val="22"/>
        </w:rPr>
        <w:t>Grafikā Nr.1 attēlot</w:t>
      </w:r>
      <w:r w:rsidR="00F6684E">
        <w:rPr>
          <w:rFonts w:eastAsia="Times New Roman"/>
          <w:szCs w:val="22"/>
        </w:rPr>
        <w:t>as</w:t>
      </w:r>
      <w:r>
        <w:rPr>
          <w:rFonts w:eastAsia="Times New Roman"/>
          <w:szCs w:val="22"/>
        </w:rPr>
        <w:t xml:space="preserve"> indikatīvās</w:t>
      </w:r>
      <w:r w:rsidR="00F6684E">
        <w:rPr>
          <w:rFonts w:eastAsia="Times New Roman"/>
          <w:szCs w:val="22"/>
        </w:rPr>
        <w:t xml:space="preserve"> finanšu plūsmas prognozes </w:t>
      </w:r>
      <w:r w:rsidR="00865321">
        <w:rPr>
          <w:rFonts w:eastAsia="Times New Roman"/>
          <w:szCs w:val="22"/>
        </w:rPr>
        <w:t xml:space="preserve">kopā </w:t>
      </w:r>
      <w:r w:rsidR="00F6684E">
        <w:rPr>
          <w:rFonts w:eastAsia="Times New Roman"/>
          <w:szCs w:val="22"/>
        </w:rPr>
        <w:t xml:space="preserve">par </w:t>
      </w:r>
      <w:r w:rsidR="00DE7A09" w:rsidRPr="00DE7A09">
        <w:rPr>
          <w:rFonts w:eastAsia="Calibri"/>
        </w:rPr>
        <w:t>Atveseļošanas fond</w:t>
      </w:r>
      <w:r w:rsidR="00DE7A09">
        <w:rPr>
          <w:rFonts w:eastAsia="Calibri"/>
        </w:rPr>
        <w:t>u</w:t>
      </w:r>
      <w:r w:rsidR="00F6684E">
        <w:rPr>
          <w:rFonts w:eastAsia="Times New Roman"/>
          <w:szCs w:val="22"/>
        </w:rPr>
        <w:t xml:space="preserve">, </w:t>
      </w:r>
      <w:r w:rsidR="00F6684E" w:rsidRPr="00F6684E">
        <w:rPr>
          <w:rFonts w:eastAsia="Times New Roman"/>
          <w:szCs w:val="22"/>
        </w:rPr>
        <w:t>ES fondu 2014-2020.</w:t>
      </w:r>
      <w:r w:rsidR="003C3BB9">
        <w:rPr>
          <w:rFonts w:eastAsia="Times New Roman"/>
          <w:szCs w:val="22"/>
        </w:rPr>
        <w:t> </w:t>
      </w:r>
      <w:r w:rsidR="00F6684E" w:rsidRPr="00F6684E">
        <w:rPr>
          <w:rFonts w:eastAsia="Times New Roman"/>
          <w:szCs w:val="22"/>
        </w:rPr>
        <w:t xml:space="preserve">gada plānošanas </w:t>
      </w:r>
      <w:r w:rsidR="00865321" w:rsidRPr="00F6684E">
        <w:rPr>
          <w:rFonts w:eastAsia="Times New Roman"/>
          <w:szCs w:val="22"/>
        </w:rPr>
        <w:t>period</w:t>
      </w:r>
      <w:r w:rsidR="00865321">
        <w:rPr>
          <w:rFonts w:eastAsia="Times New Roman"/>
          <w:szCs w:val="22"/>
        </w:rPr>
        <w:t>u</w:t>
      </w:r>
      <w:r w:rsidR="00CC5B33">
        <w:rPr>
          <w:rFonts w:eastAsia="Times New Roman"/>
          <w:szCs w:val="22"/>
        </w:rPr>
        <w:t xml:space="preserve">, t.sk. </w:t>
      </w:r>
      <w:proofErr w:type="spellStart"/>
      <w:r w:rsidR="00CC5B33">
        <w:rPr>
          <w:rFonts w:eastAsia="Times New Roman"/>
          <w:szCs w:val="22"/>
        </w:rPr>
        <w:t>React</w:t>
      </w:r>
      <w:proofErr w:type="spellEnd"/>
      <w:r w:rsidR="00CC5B33">
        <w:rPr>
          <w:rFonts w:eastAsia="Times New Roman"/>
          <w:szCs w:val="22"/>
        </w:rPr>
        <w:t>-EU</w:t>
      </w:r>
      <w:r w:rsidR="00F6684E" w:rsidRPr="00F6684E">
        <w:rPr>
          <w:rFonts w:eastAsia="Times New Roman"/>
          <w:szCs w:val="22"/>
        </w:rPr>
        <w:t xml:space="preserve"> (turpmāk - 14-20)</w:t>
      </w:r>
      <w:r w:rsidR="00F6684E">
        <w:rPr>
          <w:rFonts w:eastAsia="Times New Roman"/>
          <w:szCs w:val="22"/>
        </w:rPr>
        <w:t xml:space="preserve"> un  </w:t>
      </w:r>
      <w:r w:rsidR="00F6684E" w:rsidRPr="00F6684E">
        <w:rPr>
          <w:rFonts w:eastAsia="Times New Roman"/>
          <w:szCs w:val="22"/>
        </w:rPr>
        <w:t>ES fondu 20</w:t>
      </w:r>
      <w:r w:rsidR="00F6684E">
        <w:rPr>
          <w:rFonts w:eastAsia="Times New Roman"/>
          <w:szCs w:val="22"/>
        </w:rPr>
        <w:t>21</w:t>
      </w:r>
      <w:r w:rsidR="00F6684E" w:rsidRPr="00F6684E">
        <w:rPr>
          <w:rFonts w:eastAsia="Times New Roman"/>
          <w:szCs w:val="22"/>
        </w:rPr>
        <w:t>-202</w:t>
      </w:r>
      <w:r w:rsidR="00F6684E">
        <w:rPr>
          <w:rFonts w:eastAsia="Times New Roman"/>
          <w:szCs w:val="22"/>
        </w:rPr>
        <w:t>7</w:t>
      </w:r>
      <w:r w:rsidR="00F6684E" w:rsidRPr="00F6684E">
        <w:rPr>
          <w:rFonts w:eastAsia="Times New Roman"/>
          <w:szCs w:val="22"/>
        </w:rPr>
        <w:t>.</w:t>
      </w:r>
      <w:r w:rsidR="003C3BB9">
        <w:rPr>
          <w:rFonts w:eastAsia="Times New Roman"/>
          <w:szCs w:val="22"/>
        </w:rPr>
        <w:t> </w:t>
      </w:r>
      <w:r w:rsidR="00F6684E" w:rsidRPr="00F6684E">
        <w:rPr>
          <w:rFonts w:eastAsia="Times New Roman"/>
          <w:szCs w:val="22"/>
        </w:rPr>
        <w:t>gada plānošanas period</w:t>
      </w:r>
      <w:r w:rsidR="00865321">
        <w:rPr>
          <w:rFonts w:eastAsia="Times New Roman"/>
          <w:szCs w:val="22"/>
        </w:rPr>
        <w:t>u</w:t>
      </w:r>
      <w:r w:rsidR="00F6684E" w:rsidRPr="00F6684E">
        <w:rPr>
          <w:rFonts w:eastAsia="Times New Roman"/>
          <w:szCs w:val="22"/>
        </w:rPr>
        <w:t xml:space="preserve"> (turpmāk - </w:t>
      </w:r>
      <w:r w:rsidR="00F6684E">
        <w:rPr>
          <w:rFonts w:eastAsia="Times New Roman"/>
          <w:szCs w:val="22"/>
        </w:rPr>
        <w:t>21</w:t>
      </w:r>
      <w:r w:rsidR="00F6684E" w:rsidRPr="00F6684E">
        <w:rPr>
          <w:rFonts w:eastAsia="Times New Roman"/>
          <w:szCs w:val="22"/>
        </w:rPr>
        <w:t>-2</w:t>
      </w:r>
      <w:r w:rsidR="00F6684E">
        <w:rPr>
          <w:rFonts w:eastAsia="Times New Roman"/>
          <w:szCs w:val="22"/>
        </w:rPr>
        <w:t>7</w:t>
      </w:r>
      <w:r w:rsidR="00F6684E" w:rsidRPr="00F6684E">
        <w:rPr>
          <w:rFonts w:eastAsia="Times New Roman"/>
          <w:szCs w:val="22"/>
        </w:rPr>
        <w:t>)</w:t>
      </w:r>
      <w:r w:rsidR="00865321">
        <w:rPr>
          <w:rFonts w:eastAsia="Times New Roman"/>
          <w:szCs w:val="22"/>
        </w:rPr>
        <w:t xml:space="preserve">, kas iezīmē būtisku </w:t>
      </w:r>
      <w:r w:rsidR="00CC5B33">
        <w:rPr>
          <w:rFonts w:eastAsia="Times New Roman"/>
          <w:szCs w:val="22"/>
        </w:rPr>
        <w:t xml:space="preserve">kopējo </w:t>
      </w:r>
      <w:r w:rsidR="00865321">
        <w:rPr>
          <w:rFonts w:eastAsia="Times New Roman"/>
          <w:szCs w:val="22"/>
        </w:rPr>
        <w:t xml:space="preserve">administrējamo finanšu apjomu pārejas periodā starp </w:t>
      </w:r>
      <w:r w:rsidR="00CC5B33">
        <w:rPr>
          <w:rFonts w:eastAsia="Times New Roman"/>
          <w:szCs w:val="22"/>
        </w:rPr>
        <w:t xml:space="preserve">14-20 un 21-27 </w:t>
      </w:r>
      <w:r w:rsidR="00865321">
        <w:rPr>
          <w:rFonts w:eastAsia="Times New Roman"/>
          <w:szCs w:val="22"/>
        </w:rPr>
        <w:t>periodiem.</w:t>
      </w:r>
    </w:p>
    <w:p w14:paraId="034A244F" w14:textId="358ADD13" w:rsidR="00D02CFB" w:rsidRDefault="00D25624" w:rsidP="00E02B29">
      <w:pPr>
        <w:spacing w:after="0" w:line="276" w:lineRule="auto"/>
        <w:ind w:firstLine="567"/>
        <w:contextualSpacing/>
        <w:jc w:val="right"/>
        <w:rPr>
          <w:rFonts w:eastAsia="Times New Roman"/>
          <w:sz w:val="22"/>
          <w:szCs w:val="22"/>
        </w:rPr>
      </w:pPr>
      <w:bookmarkStart w:id="1" w:name="_Hlk73007419"/>
      <w:r>
        <w:rPr>
          <w:noProof/>
          <w:lang w:eastAsia="lv-LV"/>
        </w:rPr>
        <w:lastRenderedPageBreak/>
        <w:drawing>
          <wp:anchor distT="0" distB="0" distL="114300" distR="114300" simplePos="0" relativeHeight="251660288" behindDoc="1" locked="0" layoutInCell="1" allowOverlap="1" wp14:anchorId="5776FCD2" wp14:editId="08EF620B">
            <wp:simplePos x="0" y="0"/>
            <wp:positionH relativeFrom="margin">
              <wp:posOffset>-100965</wp:posOffset>
            </wp:positionH>
            <wp:positionV relativeFrom="paragraph">
              <wp:posOffset>236220</wp:posOffset>
            </wp:positionV>
            <wp:extent cx="5612130" cy="3184525"/>
            <wp:effectExtent l="0" t="0" r="7620" b="15875"/>
            <wp:wrapTight wrapText="bothSides">
              <wp:wrapPolygon edited="0">
                <wp:start x="0" y="0"/>
                <wp:lineTo x="0" y="21578"/>
                <wp:lineTo x="21556" y="21578"/>
                <wp:lineTo x="2155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E02B29" w:rsidRPr="00AC34C3">
        <w:rPr>
          <w:rFonts w:eastAsia="Times New Roman"/>
          <w:sz w:val="22"/>
          <w:szCs w:val="22"/>
        </w:rPr>
        <w:t>Grafiks Nr.</w:t>
      </w:r>
      <w:bookmarkEnd w:id="1"/>
      <w:r w:rsidR="00E02B29" w:rsidRPr="00AC34C3">
        <w:rPr>
          <w:rFonts w:eastAsia="Times New Roman"/>
          <w:sz w:val="22"/>
          <w:szCs w:val="22"/>
        </w:rPr>
        <w:t>1</w:t>
      </w:r>
    </w:p>
    <w:p w14:paraId="4484FFBB" w14:textId="1ECF3A75" w:rsidR="00E64265" w:rsidRDefault="00D50DA2" w:rsidP="008425C3">
      <w:pPr>
        <w:spacing w:after="0" w:line="276" w:lineRule="auto"/>
        <w:ind w:firstLine="567"/>
        <w:contextualSpacing/>
        <w:jc w:val="both"/>
        <w:rPr>
          <w:rFonts w:eastAsia="Times New Roman"/>
          <w:szCs w:val="22"/>
        </w:rPr>
      </w:pPr>
      <w:r w:rsidRPr="00D50DA2">
        <w:rPr>
          <w:rFonts w:eastAsia="Times New Roman"/>
          <w:szCs w:val="22"/>
        </w:rPr>
        <w:t xml:space="preserve">Izrietoši no makroekonomikas ietekmes scenārija rezultātiem, </w:t>
      </w:r>
      <w:r w:rsidR="00DE7A09" w:rsidRPr="00DE7A09">
        <w:rPr>
          <w:rFonts w:eastAsia="Calibri"/>
        </w:rPr>
        <w:t>Atveseļošanas fonda</w:t>
      </w:r>
      <w:r w:rsidRPr="00D50DA2">
        <w:rPr>
          <w:rFonts w:eastAsia="Times New Roman"/>
          <w:szCs w:val="22"/>
        </w:rPr>
        <w:t xml:space="preserve"> plāna īstenošanās laikā varētu tikt radīts papildus IKP pienesums 1,93 miljardu EUR apmērā</w:t>
      </w:r>
      <w:r w:rsidR="00570F17">
        <w:rPr>
          <w:rStyle w:val="FootnoteReference"/>
          <w:rFonts w:eastAsia="Times New Roman"/>
          <w:szCs w:val="22"/>
        </w:rPr>
        <w:footnoteReference w:id="3"/>
      </w:r>
      <w:r w:rsidRPr="00D50DA2">
        <w:rPr>
          <w:rFonts w:eastAsia="Times New Roman"/>
          <w:szCs w:val="22"/>
        </w:rPr>
        <w:t xml:space="preserve">. Atbilstoši </w:t>
      </w:r>
      <w:proofErr w:type="spellStart"/>
      <w:r w:rsidRPr="00D50DA2">
        <w:rPr>
          <w:rFonts w:eastAsia="Times New Roman"/>
          <w:szCs w:val="22"/>
        </w:rPr>
        <w:t>Eurostat</w:t>
      </w:r>
      <w:proofErr w:type="spellEnd"/>
      <w:r w:rsidRPr="00D50DA2">
        <w:rPr>
          <w:rFonts w:eastAsia="Times New Roman"/>
          <w:szCs w:val="22"/>
        </w:rPr>
        <w:t xml:space="preserve"> apkopotajai informācijai</w:t>
      </w:r>
      <w:r w:rsidR="00CC5B33">
        <w:rPr>
          <w:rFonts w:eastAsia="Times New Roman"/>
          <w:szCs w:val="22"/>
        </w:rPr>
        <w:t>,</w:t>
      </w:r>
      <w:r w:rsidRPr="00D50DA2">
        <w:rPr>
          <w:rFonts w:eastAsia="Times New Roman"/>
          <w:szCs w:val="22"/>
        </w:rPr>
        <w:t xml:space="preserve"> Latvijas nodokļu ieņēmumi 2019.</w:t>
      </w:r>
      <w:r w:rsidR="003C3BB9">
        <w:rPr>
          <w:rFonts w:eastAsia="Times New Roman"/>
          <w:szCs w:val="22"/>
        </w:rPr>
        <w:t> </w:t>
      </w:r>
      <w:r w:rsidRPr="00D50DA2">
        <w:rPr>
          <w:rFonts w:eastAsia="Times New Roman"/>
          <w:szCs w:val="22"/>
        </w:rPr>
        <w:t>gadā veidoja 31,5 % no IKP.</w:t>
      </w:r>
      <w:r w:rsidR="00926AE7">
        <w:rPr>
          <w:rFonts w:eastAsia="Times New Roman"/>
          <w:szCs w:val="22"/>
        </w:rPr>
        <w:t xml:space="preserve"> </w:t>
      </w:r>
      <w:r w:rsidRPr="00D50DA2">
        <w:rPr>
          <w:rFonts w:eastAsia="Times New Roman"/>
          <w:szCs w:val="22"/>
        </w:rPr>
        <w:t xml:space="preserve">Pieņemot nemainīgas politikas scenāriju, </w:t>
      </w:r>
      <w:r w:rsidR="00DE7A09" w:rsidRPr="00DE7A09">
        <w:rPr>
          <w:rFonts w:eastAsia="Times New Roman"/>
          <w:szCs w:val="22"/>
        </w:rPr>
        <w:t>Atveseļošanas fonda</w:t>
      </w:r>
      <w:r w:rsidRPr="00D50DA2">
        <w:rPr>
          <w:rFonts w:eastAsia="Times New Roman"/>
          <w:szCs w:val="22"/>
        </w:rPr>
        <w:t xml:space="preserve"> plāns varētu radīt apmēram 600 miljonu EUR papildus nodokļu ieņēmumu Latvijas budžetam. Ņemot vērā, ka makroekonomiskās attīstības bāzes scenārijs vidējam termiņam ietver </w:t>
      </w:r>
      <w:r w:rsidR="00DE7A09" w:rsidRPr="00DE7A09">
        <w:rPr>
          <w:rFonts w:eastAsia="Calibri"/>
        </w:rPr>
        <w:t>Atveseļošanas fonda</w:t>
      </w:r>
      <w:r w:rsidRPr="00D50DA2">
        <w:rPr>
          <w:rFonts w:eastAsia="Times New Roman"/>
          <w:szCs w:val="22"/>
        </w:rPr>
        <w:t xml:space="preserve"> plānoto finansējumu, Stabilitātes programmas 2021.-2024.</w:t>
      </w:r>
      <w:r w:rsidR="003C3BB9">
        <w:rPr>
          <w:rFonts w:eastAsia="Times New Roman"/>
          <w:szCs w:val="22"/>
        </w:rPr>
        <w:t> </w:t>
      </w:r>
      <w:r w:rsidRPr="00D50DA2">
        <w:rPr>
          <w:rFonts w:eastAsia="Times New Roman"/>
          <w:szCs w:val="22"/>
        </w:rPr>
        <w:t>gada nodokļu ieņēmumu prognozēs papildu ieņēmumi jau ir iekļauti.</w:t>
      </w:r>
    </w:p>
    <w:p w14:paraId="0FB9CA9F" w14:textId="77777777" w:rsidR="00F6684E" w:rsidRDefault="00F6684E" w:rsidP="008425C3">
      <w:pPr>
        <w:spacing w:after="0" w:line="276" w:lineRule="auto"/>
        <w:ind w:firstLine="567"/>
        <w:contextualSpacing/>
        <w:jc w:val="both"/>
        <w:rPr>
          <w:rFonts w:eastAsia="Times New Roman"/>
          <w:szCs w:val="22"/>
        </w:rPr>
      </w:pPr>
    </w:p>
    <w:p w14:paraId="118E5139" w14:textId="0F024DAF" w:rsidR="00A0013D" w:rsidRPr="00DA0156" w:rsidRDefault="00817866" w:rsidP="00DA0156">
      <w:pPr>
        <w:pStyle w:val="ListParagraph"/>
        <w:numPr>
          <w:ilvl w:val="0"/>
          <w:numId w:val="24"/>
        </w:numPr>
        <w:suppressAutoHyphens/>
        <w:autoSpaceDN w:val="0"/>
        <w:spacing w:after="0" w:line="276" w:lineRule="auto"/>
        <w:jc w:val="center"/>
        <w:textAlignment w:val="baseline"/>
        <w:rPr>
          <w:rFonts w:eastAsia="Calibri"/>
          <w:b/>
          <w:bCs/>
        </w:rPr>
      </w:pPr>
      <w:r w:rsidRPr="00DA0156">
        <w:rPr>
          <w:rFonts w:eastAsia="Calibri"/>
          <w:b/>
          <w:bCs/>
        </w:rPr>
        <w:t xml:space="preserve">Regulā noteiktās prasības </w:t>
      </w:r>
      <w:r w:rsidR="00457FC0" w:rsidRPr="00457FC0">
        <w:rPr>
          <w:rFonts w:eastAsia="Calibri"/>
          <w:b/>
          <w:bCs/>
        </w:rPr>
        <w:t>Atveseļošanas fonda</w:t>
      </w:r>
      <w:r w:rsidR="00C06BB9" w:rsidRPr="00DA0156">
        <w:rPr>
          <w:rFonts w:eastAsia="Calibri"/>
          <w:b/>
          <w:bCs/>
        </w:rPr>
        <w:t xml:space="preserve"> plāna </w:t>
      </w:r>
      <w:r w:rsidR="00A0013D" w:rsidRPr="00DA0156">
        <w:rPr>
          <w:rFonts w:eastAsia="Calibri"/>
          <w:b/>
          <w:bCs/>
        </w:rPr>
        <w:t>apstiprināšan</w:t>
      </w:r>
      <w:r w:rsidRPr="00DA0156">
        <w:rPr>
          <w:rFonts w:eastAsia="Calibri"/>
          <w:b/>
          <w:bCs/>
        </w:rPr>
        <w:t>ai</w:t>
      </w:r>
    </w:p>
    <w:p w14:paraId="2D33CF22" w14:textId="77777777" w:rsidR="00A0013D" w:rsidRDefault="00A0013D" w:rsidP="008F0F4E">
      <w:pPr>
        <w:suppressAutoHyphens/>
        <w:autoSpaceDN w:val="0"/>
        <w:spacing w:after="0" w:line="276" w:lineRule="auto"/>
        <w:jc w:val="both"/>
        <w:textAlignment w:val="baseline"/>
        <w:rPr>
          <w:rFonts w:eastAsia="Calibri"/>
        </w:rPr>
      </w:pPr>
    </w:p>
    <w:p w14:paraId="228B4A6F" w14:textId="6AD498B0" w:rsidR="00817866" w:rsidRDefault="00DA0AB9" w:rsidP="008425C3">
      <w:pPr>
        <w:suppressAutoHyphens/>
        <w:autoSpaceDN w:val="0"/>
        <w:spacing w:after="0" w:line="276" w:lineRule="auto"/>
        <w:ind w:firstLine="720"/>
        <w:jc w:val="both"/>
        <w:textAlignment w:val="baseline"/>
        <w:rPr>
          <w:rFonts w:eastAsia="Calibri"/>
        </w:rPr>
      </w:pPr>
      <w:r>
        <w:rPr>
          <w:rFonts w:eastAsia="Calibri"/>
        </w:rPr>
        <w:t>Eiropas Parlamenta un Padomes</w:t>
      </w:r>
      <w:r w:rsidR="00817866" w:rsidRPr="00817866">
        <w:rPr>
          <w:rFonts w:eastAsia="Calibri"/>
        </w:rPr>
        <w:t xml:space="preserve"> </w:t>
      </w:r>
      <w:r>
        <w:rPr>
          <w:rFonts w:eastAsia="Calibri"/>
        </w:rPr>
        <w:t>2021.</w:t>
      </w:r>
      <w:r w:rsidR="003C3BB9">
        <w:rPr>
          <w:rFonts w:eastAsia="Calibri"/>
        </w:rPr>
        <w:t> </w:t>
      </w:r>
      <w:r>
        <w:rPr>
          <w:rFonts w:eastAsia="Calibri"/>
        </w:rPr>
        <w:t>gada 12.</w:t>
      </w:r>
      <w:r w:rsidR="003C3BB9">
        <w:rPr>
          <w:rFonts w:eastAsia="Calibri"/>
        </w:rPr>
        <w:t> </w:t>
      </w:r>
      <w:r>
        <w:rPr>
          <w:rFonts w:eastAsia="Calibri"/>
        </w:rPr>
        <w:t xml:space="preserve">februāra </w:t>
      </w:r>
      <w:r w:rsidR="00165167">
        <w:rPr>
          <w:rFonts w:eastAsia="Calibri"/>
        </w:rPr>
        <w:t>R</w:t>
      </w:r>
      <w:r>
        <w:rPr>
          <w:rFonts w:eastAsia="Calibri"/>
        </w:rPr>
        <w:t xml:space="preserve">egula </w:t>
      </w:r>
      <w:r w:rsidR="00165167">
        <w:rPr>
          <w:rFonts w:eastAsia="Calibri"/>
        </w:rPr>
        <w:t xml:space="preserve">(ES) </w:t>
      </w:r>
      <w:r>
        <w:rPr>
          <w:rFonts w:eastAsia="Calibri"/>
        </w:rPr>
        <w:t>Nr.</w:t>
      </w:r>
      <w:r w:rsidR="003C3BB9">
        <w:rPr>
          <w:rFonts w:eastAsia="Calibri"/>
        </w:rPr>
        <w:t> </w:t>
      </w:r>
      <w:r w:rsidR="00817866" w:rsidRPr="00817866">
        <w:rPr>
          <w:rFonts w:eastAsia="Calibri"/>
        </w:rPr>
        <w:t>2021/241, ar ko izveido Atveseļošanas un noturības mehānismu</w:t>
      </w:r>
      <w:r w:rsidR="00011FC0">
        <w:rPr>
          <w:rStyle w:val="FootnoteReference"/>
          <w:rFonts w:eastAsia="Calibri"/>
        </w:rPr>
        <w:footnoteReference w:id="4"/>
      </w:r>
      <w:r w:rsidR="00817866">
        <w:rPr>
          <w:rFonts w:eastAsia="Calibri"/>
        </w:rPr>
        <w:t xml:space="preserve"> (turpmāk – Regula), dalībvalstīm nosaka pienākumu </w:t>
      </w:r>
      <w:r w:rsidR="00457FC0" w:rsidRPr="00457FC0">
        <w:rPr>
          <w:rFonts w:eastAsia="Calibri"/>
        </w:rPr>
        <w:t>Atveseļošanas fonda</w:t>
      </w:r>
      <w:r w:rsidR="00802041" w:rsidRPr="00802041">
        <w:rPr>
          <w:rFonts w:eastAsia="Calibri"/>
        </w:rPr>
        <w:t xml:space="preserve"> plān</w:t>
      </w:r>
      <w:r w:rsidR="0066658D">
        <w:rPr>
          <w:rFonts w:eastAsia="Calibri"/>
        </w:rPr>
        <w:t>ā</w:t>
      </w:r>
      <w:r w:rsidR="00802041" w:rsidRPr="00802041">
        <w:rPr>
          <w:rFonts w:eastAsia="Calibri"/>
        </w:rPr>
        <w:t xml:space="preserve"> </w:t>
      </w:r>
      <w:r w:rsidR="00430791" w:rsidRPr="00430791">
        <w:rPr>
          <w:rFonts w:eastAsia="Calibri"/>
        </w:rPr>
        <w:t>iekļau</w:t>
      </w:r>
      <w:r w:rsidR="00430791">
        <w:rPr>
          <w:rFonts w:eastAsia="Calibri"/>
        </w:rPr>
        <w:t>t</w:t>
      </w:r>
      <w:r w:rsidR="00430791" w:rsidRPr="00430791">
        <w:rPr>
          <w:rFonts w:eastAsia="Calibri"/>
        </w:rPr>
        <w:t xml:space="preserve"> </w:t>
      </w:r>
      <w:r w:rsidR="00430791">
        <w:rPr>
          <w:rFonts w:eastAsia="Calibri"/>
        </w:rPr>
        <w:t>informāciju</w:t>
      </w:r>
      <w:r w:rsidR="00430791" w:rsidRPr="00430791">
        <w:rPr>
          <w:rFonts w:eastAsia="Calibri"/>
        </w:rPr>
        <w:t xml:space="preserve"> par dalībvalsts plāniem, sistēmām un konkrētiem pasākumiem, ar kuriem novērst</w:t>
      </w:r>
      <w:r w:rsidR="00522BD5">
        <w:rPr>
          <w:rFonts w:eastAsia="Calibri"/>
        </w:rPr>
        <w:t xml:space="preserve"> un</w:t>
      </w:r>
      <w:r w:rsidR="00430791" w:rsidRPr="00430791">
        <w:rPr>
          <w:rFonts w:eastAsia="Calibri"/>
        </w:rPr>
        <w:t xml:space="preserve"> atklāt interešu konfliktus, korupciju, krāpšanu un izvairīties no dubultas finansēšanas no </w:t>
      </w:r>
      <w:r w:rsidR="00457FC0" w:rsidRPr="00457FC0">
        <w:rPr>
          <w:rFonts w:eastAsia="Calibri"/>
        </w:rPr>
        <w:t>Atveseļošanas fonda</w:t>
      </w:r>
      <w:r w:rsidR="00AC7ABA" w:rsidRPr="00430791">
        <w:rPr>
          <w:rFonts w:eastAsia="Calibri"/>
        </w:rPr>
        <w:t xml:space="preserve"> </w:t>
      </w:r>
      <w:r w:rsidR="00430791" w:rsidRPr="00430791">
        <w:rPr>
          <w:rFonts w:eastAsia="Calibri"/>
        </w:rPr>
        <w:t xml:space="preserve">vai citām </w:t>
      </w:r>
      <w:r w:rsidR="00367906">
        <w:rPr>
          <w:rFonts w:eastAsia="Calibri"/>
        </w:rPr>
        <w:t xml:space="preserve">Eiropas </w:t>
      </w:r>
      <w:r w:rsidR="00430791" w:rsidRPr="00430791">
        <w:rPr>
          <w:rFonts w:eastAsia="Calibri"/>
        </w:rPr>
        <w:t>Savienības programmām</w:t>
      </w:r>
      <w:r w:rsidR="00430791">
        <w:rPr>
          <w:rFonts w:eastAsia="Calibri"/>
        </w:rPr>
        <w:t>.</w:t>
      </w:r>
      <w:r w:rsidR="00430791" w:rsidRPr="00430791">
        <w:t xml:space="preserve"> </w:t>
      </w:r>
      <w:r w:rsidR="00457FC0" w:rsidRPr="00457FC0">
        <w:rPr>
          <w:rFonts w:eastAsia="Calibri"/>
        </w:rPr>
        <w:t>Atveseļošanas fonda</w:t>
      </w:r>
      <w:r w:rsidR="00317881" w:rsidRPr="00430791">
        <w:rPr>
          <w:rFonts w:eastAsia="Calibri"/>
        </w:rPr>
        <w:t xml:space="preserve"> </w:t>
      </w:r>
      <w:r w:rsidR="00430791" w:rsidRPr="00430791">
        <w:rPr>
          <w:rFonts w:eastAsia="Calibri"/>
        </w:rPr>
        <w:t xml:space="preserve">īstenošana jāveic saskaņā ar </w:t>
      </w:r>
      <w:r w:rsidR="00430791" w:rsidRPr="00EA5D95">
        <w:rPr>
          <w:rFonts w:eastAsia="Calibri"/>
        </w:rPr>
        <w:t>pareizas</w:t>
      </w:r>
      <w:r w:rsidR="00430791" w:rsidRPr="00430791">
        <w:rPr>
          <w:rFonts w:eastAsia="Calibri"/>
        </w:rPr>
        <w:t xml:space="preserve"> finanšu pārvaldības principu</w:t>
      </w:r>
      <w:r w:rsidR="00430791">
        <w:rPr>
          <w:rFonts w:eastAsia="Calibri"/>
        </w:rPr>
        <w:t xml:space="preserve">. </w:t>
      </w:r>
      <w:r w:rsidR="00430791" w:rsidRPr="00430791">
        <w:rPr>
          <w:rFonts w:eastAsia="Calibri"/>
        </w:rPr>
        <w:t>Lai nodrošinātu valstu atbildību un koncentrēšanos uz attiecīgajām reformā</w:t>
      </w:r>
      <w:r w:rsidR="00695B32">
        <w:rPr>
          <w:rFonts w:eastAsia="Calibri"/>
        </w:rPr>
        <w:t>m un investīcijām, dalībvalstīm</w:t>
      </w:r>
      <w:r w:rsidR="00430791" w:rsidRPr="00430791">
        <w:rPr>
          <w:rFonts w:eastAsia="Calibri"/>
        </w:rPr>
        <w:t xml:space="preserve"> jāiesniedz </w:t>
      </w:r>
      <w:r w:rsidR="00430791">
        <w:rPr>
          <w:rFonts w:eastAsia="Calibri"/>
        </w:rPr>
        <w:t>EK</w:t>
      </w:r>
      <w:r w:rsidR="00430791" w:rsidRPr="00430791">
        <w:rPr>
          <w:rFonts w:eastAsia="Calibri"/>
        </w:rPr>
        <w:t xml:space="preserve"> pienācīgi argumentēts un pamatots </w:t>
      </w:r>
      <w:r w:rsidR="00457FC0" w:rsidRPr="00457FC0">
        <w:rPr>
          <w:rFonts w:eastAsia="Calibri"/>
        </w:rPr>
        <w:t>Atveseļošanas fonda</w:t>
      </w:r>
      <w:r w:rsidR="00DD6CBE" w:rsidRPr="00DD6CBE">
        <w:rPr>
          <w:rFonts w:eastAsia="Calibri"/>
        </w:rPr>
        <w:t xml:space="preserve"> plān</w:t>
      </w:r>
      <w:r w:rsidR="00DD6CBE">
        <w:rPr>
          <w:rFonts w:eastAsia="Calibri"/>
        </w:rPr>
        <w:t>s</w:t>
      </w:r>
      <w:r w:rsidR="00430791" w:rsidRPr="00430791">
        <w:rPr>
          <w:rFonts w:eastAsia="Calibri"/>
        </w:rPr>
        <w:t xml:space="preserve">. </w:t>
      </w:r>
      <w:r w:rsidR="00457FC0" w:rsidRPr="00457FC0">
        <w:rPr>
          <w:rFonts w:eastAsia="Calibri"/>
        </w:rPr>
        <w:t>Atveseļošanas fonda</w:t>
      </w:r>
      <w:r w:rsidR="00DD6CBE" w:rsidRPr="00DD6CBE">
        <w:rPr>
          <w:rFonts w:eastAsia="Calibri"/>
        </w:rPr>
        <w:t xml:space="preserve"> plān</w:t>
      </w:r>
      <w:r w:rsidR="00DD6CBE">
        <w:rPr>
          <w:rFonts w:eastAsia="Calibri"/>
        </w:rPr>
        <w:t>ā</w:t>
      </w:r>
      <w:r w:rsidR="00DD6CBE" w:rsidRPr="00DD6CBE">
        <w:rPr>
          <w:rFonts w:eastAsia="Calibri"/>
        </w:rPr>
        <w:t xml:space="preserve"> </w:t>
      </w:r>
      <w:r w:rsidR="00112C81">
        <w:rPr>
          <w:rFonts w:eastAsia="Calibri"/>
        </w:rPr>
        <w:t>tiek</w:t>
      </w:r>
      <w:r w:rsidR="00112C81" w:rsidRPr="00430791">
        <w:rPr>
          <w:rFonts w:eastAsia="Calibri"/>
        </w:rPr>
        <w:t xml:space="preserve"> </w:t>
      </w:r>
      <w:r w:rsidR="00430791" w:rsidRPr="00430791">
        <w:rPr>
          <w:rFonts w:eastAsia="Calibri"/>
        </w:rPr>
        <w:t>detalizēt</w:t>
      </w:r>
      <w:r w:rsidR="00112C81">
        <w:rPr>
          <w:rFonts w:eastAsia="Calibri"/>
        </w:rPr>
        <w:t xml:space="preserve">a </w:t>
      </w:r>
      <w:r w:rsidR="00430791" w:rsidRPr="00430791">
        <w:rPr>
          <w:rFonts w:eastAsia="Calibri"/>
        </w:rPr>
        <w:t xml:space="preserve">visaptveroša un pienācīgi līdzsvarota </w:t>
      </w:r>
      <w:r w:rsidR="00430791" w:rsidRPr="00430791">
        <w:rPr>
          <w:rFonts w:eastAsia="Calibri"/>
        </w:rPr>
        <w:lastRenderedPageBreak/>
        <w:t xml:space="preserve">reakcija uz attiecīgās dalībvalsts ekonomisko un sociālo situāciju, </w:t>
      </w:r>
      <w:r w:rsidR="00430791">
        <w:rPr>
          <w:rFonts w:eastAsia="Calibri"/>
        </w:rPr>
        <w:t xml:space="preserve">kā arī </w:t>
      </w:r>
      <w:r w:rsidR="00430791" w:rsidRPr="00430791">
        <w:rPr>
          <w:rFonts w:eastAsia="Calibri"/>
        </w:rPr>
        <w:t>uzraudzības un īstenošanas pasākumu kopums</w:t>
      </w:r>
      <w:r w:rsidR="009C73B1">
        <w:rPr>
          <w:rFonts w:eastAsia="Calibri"/>
        </w:rPr>
        <w:t>.</w:t>
      </w:r>
    </w:p>
    <w:p w14:paraId="11EFD8C8" w14:textId="141265E8" w:rsidR="00E558DC" w:rsidRDefault="005328BA" w:rsidP="008425C3">
      <w:pPr>
        <w:suppressAutoHyphens/>
        <w:autoSpaceDN w:val="0"/>
        <w:spacing w:after="0" w:line="276" w:lineRule="auto"/>
        <w:ind w:firstLine="720"/>
        <w:jc w:val="both"/>
        <w:textAlignment w:val="baseline"/>
        <w:rPr>
          <w:rFonts w:eastAsia="Calibri"/>
        </w:rPr>
      </w:pPr>
      <w:r>
        <w:rPr>
          <w:rFonts w:eastAsia="Calibri"/>
        </w:rPr>
        <w:t>D</w:t>
      </w:r>
      <w:r w:rsidR="00E558DC" w:rsidRPr="00E558DC">
        <w:rPr>
          <w:rFonts w:eastAsia="Calibri"/>
        </w:rPr>
        <w:t xml:space="preserve">alībvalsts pienākums ir nodrošināt, ka </w:t>
      </w:r>
      <w:r w:rsidR="00457FC0" w:rsidRPr="00457FC0">
        <w:rPr>
          <w:rFonts w:eastAsia="Calibri"/>
        </w:rPr>
        <w:t>Atveseļošanas fonda</w:t>
      </w:r>
      <w:r w:rsidR="00D50FB5" w:rsidRPr="00E558DC">
        <w:rPr>
          <w:rFonts w:eastAsia="Calibri"/>
        </w:rPr>
        <w:t xml:space="preserve"> </w:t>
      </w:r>
      <w:r w:rsidR="007A39CC">
        <w:rPr>
          <w:rFonts w:eastAsia="Calibri"/>
        </w:rPr>
        <w:t xml:space="preserve">plāns </w:t>
      </w:r>
      <w:r w:rsidR="00E558DC" w:rsidRPr="00E558DC">
        <w:rPr>
          <w:rFonts w:eastAsia="Calibri"/>
        </w:rPr>
        <w:t>tiek īstenots saskaņā ar attiecīgajiem</w:t>
      </w:r>
      <w:r w:rsidR="00367906">
        <w:rPr>
          <w:rFonts w:eastAsia="Calibri"/>
        </w:rPr>
        <w:t xml:space="preserve"> Eiropas</w:t>
      </w:r>
      <w:r w:rsidR="00E558DC" w:rsidRPr="00E558DC">
        <w:rPr>
          <w:rFonts w:eastAsia="Calibri"/>
        </w:rPr>
        <w:t xml:space="preserve"> Savienības un valsts tiesību aktiem, </w:t>
      </w:r>
      <w:r>
        <w:rPr>
          <w:rFonts w:eastAsia="Calibri"/>
        </w:rPr>
        <w:t>jānodrošina EK</w:t>
      </w:r>
      <w:r w:rsidR="00695B32">
        <w:rPr>
          <w:rFonts w:eastAsia="Calibri"/>
        </w:rPr>
        <w:t xml:space="preserve"> iespēj</w:t>
      </w:r>
      <w:r w:rsidR="004844E5">
        <w:rPr>
          <w:rFonts w:eastAsia="Calibri"/>
        </w:rPr>
        <w:t>a</w:t>
      </w:r>
      <w:r>
        <w:rPr>
          <w:rFonts w:eastAsia="Calibri"/>
        </w:rPr>
        <w:t xml:space="preserve"> gūt</w:t>
      </w:r>
      <w:r w:rsidR="00E558DC" w:rsidRPr="00E558DC">
        <w:rPr>
          <w:rFonts w:eastAsia="Calibri"/>
        </w:rPr>
        <w:t xml:space="preserve"> pietiekamu pārliecību no dalībvalst</w:t>
      </w:r>
      <w:r>
        <w:rPr>
          <w:rFonts w:eastAsia="Calibri"/>
        </w:rPr>
        <w:t>s</w:t>
      </w:r>
      <w:r w:rsidR="00B51A1E">
        <w:rPr>
          <w:rFonts w:eastAsia="Calibri"/>
        </w:rPr>
        <w:t xml:space="preserve"> par </w:t>
      </w:r>
      <w:r w:rsidR="00AC7ABA">
        <w:rPr>
          <w:rFonts w:eastAsia="Calibri"/>
        </w:rPr>
        <w:t xml:space="preserve">nepieciešamo </w:t>
      </w:r>
      <w:r w:rsidR="00B51A1E">
        <w:rPr>
          <w:rFonts w:eastAsia="Calibri"/>
        </w:rPr>
        <w:t>prasību ievērošanu un nodrošināšanu</w:t>
      </w:r>
      <w:r w:rsidR="00E558DC" w:rsidRPr="00E558DC">
        <w:rPr>
          <w:rFonts w:eastAsia="Calibri"/>
        </w:rPr>
        <w:t xml:space="preserve">. Minētajā nolūkā </w:t>
      </w:r>
      <w:r w:rsidR="0055608A" w:rsidRPr="0055608A">
        <w:rPr>
          <w:rFonts w:eastAsia="Calibri"/>
        </w:rPr>
        <w:t>Atveseļošanas fonda</w:t>
      </w:r>
      <w:r w:rsidR="005A4C7A" w:rsidRPr="005A4C7A">
        <w:rPr>
          <w:rFonts w:eastAsia="Calibri"/>
        </w:rPr>
        <w:t xml:space="preserve"> plāna</w:t>
      </w:r>
      <w:r w:rsidR="00E558DC" w:rsidRPr="00E558DC">
        <w:rPr>
          <w:rFonts w:eastAsia="Calibri"/>
        </w:rPr>
        <w:t xml:space="preserve"> īstenošanas procesā dalībvalstīm jānodrošina </w:t>
      </w:r>
      <w:r w:rsidR="0030229F">
        <w:rPr>
          <w:rFonts w:eastAsia="Calibri"/>
        </w:rPr>
        <w:t>atbilstošas</w:t>
      </w:r>
      <w:r w:rsidR="00E558DC" w:rsidRPr="00E558DC">
        <w:rPr>
          <w:rFonts w:eastAsia="Calibri"/>
        </w:rPr>
        <w:t xml:space="preserve"> un efektīvas iekšējās kontroles sistēmas </w:t>
      </w:r>
      <w:r w:rsidR="00B51A1E" w:rsidRPr="00E558DC">
        <w:rPr>
          <w:rFonts w:eastAsia="Calibri"/>
        </w:rPr>
        <w:t>darbīb</w:t>
      </w:r>
      <w:r w:rsidR="00B51A1E">
        <w:rPr>
          <w:rFonts w:eastAsia="Calibri"/>
        </w:rPr>
        <w:t>a</w:t>
      </w:r>
      <w:r w:rsidR="00D50FB5">
        <w:rPr>
          <w:rFonts w:eastAsia="Calibri"/>
        </w:rPr>
        <w:t>.</w:t>
      </w:r>
      <w:r w:rsidR="00E558DC" w:rsidRPr="00E558DC">
        <w:rPr>
          <w:rFonts w:eastAsia="Calibri"/>
        </w:rPr>
        <w:t xml:space="preserve"> </w:t>
      </w:r>
      <w:r w:rsidR="0055608A" w:rsidRPr="0055608A">
        <w:rPr>
          <w:rFonts w:eastAsia="Calibri"/>
        </w:rPr>
        <w:t>Atveseļošanas fonda</w:t>
      </w:r>
      <w:r w:rsidR="007A39CC">
        <w:rPr>
          <w:rFonts w:eastAsia="Calibri"/>
        </w:rPr>
        <w:t xml:space="preserve"> plāna ieviešanā j</w:t>
      </w:r>
      <w:r>
        <w:rPr>
          <w:rFonts w:eastAsia="Calibri"/>
        </w:rPr>
        <w:t xml:space="preserve">āapkopo </w:t>
      </w:r>
      <w:r w:rsidR="00E558DC" w:rsidRPr="00E558DC">
        <w:rPr>
          <w:rFonts w:eastAsia="Calibri"/>
        </w:rPr>
        <w:t xml:space="preserve">standartizētu kategoriju dati un </w:t>
      </w:r>
      <w:r w:rsidR="007A39CC">
        <w:rPr>
          <w:rFonts w:eastAsia="Calibri"/>
        </w:rPr>
        <w:t xml:space="preserve">specifiska dažāda cita </w:t>
      </w:r>
      <w:r w:rsidR="00E558DC" w:rsidRPr="00E558DC">
        <w:rPr>
          <w:rFonts w:eastAsia="Calibri"/>
        </w:rPr>
        <w:t>informācija, kas ļautu novērst</w:t>
      </w:r>
      <w:r w:rsidR="0030229F">
        <w:rPr>
          <w:rFonts w:eastAsia="Calibri"/>
        </w:rPr>
        <w:t xml:space="preserve"> un</w:t>
      </w:r>
      <w:r w:rsidR="00E558DC" w:rsidRPr="00E558DC">
        <w:rPr>
          <w:rFonts w:eastAsia="Calibri"/>
        </w:rPr>
        <w:t xml:space="preserve"> konstatēt </w:t>
      </w:r>
      <w:r w:rsidR="007A39CC">
        <w:rPr>
          <w:rFonts w:eastAsia="Calibri"/>
        </w:rPr>
        <w:t>būtiskos</w:t>
      </w:r>
      <w:r w:rsidR="00B92CE9">
        <w:rPr>
          <w:rStyle w:val="FootnoteReference"/>
          <w:rFonts w:eastAsia="Calibri"/>
        </w:rPr>
        <w:footnoteReference w:id="5"/>
      </w:r>
      <w:r w:rsidR="007A39CC" w:rsidRPr="00E558DC">
        <w:rPr>
          <w:rFonts w:eastAsia="Calibri"/>
        </w:rPr>
        <w:t xml:space="preserve"> </w:t>
      </w:r>
      <w:r w:rsidR="00E558DC" w:rsidRPr="00E558DC">
        <w:rPr>
          <w:rFonts w:eastAsia="Calibri"/>
        </w:rPr>
        <w:t>pārkāpumus, proti, krāpšanu, korupciju</w:t>
      </w:r>
      <w:r w:rsidR="00063DFD">
        <w:rPr>
          <w:rFonts w:eastAsia="Calibri"/>
        </w:rPr>
        <w:t>,</w:t>
      </w:r>
      <w:r w:rsidR="00707F5A">
        <w:rPr>
          <w:rFonts w:eastAsia="Calibri"/>
        </w:rPr>
        <w:t xml:space="preserve"> </w:t>
      </w:r>
      <w:r w:rsidR="00E558DC" w:rsidRPr="00E558DC">
        <w:rPr>
          <w:rFonts w:eastAsia="Calibri"/>
        </w:rPr>
        <w:t xml:space="preserve">interešu konfliktu </w:t>
      </w:r>
      <w:r w:rsidR="00063DFD">
        <w:rPr>
          <w:rFonts w:eastAsia="Calibri"/>
        </w:rPr>
        <w:t xml:space="preserve">un dubulto finansējumu </w:t>
      </w:r>
      <w:r w:rsidR="00E558DC" w:rsidRPr="00E558DC">
        <w:rPr>
          <w:rFonts w:eastAsia="Calibri"/>
        </w:rPr>
        <w:t xml:space="preserve">saistībā ar </w:t>
      </w:r>
      <w:r w:rsidR="0055608A" w:rsidRPr="0055608A">
        <w:rPr>
          <w:rFonts w:eastAsia="Calibri"/>
        </w:rPr>
        <w:t>Atveseļošanas fonda</w:t>
      </w:r>
      <w:r w:rsidR="005A4C7A" w:rsidRPr="005A4C7A">
        <w:rPr>
          <w:rFonts w:eastAsia="Calibri"/>
        </w:rPr>
        <w:t xml:space="preserve"> plān</w:t>
      </w:r>
      <w:r w:rsidR="005A4C7A">
        <w:rPr>
          <w:rFonts w:eastAsia="Calibri"/>
        </w:rPr>
        <w:t>ā</w:t>
      </w:r>
      <w:r w:rsidR="00E558DC" w:rsidRPr="00E558DC">
        <w:rPr>
          <w:rFonts w:eastAsia="Calibri"/>
        </w:rPr>
        <w:t xml:space="preserve"> atbalstītajiem pasākumiem. </w:t>
      </w:r>
      <w:r w:rsidR="00F47A70">
        <w:rPr>
          <w:rFonts w:eastAsia="Calibri"/>
        </w:rPr>
        <w:t xml:space="preserve">Dalībvalstij </w:t>
      </w:r>
      <w:r w:rsidR="00B07297">
        <w:rPr>
          <w:rFonts w:eastAsia="Calibri"/>
        </w:rPr>
        <w:t>būs ne tikai jāiesniedz detāli</w:t>
      </w:r>
      <w:r w:rsidR="00F47A70">
        <w:rPr>
          <w:rFonts w:eastAsia="Calibri"/>
        </w:rPr>
        <w:t xml:space="preserve"> pamatojošie dokumenti</w:t>
      </w:r>
      <w:r w:rsidR="00AC7ABA">
        <w:rPr>
          <w:rFonts w:eastAsia="Calibri"/>
        </w:rPr>
        <w:t xml:space="preserve"> un dati</w:t>
      </w:r>
      <w:r w:rsidR="00B07297">
        <w:rPr>
          <w:rFonts w:eastAsia="Calibri"/>
        </w:rPr>
        <w:t>/liecības</w:t>
      </w:r>
      <w:r w:rsidR="00F47A70">
        <w:rPr>
          <w:rFonts w:eastAsia="Calibri"/>
        </w:rPr>
        <w:t>, kas apliecina atskaites punktu un mērķu sasniegšanu</w:t>
      </w:r>
      <w:r w:rsidR="00B07297">
        <w:rPr>
          <w:rFonts w:eastAsia="Calibri"/>
        </w:rPr>
        <w:t xml:space="preserve">, bet arī jānodrošina EK </w:t>
      </w:r>
      <w:r w:rsidR="00B07297" w:rsidRPr="00E558DC">
        <w:rPr>
          <w:rFonts w:eastAsia="Calibri"/>
        </w:rPr>
        <w:t>pieeja informācijas un uzraudzības sistēma</w:t>
      </w:r>
      <w:r w:rsidR="00B07297">
        <w:rPr>
          <w:rFonts w:eastAsia="Calibri"/>
        </w:rPr>
        <w:t>i pēc EK pieprasījuma</w:t>
      </w:r>
      <w:r w:rsidR="00C54403">
        <w:rPr>
          <w:rFonts w:eastAsia="Calibri"/>
        </w:rPr>
        <w:t xml:space="preserve"> un pastāvīgi </w:t>
      </w:r>
      <w:r w:rsidR="0055608A" w:rsidRPr="0055608A">
        <w:rPr>
          <w:rFonts w:eastAsia="Calibri"/>
        </w:rPr>
        <w:t>Atveseļošanas fonda</w:t>
      </w:r>
      <w:r w:rsidR="00D950A1">
        <w:rPr>
          <w:rFonts w:eastAsia="Calibri"/>
        </w:rPr>
        <w:t xml:space="preserve"> </w:t>
      </w:r>
      <w:r w:rsidR="00C54403">
        <w:rPr>
          <w:rFonts w:eastAsia="Calibri"/>
        </w:rPr>
        <w:t>plāna ieviešanas laikā jāinformē EK par progresu ārpus oficiālā ziņošanas EK cikla</w:t>
      </w:r>
      <w:r>
        <w:rPr>
          <w:rFonts w:eastAsia="Calibri"/>
        </w:rPr>
        <w:t>.</w:t>
      </w:r>
      <w:r w:rsidR="00AD09DB">
        <w:rPr>
          <w:rFonts w:eastAsia="Calibri"/>
        </w:rPr>
        <w:t xml:space="preserve"> Šo datu un liecību iegūšana no pirmavota, </w:t>
      </w:r>
      <w:r w:rsidR="00C30BFA">
        <w:rPr>
          <w:rFonts w:eastAsia="Calibri"/>
        </w:rPr>
        <w:t>tai skaitā</w:t>
      </w:r>
      <w:r w:rsidR="00AD09DB">
        <w:rPr>
          <w:rFonts w:eastAsia="Calibri"/>
        </w:rPr>
        <w:t xml:space="preserve"> finansējuma saņēmējiem, datu pārbaude, apstrāde un analītiskas informācijas sagatavošana un pastāvīga kvalitatīva dialoga ar EK nodrošināšana prasīs nozīmīgu </w:t>
      </w:r>
      <w:r w:rsidR="00852D4B">
        <w:rPr>
          <w:rFonts w:eastAsia="Calibri"/>
        </w:rPr>
        <w:t xml:space="preserve">papildu </w:t>
      </w:r>
      <w:r w:rsidR="00AD09DB">
        <w:rPr>
          <w:rFonts w:eastAsia="Calibri"/>
        </w:rPr>
        <w:t xml:space="preserve">cilvēkresursu kapacitāti no </w:t>
      </w:r>
      <w:r w:rsidR="0055608A" w:rsidRPr="0055608A">
        <w:rPr>
          <w:rFonts w:eastAsia="Calibri"/>
        </w:rPr>
        <w:t>Atveseļošanas fonda</w:t>
      </w:r>
      <w:r w:rsidR="00D950A1">
        <w:rPr>
          <w:rFonts w:eastAsia="Calibri"/>
        </w:rPr>
        <w:t xml:space="preserve"> </w:t>
      </w:r>
      <w:r w:rsidR="00AD09DB">
        <w:rPr>
          <w:rFonts w:eastAsia="Calibri"/>
        </w:rPr>
        <w:t>plāna īstenošana atbildīgo</w:t>
      </w:r>
      <w:r w:rsidR="00D950A1">
        <w:rPr>
          <w:rFonts w:eastAsia="Calibri"/>
        </w:rPr>
        <w:t xml:space="preserve"> un </w:t>
      </w:r>
      <w:r w:rsidR="00AD09DB">
        <w:rPr>
          <w:rFonts w:eastAsia="Calibri"/>
        </w:rPr>
        <w:t xml:space="preserve">iesaistīto </w:t>
      </w:r>
      <w:r w:rsidR="00D950A1">
        <w:rPr>
          <w:rFonts w:eastAsia="Calibri"/>
        </w:rPr>
        <w:t xml:space="preserve">institūciju </w:t>
      </w:r>
      <w:r w:rsidR="00AD09DB">
        <w:rPr>
          <w:rFonts w:eastAsia="Calibri"/>
        </w:rPr>
        <w:t>puses.</w:t>
      </w:r>
    </w:p>
    <w:p w14:paraId="43A7425A" w14:textId="52E090F9" w:rsidR="00917B0D" w:rsidRDefault="00FB3F7B" w:rsidP="008425C3">
      <w:pPr>
        <w:suppressAutoHyphens/>
        <w:autoSpaceDN w:val="0"/>
        <w:spacing w:after="0" w:line="276" w:lineRule="auto"/>
        <w:ind w:firstLine="720"/>
        <w:jc w:val="both"/>
        <w:textAlignment w:val="baseline"/>
        <w:rPr>
          <w:rFonts w:eastAsia="Calibri"/>
        </w:rPr>
      </w:pPr>
      <w:r>
        <w:rPr>
          <w:rFonts w:eastAsia="Calibri"/>
        </w:rPr>
        <w:t xml:space="preserve">Saskaņā ar </w:t>
      </w:r>
      <w:r w:rsidR="00011FC0">
        <w:rPr>
          <w:rFonts w:eastAsia="Calibri"/>
        </w:rPr>
        <w:t xml:space="preserve">Regulas </w:t>
      </w:r>
      <w:r w:rsidR="00E558DC" w:rsidRPr="00E558DC">
        <w:rPr>
          <w:rFonts w:eastAsia="Calibri"/>
        </w:rPr>
        <w:t>18. pant</w:t>
      </w:r>
      <w:r w:rsidR="00390030">
        <w:rPr>
          <w:rFonts w:eastAsia="Calibri"/>
        </w:rPr>
        <w:t>a 4.</w:t>
      </w:r>
      <w:r w:rsidR="003C3BB9">
        <w:rPr>
          <w:rFonts w:eastAsia="Calibri"/>
        </w:rPr>
        <w:t> </w:t>
      </w:r>
      <w:r w:rsidR="00390030">
        <w:rPr>
          <w:rFonts w:eastAsia="Calibri"/>
        </w:rPr>
        <w:t xml:space="preserve">punkta </w:t>
      </w:r>
      <w:r w:rsidR="00E06954">
        <w:rPr>
          <w:rFonts w:eastAsia="Calibri"/>
        </w:rPr>
        <w:t xml:space="preserve">p) </w:t>
      </w:r>
      <w:r w:rsidR="000505D9">
        <w:rPr>
          <w:rFonts w:eastAsia="Calibri"/>
        </w:rPr>
        <w:t xml:space="preserve">un r) </w:t>
      </w:r>
      <w:r w:rsidR="00E06954">
        <w:rPr>
          <w:rFonts w:eastAsia="Calibri"/>
        </w:rPr>
        <w:t>apakšpunkt</w:t>
      </w:r>
      <w:r w:rsidR="000505D9">
        <w:rPr>
          <w:rFonts w:eastAsia="Calibri"/>
        </w:rPr>
        <w:t xml:space="preserve">iem </w:t>
      </w:r>
      <w:r w:rsidR="006666CA" w:rsidRPr="006666CA">
        <w:rPr>
          <w:rFonts w:eastAsia="Calibri"/>
        </w:rPr>
        <w:t>Atveseļošanas fonda</w:t>
      </w:r>
      <w:r w:rsidR="003C0805" w:rsidRPr="003C0805">
        <w:rPr>
          <w:rFonts w:eastAsia="Calibri"/>
        </w:rPr>
        <w:t xml:space="preserve"> plān</w:t>
      </w:r>
      <w:r w:rsidR="000505D9">
        <w:rPr>
          <w:rFonts w:eastAsia="Calibri"/>
        </w:rPr>
        <w:t xml:space="preserve">s </w:t>
      </w:r>
      <w:r w:rsidR="00390030">
        <w:rPr>
          <w:rFonts w:eastAsia="Calibri"/>
        </w:rPr>
        <w:t>iekļau</w:t>
      </w:r>
      <w:r w:rsidR="000505D9">
        <w:rPr>
          <w:rFonts w:eastAsia="Calibri"/>
        </w:rPr>
        <w:t>j</w:t>
      </w:r>
      <w:r w:rsidR="00390030">
        <w:rPr>
          <w:rFonts w:eastAsia="Calibri"/>
        </w:rPr>
        <w:t xml:space="preserve"> informācij</w:t>
      </w:r>
      <w:r w:rsidR="000505D9">
        <w:rPr>
          <w:rFonts w:eastAsia="Calibri"/>
        </w:rPr>
        <w:t>u</w:t>
      </w:r>
      <w:r w:rsidR="00390030">
        <w:rPr>
          <w:rFonts w:eastAsia="Calibri"/>
        </w:rPr>
        <w:t xml:space="preserve"> par </w:t>
      </w:r>
      <w:r w:rsidR="00051ECE">
        <w:rPr>
          <w:rFonts w:eastAsia="Calibri"/>
        </w:rPr>
        <w:t>tā</w:t>
      </w:r>
      <w:r w:rsidR="000505D9">
        <w:rPr>
          <w:rFonts w:eastAsia="Calibri"/>
        </w:rPr>
        <w:t xml:space="preserve"> </w:t>
      </w:r>
      <w:r w:rsidR="00E558DC" w:rsidRPr="00E558DC">
        <w:rPr>
          <w:rFonts w:eastAsia="Calibri"/>
        </w:rPr>
        <w:t>efektīv</w:t>
      </w:r>
      <w:r w:rsidR="000505D9">
        <w:rPr>
          <w:rFonts w:eastAsia="Calibri"/>
        </w:rPr>
        <w:t>u</w:t>
      </w:r>
      <w:r w:rsidR="00E558DC" w:rsidRPr="00E558DC">
        <w:rPr>
          <w:rFonts w:eastAsia="Calibri"/>
        </w:rPr>
        <w:t xml:space="preserve"> uzraudzī</w:t>
      </w:r>
      <w:r w:rsidR="000505D9">
        <w:rPr>
          <w:rFonts w:eastAsia="Calibri"/>
        </w:rPr>
        <w:t>bu</w:t>
      </w:r>
      <w:r w:rsidR="00E558DC" w:rsidRPr="00E558DC">
        <w:rPr>
          <w:rFonts w:eastAsia="Calibri"/>
        </w:rPr>
        <w:t xml:space="preserve"> un īsteno</w:t>
      </w:r>
      <w:r w:rsidR="000505D9">
        <w:rPr>
          <w:rFonts w:eastAsia="Calibri"/>
        </w:rPr>
        <w:t>šanu</w:t>
      </w:r>
      <w:r w:rsidR="00E558DC" w:rsidRPr="00E558DC">
        <w:rPr>
          <w:rFonts w:eastAsia="Calibri"/>
        </w:rPr>
        <w:t>,</w:t>
      </w:r>
      <w:r w:rsidR="00E06954">
        <w:rPr>
          <w:rFonts w:eastAsia="Calibri"/>
        </w:rPr>
        <w:t xml:space="preserve"> </w:t>
      </w:r>
      <w:r w:rsidR="000505D9">
        <w:rPr>
          <w:rFonts w:eastAsia="Calibri"/>
        </w:rPr>
        <w:t>un</w:t>
      </w:r>
      <w:r w:rsidR="00E06954">
        <w:rPr>
          <w:rFonts w:eastAsia="Calibri"/>
        </w:rPr>
        <w:t xml:space="preserve"> </w:t>
      </w:r>
      <w:r w:rsidR="00E558DC" w:rsidRPr="00E558DC">
        <w:rPr>
          <w:rFonts w:eastAsia="Calibri"/>
        </w:rPr>
        <w:t>skaidro</w:t>
      </w:r>
      <w:r w:rsidR="00250DC9">
        <w:rPr>
          <w:rFonts w:eastAsia="Calibri"/>
        </w:rPr>
        <w:t xml:space="preserve"> kopējo </w:t>
      </w:r>
      <w:r w:rsidR="000505D9">
        <w:rPr>
          <w:rFonts w:eastAsia="Calibri"/>
        </w:rPr>
        <w:t>vadības un kontroles</w:t>
      </w:r>
      <w:r w:rsidR="00E558DC" w:rsidRPr="00E558DC">
        <w:rPr>
          <w:rFonts w:eastAsia="Calibri"/>
        </w:rPr>
        <w:t xml:space="preserve"> sistēmu, lai novērstu</w:t>
      </w:r>
      <w:r w:rsidR="000F4A5D">
        <w:rPr>
          <w:rFonts w:eastAsia="Calibri"/>
        </w:rPr>
        <w:t xml:space="preserve"> un</w:t>
      </w:r>
      <w:r w:rsidR="00E558DC" w:rsidRPr="00E558DC">
        <w:rPr>
          <w:rFonts w:eastAsia="Calibri"/>
        </w:rPr>
        <w:t xml:space="preserve"> atklātu korupciju, krāpšanu un interešu konfliktus saistībā ar </w:t>
      </w:r>
      <w:r w:rsidR="006666CA" w:rsidRPr="006666CA">
        <w:rPr>
          <w:rFonts w:eastAsia="Calibri"/>
        </w:rPr>
        <w:t>Atveseļošanas fonda</w:t>
      </w:r>
      <w:r w:rsidR="007B18DE" w:rsidRPr="00E558DC">
        <w:rPr>
          <w:rFonts w:eastAsia="Calibri"/>
        </w:rPr>
        <w:t xml:space="preserve"> </w:t>
      </w:r>
      <w:r w:rsidR="00E558DC" w:rsidRPr="00E558DC">
        <w:rPr>
          <w:rFonts w:eastAsia="Calibri"/>
        </w:rPr>
        <w:t xml:space="preserve">līdzekļu izmantošanu un par pasākumiem, kuru mērķis ir novērst dubultu finansēšanu no </w:t>
      </w:r>
      <w:r w:rsidR="006666CA" w:rsidRPr="006666CA">
        <w:rPr>
          <w:rFonts w:eastAsia="Calibri"/>
        </w:rPr>
        <w:t>Atveseļošanas fonda</w:t>
      </w:r>
      <w:r w:rsidR="00D90403" w:rsidRPr="00E558DC">
        <w:rPr>
          <w:rFonts w:eastAsia="Calibri"/>
        </w:rPr>
        <w:t xml:space="preserve"> </w:t>
      </w:r>
      <w:r w:rsidR="00E558DC" w:rsidRPr="00E558DC">
        <w:rPr>
          <w:rFonts w:eastAsia="Calibri"/>
        </w:rPr>
        <w:t xml:space="preserve">un citām </w:t>
      </w:r>
      <w:r w:rsidR="00D90403">
        <w:rPr>
          <w:rFonts w:eastAsia="Calibri"/>
        </w:rPr>
        <w:t xml:space="preserve">Eiropas </w:t>
      </w:r>
      <w:r w:rsidR="00E558DC" w:rsidRPr="00E558DC">
        <w:rPr>
          <w:rFonts w:eastAsia="Calibri"/>
        </w:rPr>
        <w:t>Savienības programmām</w:t>
      </w:r>
      <w:r w:rsidR="00E06954">
        <w:rPr>
          <w:rFonts w:eastAsia="Calibri"/>
        </w:rPr>
        <w:t xml:space="preserve">. </w:t>
      </w:r>
      <w:r w:rsidR="0018019D">
        <w:rPr>
          <w:rFonts w:eastAsia="Calibri"/>
        </w:rPr>
        <w:t>Savukārt Regulas 19. pant</w:t>
      </w:r>
      <w:r w:rsidR="0066658D">
        <w:rPr>
          <w:rFonts w:eastAsia="Calibri"/>
        </w:rPr>
        <w:t>a</w:t>
      </w:r>
      <w:r w:rsidR="0018019D">
        <w:rPr>
          <w:rFonts w:eastAsia="Calibri"/>
        </w:rPr>
        <w:t xml:space="preserve"> j) apakšpunkts nosaka, ka EK vērtēs</w:t>
      </w:r>
      <w:r w:rsidR="00250DC9">
        <w:rPr>
          <w:rFonts w:eastAsia="Calibri"/>
        </w:rPr>
        <w:t xml:space="preserve"> </w:t>
      </w:r>
      <w:r w:rsidR="006666CA" w:rsidRPr="006666CA">
        <w:rPr>
          <w:rFonts w:eastAsia="Calibri"/>
        </w:rPr>
        <w:t>Atveseļošanas fonda</w:t>
      </w:r>
      <w:r w:rsidR="00051ECE">
        <w:rPr>
          <w:rFonts w:eastAsia="Calibri"/>
        </w:rPr>
        <w:t xml:space="preserve"> </w:t>
      </w:r>
      <w:r w:rsidR="00250DC9">
        <w:rPr>
          <w:rFonts w:eastAsia="Calibri"/>
        </w:rPr>
        <w:t>plānā paredzēto reformu un investīciju atbilstošu ieviešanu un attiecīgi lems par finansējuma izmaksāšanu dalībvalstij</w:t>
      </w:r>
      <w:r w:rsidR="007F1DF3">
        <w:rPr>
          <w:rFonts w:eastAsia="Calibri"/>
        </w:rPr>
        <w:t xml:space="preserve"> atkarībā no tā, vai un kādā apmērā ir sasniegti noteiktie atskaites punkti un mērķi un vai nav konstatēti būtiski pārkāpumi</w:t>
      </w:r>
      <w:r w:rsidR="00250DC9">
        <w:rPr>
          <w:rFonts w:eastAsia="Calibri"/>
        </w:rPr>
        <w:t>.</w:t>
      </w:r>
      <w:r w:rsidR="0018019D">
        <w:rPr>
          <w:rFonts w:eastAsia="Calibri"/>
        </w:rPr>
        <w:t xml:space="preserve"> </w:t>
      </w:r>
    </w:p>
    <w:p w14:paraId="77BB8E48" w14:textId="0B650505" w:rsidR="00230A32" w:rsidRDefault="004F38E5" w:rsidP="00393E2E">
      <w:pPr>
        <w:suppressAutoHyphens/>
        <w:autoSpaceDN w:val="0"/>
        <w:spacing w:after="0" w:line="276" w:lineRule="auto"/>
        <w:ind w:firstLine="720"/>
        <w:jc w:val="both"/>
        <w:textAlignment w:val="baseline"/>
        <w:rPr>
          <w:rFonts w:eastAsia="Calibri"/>
        </w:rPr>
      </w:pPr>
      <w:r>
        <w:rPr>
          <w:rFonts w:eastAsia="Calibri"/>
        </w:rPr>
        <w:t xml:space="preserve">Ņemot vērā iepriekš minēto, </w:t>
      </w:r>
      <w:r w:rsidR="00240F23">
        <w:rPr>
          <w:rFonts w:eastAsia="Calibri"/>
        </w:rPr>
        <w:t xml:space="preserve">Latvijai </w:t>
      </w:r>
      <w:r>
        <w:rPr>
          <w:rFonts w:eastAsia="Calibri"/>
        </w:rPr>
        <w:t xml:space="preserve">jānodrošina atbilstoša vadības un kontroles sistēma </w:t>
      </w:r>
      <w:r w:rsidR="006666CA" w:rsidRPr="006666CA">
        <w:rPr>
          <w:rFonts w:eastAsia="Calibri"/>
        </w:rPr>
        <w:t>Atveseļošanas fonda</w:t>
      </w:r>
      <w:r w:rsidR="003C0805" w:rsidRPr="003C0805">
        <w:rPr>
          <w:rFonts w:eastAsia="Calibri"/>
        </w:rPr>
        <w:t xml:space="preserve"> plāna </w:t>
      </w:r>
      <w:r>
        <w:rPr>
          <w:rFonts w:eastAsia="Calibri"/>
        </w:rPr>
        <w:t xml:space="preserve">ieviešanai un uzraudzībai, </w:t>
      </w:r>
      <w:r w:rsidR="00970DBB" w:rsidRPr="00970DBB">
        <w:rPr>
          <w:rFonts w:eastAsia="Calibri"/>
        </w:rPr>
        <w:t>īpaši ņemot vērā kontrolēšanas izmaksas, administratīvo slogu un paredzamo neatbilstības risku.</w:t>
      </w:r>
      <w:r>
        <w:rPr>
          <w:rFonts w:eastAsia="Calibri"/>
        </w:rPr>
        <w:t xml:space="preserve"> </w:t>
      </w:r>
      <w:r w:rsidR="00970DBB" w:rsidRPr="00970DBB">
        <w:rPr>
          <w:rFonts w:eastAsia="Calibri"/>
        </w:rPr>
        <w:t xml:space="preserve">Tādējādi galvenās </w:t>
      </w:r>
      <w:r w:rsidR="006666CA" w:rsidRPr="006666CA">
        <w:rPr>
          <w:rFonts w:eastAsia="Calibri"/>
        </w:rPr>
        <w:t>Atveseļošanas fonda</w:t>
      </w:r>
      <w:r w:rsidR="003C0805" w:rsidRPr="003C0805">
        <w:rPr>
          <w:rFonts w:eastAsia="Calibri"/>
        </w:rPr>
        <w:t xml:space="preserve"> plāna</w:t>
      </w:r>
      <w:r w:rsidR="00970DBB" w:rsidRPr="00970DBB">
        <w:rPr>
          <w:rFonts w:eastAsia="Calibri"/>
        </w:rPr>
        <w:t xml:space="preserve"> kontroles sistēmas būs </w:t>
      </w:r>
      <w:r w:rsidR="003A2318">
        <w:rPr>
          <w:rFonts w:eastAsia="Calibri"/>
        </w:rPr>
        <w:t>nacionālās</w:t>
      </w:r>
      <w:r w:rsidR="00970DBB" w:rsidRPr="00970DBB">
        <w:rPr>
          <w:rFonts w:eastAsia="Calibri"/>
        </w:rPr>
        <w:t xml:space="preserve"> iekšējās kontroles sistēmas, kurām </w:t>
      </w:r>
      <w:r>
        <w:rPr>
          <w:rFonts w:eastAsia="Calibri"/>
        </w:rPr>
        <w:t xml:space="preserve">jābūt </w:t>
      </w:r>
      <w:r w:rsidR="00695AAC">
        <w:rPr>
          <w:rFonts w:eastAsia="Calibri"/>
        </w:rPr>
        <w:t>pietiekami uzticamām,</w:t>
      </w:r>
      <w:r w:rsidR="00970DBB" w:rsidRPr="00970DBB">
        <w:rPr>
          <w:rFonts w:eastAsia="Calibri"/>
        </w:rPr>
        <w:t xml:space="preserve"> lai aizsargātu </w:t>
      </w:r>
      <w:r w:rsidR="00367906">
        <w:rPr>
          <w:rFonts w:eastAsia="Calibri"/>
        </w:rPr>
        <w:t xml:space="preserve">Eiropas </w:t>
      </w:r>
      <w:r w:rsidR="00970DBB" w:rsidRPr="00970DBB">
        <w:rPr>
          <w:rFonts w:eastAsia="Calibri"/>
        </w:rPr>
        <w:t>Savienības finanšu intereses un jo īpaši novērstu</w:t>
      </w:r>
      <w:r w:rsidR="00BE7E5C">
        <w:rPr>
          <w:rFonts w:eastAsia="Calibri"/>
        </w:rPr>
        <w:t xml:space="preserve"> un</w:t>
      </w:r>
      <w:r w:rsidR="00970DBB" w:rsidRPr="00970DBB">
        <w:rPr>
          <w:rFonts w:eastAsia="Calibri"/>
        </w:rPr>
        <w:t xml:space="preserve"> atklātu krāpšanu, korupciju</w:t>
      </w:r>
      <w:r w:rsidR="00586960">
        <w:rPr>
          <w:rFonts w:eastAsia="Calibri"/>
        </w:rPr>
        <w:t>,</w:t>
      </w:r>
      <w:r w:rsidR="00E4029E">
        <w:rPr>
          <w:rFonts w:eastAsia="Calibri"/>
        </w:rPr>
        <w:t xml:space="preserve"> </w:t>
      </w:r>
      <w:r w:rsidR="00695AAC">
        <w:rPr>
          <w:rFonts w:eastAsia="Calibri"/>
        </w:rPr>
        <w:t xml:space="preserve">interešu </w:t>
      </w:r>
      <w:r w:rsidR="00970DBB" w:rsidRPr="00970DBB">
        <w:rPr>
          <w:rFonts w:eastAsia="Calibri"/>
        </w:rPr>
        <w:t>konfliktus</w:t>
      </w:r>
      <w:r w:rsidR="00586960">
        <w:rPr>
          <w:rFonts w:eastAsia="Calibri"/>
        </w:rPr>
        <w:t xml:space="preserve"> un dubulto finansējumu</w:t>
      </w:r>
      <w:r w:rsidR="00695AAC">
        <w:rPr>
          <w:rFonts w:eastAsia="Calibri"/>
        </w:rPr>
        <w:t>.</w:t>
      </w:r>
      <w:r w:rsidR="00970DBB" w:rsidRPr="00970DBB">
        <w:rPr>
          <w:rFonts w:eastAsia="Calibri"/>
        </w:rPr>
        <w:t xml:space="preserve"> </w:t>
      </w:r>
      <w:r w:rsidR="00695AAC">
        <w:rPr>
          <w:rFonts w:eastAsia="Calibri"/>
        </w:rPr>
        <w:t>EK</w:t>
      </w:r>
      <w:r w:rsidR="00970DBB" w:rsidRPr="00970DBB">
        <w:rPr>
          <w:rFonts w:eastAsia="Calibri"/>
        </w:rPr>
        <w:t xml:space="preserve"> novērtējumā kontroles </w:t>
      </w:r>
      <w:r w:rsidR="004844E5">
        <w:rPr>
          <w:rFonts w:eastAsia="Calibri"/>
        </w:rPr>
        <w:t xml:space="preserve">un uzraudzības </w:t>
      </w:r>
      <w:r w:rsidR="00970DBB" w:rsidRPr="00970DBB">
        <w:rPr>
          <w:rFonts w:eastAsia="Calibri"/>
        </w:rPr>
        <w:t>pasākumi</w:t>
      </w:r>
      <w:r w:rsidR="00DB0202">
        <w:rPr>
          <w:rFonts w:eastAsia="Calibri"/>
        </w:rPr>
        <w:t xml:space="preserve"> </w:t>
      </w:r>
      <w:r w:rsidR="00DA38E0" w:rsidRPr="00DA38E0">
        <w:rPr>
          <w:rFonts w:eastAsia="Calibri"/>
        </w:rPr>
        <w:t>Atveseļošanas fonda</w:t>
      </w:r>
      <w:r w:rsidR="00DB0202" w:rsidRPr="00DB0202">
        <w:rPr>
          <w:rFonts w:eastAsia="Calibri"/>
        </w:rPr>
        <w:t xml:space="preserve"> plāna</w:t>
      </w:r>
      <w:r w:rsidR="00DB0202">
        <w:rPr>
          <w:rFonts w:eastAsia="Calibri"/>
        </w:rPr>
        <w:t xml:space="preserve"> apstiprināšanas brīdī</w:t>
      </w:r>
      <w:r w:rsidR="00970DBB" w:rsidRPr="00970DBB">
        <w:rPr>
          <w:rFonts w:eastAsia="Calibri"/>
        </w:rPr>
        <w:t xml:space="preserve"> tiek vērtēti kā “atbilstoši” (A), vai “nepietiekami” (C). </w:t>
      </w:r>
      <w:r w:rsidR="00B00B4E">
        <w:rPr>
          <w:rFonts w:eastAsia="Calibri"/>
        </w:rPr>
        <w:t xml:space="preserve">Latvijas </w:t>
      </w:r>
      <w:r w:rsidR="00DA38E0" w:rsidRPr="00DA38E0">
        <w:rPr>
          <w:rFonts w:eastAsia="Calibri"/>
        </w:rPr>
        <w:t>Atveseļošanas fonda</w:t>
      </w:r>
      <w:r w:rsidR="00B00B4E" w:rsidRPr="00B00B4E">
        <w:rPr>
          <w:rFonts w:eastAsia="Calibri"/>
        </w:rPr>
        <w:t xml:space="preserve"> plān</w:t>
      </w:r>
      <w:r w:rsidR="00DB0202">
        <w:rPr>
          <w:rFonts w:eastAsia="Calibri"/>
        </w:rPr>
        <w:t>ā aprakstītais vadības un</w:t>
      </w:r>
      <w:r w:rsidR="00B00B4E" w:rsidRPr="00B00B4E">
        <w:rPr>
          <w:rFonts w:eastAsia="Calibri"/>
        </w:rPr>
        <w:t xml:space="preserve"> kontroles sistēma</w:t>
      </w:r>
      <w:r w:rsidR="00DB0202">
        <w:rPr>
          <w:rFonts w:eastAsia="Calibri"/>
        </w:rPr>
        <w:t xml:space="preserve">s piedāvātais ietvars un </w:t>
      </w:r>
      <w:r w:rsidR="00E45B3F">
        <w:rPr>
          <w:rFonts w:eastAsia="Calibri"/>
        </w:rPr>
        <w:t xml:space="preserve">plānotais </w:t>
      </w:r>
      <w:r w:rsidR="00DB0202">
        <w:rPr>
          <w:rFonts w:eastAsia="Calibri"/>
        </w:rPr>
        <w:t>modelis tika novērtēt</w:t>
      </w:r>
      <w:r w:rsidR="00CD06FE">
        <w:rPr>
          <w:rFonts w:eastAsia="Calibri"/>
        </w:rPr>
        <w:t>s</w:t>
      </w:r>
      <w:r w:rsidR="00DB0202">
        <w:rPr>
          <w:rFonts w:eastAsia="Calibri"/>
        </w:rPr>
        <w:t xml:space="preserve"> kā atbilstošs no EK puses. </w:t>
      </w:r>
      <w:r w:rsidR="00F8694E">
        <w:rPr>
          <w:rFonts w:eastAsia="Calibri"/>
        </w:rPr>
        <w:t xml:space="preserve">Līdz ar to </w:t>
      </w:r>
      <w:r w:rsidR="0096145D">
        <w:rPr>
          <w:rFonts w:eastAsia="Calibri"/>
        </w:rPr>
        <w:t xml:space="preserve">Latvijai </w:t>
      </w:r>
      <w:r w:rsidR="00F8694E">
        <w:rPr>
          <w:rFonts w:eastAsia="Calibri"/>
        </w:rPr>
        <w:t xml:space="preserve">ir pienākums </w:t>
      </w:r>
      <w:r w:rsidR="004844E5">
        <w:rPr>
          <w:rFonts w:eastAsia="Calibri"/>
        </w:rPr>
        <w:t>pielāgot un uzturēt tādu</w:t>
      </w:r>
      <w:r w:rsidR="00F8694E">
        <w:rPr>
          <w:rFonts w:eastAsia="Calibri"/>
        </w:rPr>
        <w:t xml:space="preserve"> vadības un </w:t>
      </w:r>
      <w:r w:rsidR="00F8694E">
        <w:rPr>
          <w:rFonts w:eastAsia="Calibri"/>
        </w:rPr>
        <w:lastRenderedPageBreak/>
        <w:t xml:space="preserve">kontroles sistēmu, kura nodrošinās Regulas un </w:t>
      </w:r>
      <w:r w:rsidR="00230A32">
        <w:rPr>
          <w:rFonts w:eastAsia="Calibri"/>
        </w:rPr>
        <w:t xml:space="preserve">Eiropas Komisijas </w:t>
      </w:r>
      <w:r w:rsidR="00230A32">
        <w:t xml:space="preserve">priekšsēdētājas U.fon der </w:t>
      </w:r>
      <w:proofErr w:type="spellStart"/>
      <w:r w:rsidR="00230A32">
        <w:t>Leienas</w:t>
      </w:r>
      <w:proofErr w:type="spellEnd"/>
      <w:r w:rsidR="00230A32">
        <w:t xml:space="preserve"> </w:t>
      </w:r>
      <w:proofErr w:type="spellStart"/>
      <w:r w:rsidR="00230A32">
        <w:t>izpildvietnieka</w:t>
      </w:r>
      <w:proofErr w:type="spellEnd"/>
      <w:r w:rsidR="00230A32">
        <w:t xml:space="preserve"> jautājumos par ekonomiku cilvēku labā </w:t>
      </w:r>
      <w:r w:rsidR="00230A32" w:rsidRPr="00827CC8">
        <w:rPr>
          <w:rFonts w:eastAsia="Calibri"/>
        </w:rPr>
        <w:t>V. Dombrovska vēstulē</w:t>
      </w:r>
      <w:r w:rsidR="00230A32">
        <w:rPr>
          <w:rStyle w:val="FootnoteReference"/>
          <w:rFonts w:eastAsia="Calibri"/>
        </w:rPr>
        <w:footnoteReference w:id="6"/>
      </w:r>
      <w:r w:rsidR="00230A32" w:rsidRPr="00827CC8">
        <w:rPr>
          <w:rFonts w:eastAsia="Calibri"/>
        </w:rPr>
        <w:t xml:space="preserve"> un tās pielikumā </w:t>
      </w:r>
      <w:r w:rsidR="00230A32">
        <w:rPr>
          <w:rFonts w:eastAsia="Calibri"/>
        </w:rPr>
        <w:t xml:space="preserve">ietvertās </w:t>
      </w:r>
      <w:r w:rsidR="00230A32" w:rsidRPr="00FE0744">
        <w:rPr>
          <w:rFonts w:eastAsia="Calibri"/>
        </w:rPr>
        <w:t>pašpārbaudes</w:t>
      </w:r>
      <w:r w:rsidR="00230A32" w:rsidRPr="00FE0744">
        <w:t xml:space="preserve"> </w:t>
      </w:r>
      <w:r w:rsidR="00230A32" w:rsidRPr="00FE0744">
        <w:rPr>
          <w:rFonts w:eastAsia="Calibri"/>
        </w:rPr>
        <w:t>veidlapā</w:t>
      </w:r>
      <w:r w:rsidR="00230A32">
        <w:rPr>
          <w:rStyle w:val="FootnoteReference"/>
          <w:rFonts w:eastAsia="Calibri"/>
        </w:rPr>
        <w:footnoteReference w:id="7"/>
      </w:r>
      <w:r w:rsidR="00230A32" w:rsidRPr="00827CC8">
        <w:rPr>
          <w:rFonts w:eastAsia="Calibri"/>
        </w:rPr>
        <w:t xml:space="preserve"> </w:t>
      </w:r>
      <w:r w:rsidR="00A0745A" w:rsidRPr="00A0745A">
        <w:rPr>
          <w:rFonts w:eastAsia="Calibri"/>
        </w:rPr>
        <w:t>(turpmāk - pašpārbaudes veidlapa)</w:t>
      </w:r>
      <w:r w:rsidR="00A0745A">
        <w:rPr>
          <w:rFonts w:eastAsia="Calibri"/>
        </w:rPr>
        <w:t xml:space="preserve"> </w:t>
      </w:r>
      <w:r w:rsidR="00230A32" w:rsidRPr="00827CC8">
        <w:rPr>
          <w:rFonts w:eastAsia="Calibri"/>
        </w:rPr>
        <w:t>norādīt</w:t>
      </w:r>
      <w:r w:rsidR="00CD06FE">
        <w:rPr>
          <w:rFonts w:eastAsia="Calibri"/>
        </w:rPr>
        <w:t>ās</w:t>
      </w:r>
      <w:r w:rsidR="00230A32" w:rsidRPr="00827CC8">
        <w:rPr>
          <w:rFonts w:eastAsia="Calibri"/>
        </w:rPr>
        <w:t xml:space="preserve"> prasīb</w:t>
      </w:r>
      <w:r w:rsidR="00CD06FE">
        <w:rPr>
          <w:rFonts w:eastAsia="Calibri"/>
        </w:rPr>
        <w:t>as</w:t>
      </w:r>
      <w:r w:rsidR="00A841C6">
        <w:rPr>
          <w:rFonts w:eastAsia="Calibri"/>
        </w:rPr>
        <w:t xml:space="preserve"> </w:t>
      </w:r>
      <w:r w:rsidR="00230A32" w:rsidRPr="00827CC8">
        <w:rPr>
          <w:rFonts w:eastAsia="Calibri"/>
        </w:rPr>
        <w:t xml:space="preserve"> attiecībā uz dalībvalsts pienākumiem un atbildību izstrādāt EK prasībām atbilstošu </w:t>
      </w:r>
      <w:r w:rsidR="00DA38E0" w:rsidRPr="00DA38E0">
        <w:rPr>
          <w:rFonts w:eastAsia="Calibri"/>
        </w:rPr>
        <w:t>Atveseļošanas fonda</w:t>
      </w:r>
      <w:r w:rsidR="00230A32" w:rsidRPr="00827CC8">
        <w:rPr>
          <w:rFonts w:eastAsia="Calibri"/>
        </w:rPr>
        <w:t xml:space="preserve"> plāna </w:t>
      </w:r>
      <w:r w:rsidR="00393E2E" w:rsidRPr="00393E2E">
        <w:rPr>
          <w:rFonts w:eastAsia="Calibri"/>
        </w:rPr>
        <w:t>vadības un kontroles sistēmu</w:t>
      </w:r>
      <w:r w:rsidR="00230A32" w:rsidRPr="00827CC8">
        <w:rPr>
          <w:rFonts w:eastAsia="Calibri"/>
        </w:rPr>
        <w:t>.</w:t>
      </w:r>
      <w:r w:rsidR="00230A32">
        <w:rPr>
          <w:rFonts w:eastAsia="Calibri"/>
        </w:rPr>
        <w:t xml:space="preserve"> </w:t>
      </w:r>
    </w:p>
    <w:p w14:paraId="16E1E6DE" w14:textId="77777777" w:rsidR="00970DBB" w:rsidRDefault="00970DBB" w:rsidP="008F0F4E">
      <w:pPr>
        <w:suppressAutoHyphens/>
        <w:autoSpaceDN w:val="0"/>
        <w:spacing w:after="0" w:line="276" w:lineRule="auto"/>
        <w:jc w:val="both"/>
        <w:textAlignment w:val="baseline"/>
        <w:rPr>
          <w:rFonts w:eastAsia="Calibri"/>
        </w:rPr>
      </w:pPr>
    </w:p>
    <w:p w14:paraId="4C80EB7C" w14:textId="3D7E426B" w:rsidR="00E7508F" w:rsidRPr="00DA0156" w:rsidRDefault="00C41B96" w:rsidP="00DA0156">
      <w:pPr>
        <w:pStyle w:val="ListParagraph"/>
        <w:numPr>
          <w:ilvl w:val="0"/>
          <w:numId w:val="24"/>
        </w:numPr>
        <w:tabs>
          <w:tab w:val="left" w:pos="2175"/>
        </w:tabs>
        <w:spacing w:after="0" w:line="276" w:lineRule="auto"/>
        <w:jc w:val="center"/>
        <w:rPr>
          <w:rFonts w:eastAsia="Calibri" w:cs="DokChampa"/>
          <w:b/>
          <w:szCs w:val="22"/>
        </w:rPr>
      </w:pPr>
      <w:r w:rsidRPr="00C41B96">
        <w:rPr>
          <w:rFonts w:eastAsia="Calibri"/>
          <w:b/>
        </w:rPr>
        <w:t>Atveseļošanas fonda</w:t>
      </w:r>
      <w:r w:rsidR="00C06BB9" w:rsidRPr="00DA0156">
        <w:rPr>
          <w:rFonts w:eastAsia="Calibri"/>
          <w:b/>
        </w:rPr>
        <w:t xml:space="preserve"> plāna </w:t>
      </w:r>
      <w:r w:rsidR="00E7508F" w:rsidRPr="00DA0156">
        <w:rPr>
          <w:rFonts w:eastAsia="Calibri" w:cs="DokChampa"/>
          <w:b/>
          <w:szCs w:val="22"/>
        </w:rPr>
        <w:t>ieviešana</w:t>
      </w:r>
      <w:r w:rsidR="0049508D" w:rsidRPr="00DA0156">
        <w:rPr>
          <w:rFonts w:eastAsia="Calibri" w:cs="DokChampa"/>
          <w:b/>
          <w:szCs w:val="22"/>
        </w:rPr>
        <w:t>s vadības un kontroles sistēma</w:t>
      </w:r>
    </w:p>
    <w:p w14:paraId="08D6D289" w14:textId="77777777" w:rsidR="00E7508F" w:rsidRPr="00E7508F" w:rsidRDefault="00E7508F" w:rsidP="008F0F4E">
      <w:pPr>
        <w:tabs>
          <w:tab w:val="left" w:pos="2175"/>
        </w:tabs>
        <w:spacing w:after="0" w:line="276" w:lineRule="auto"/>
        <w:jc w:val="both"/>
        <w:rPr>
          <w:rFonts w:eastAsia="Calibri" w:cs="DokChampa"/>
          <w:szCs w:val="22"/>
        </w:rPr>
      </w:pPr>
    </w:p>
    <w:p w14:paraId="03ABC404" w14:textId="7AE0E1E1" w:rsidR="00E64265" w:rsidRPr="00BB4CFF" w:rsidRDefault="008425C3" w:rsidP="008425C3">
      <w:pPr>
        <w:spacing w:after="0" w:line="276" w:lineRule="auto"/>
        <w:contextualSpacing/>
        <w:jc w:val="both"/>
        <w:rPr>
          <w:rFonts w:eastAsia="Calibri"/>
        </w:rPr>
      </w:pPr>
      <w:r>
        <w:rPr>
          <w:rFonts w:eastAsia="Calibri"/>
          <w:szCs w:val="28"/>
        </w:rPr>
        <w:tab/>
      </w:r>
      <w:r w:rsidR="0066658D">
        <w:rPr>
          <w:rFonts w:eastAsia="Calibri"/>
          <w:szCs w:val="28"/>
        </w:rPr>
        <w:t xml:space="preserve">Ievērojot </w:t>
      </w:r>
      <w:r w:rsidR="0037177A">
        <w:rPr>
          <w:rFonts w:eastAsia="Calibri"/>
          <w:szCs w:val="28"/>
        </w:rPr>
        <w:t>MK doto deleģējumu</w:t>
      </w:r>
      <w:r w:rsidR="0066658D">
        <w:rPr>
          <w:rFonts w:eastAsia="Calibri"/>
          <w:szCs w:val="28"/>
        </w:rPr>
        <w:t xml:space="preserve">, </w:t>
      </w:r>
      <w:r w:rsidR="003C3BB9">
        <w:rPr>
          <w:rFonts w:eastAsia="Calibri"/>
        </w:rPr>
        <w:t>Likuma p</w:t>
      </w:r>
      <w:r w:rsidR="00E64265" w:rsidRPr="00BB4CFF">
        <w:rPr>
          <w:rFonts w:eastAsia="Calibri"/>
        </w:rPr>
        <w:t>ar budžetu un finanšu vadību 19.</w:t>
      </w:r>
      <w:r w:rsidR="00E64265" w:rsidRPr="00BB4CFF">
        <w:rPr>
          <w:rFonts w:eastAsia="Calibri"/>
          <w:vertAlign w:val="superscript"/>
        </w:rPr>
        <w:t>3</w:t>
      </w:r>
      <w:r w:rsidR="00E64265" w:rsidRPr="00BB4CFF">
        <w:rPr>
          <w:rFonts w:eastAsia="Calibri"/>
        </w:rPr>
        <w:t xml:space="preserve"> pants nosaka</w:t>
      </w:r>
      <w:r w:rsidR="00E64265" w:rsidRPr="00BB4CFF">
        <w:rPr>
          <w:rFonts w:eastAsia="Calibri"/>
          <w:vertAlign w:val="superscript"/>
        </w:rPr>
        <w:footnoteReference w:id="8"/>
      </w:r>
      <w:r w:rsidR="00E64265" w:rsidRPr="00BB4CFF">
        <w:rPr>
          <w:rFonts w:eastAsia="Calibri"/>
        </w:rPr>
        <w:t>:</w:t>
      </w:r>
    </w:p>
    <w:p w14:paraId="5A01DC73" w14:textId="7C78337E" w:rsidR="00757348" w:rsidRDefault="00E64265" w:rsidP="00757348">
      <w:pPr>
        <w:spacing w:after="0" w:line="276" w:lineRule="auto"/>
        <w:ind w:left="567" w:hanging="425"/>
        <w:jc w:val="both"/>
        <w:rPr>
          <w:rFonts w:eastAsia="Calibri"/>
        </w:rPr>
      </w:pPr>
      <w:r>
        <w:rPr>
          <w:rFonts w:eastAsia="Calibri"/>
        </w:rPr>
        <w:t xml:space="preserve">(1) </w:t>
      </w:r>
      <w:r w:rsidRPr="00BB4CFF">
        <w:rPr>
          <w:rFonts w:eastAsia="Calibri"/>
        </w:rPr>
        <w:t xml:space="preserve">MK izveido efektīvu, pārskatāmu un pareizas finanšu pārvaldības principiem atbilstošu uzraudzības kārtību Eiropas Savienības budžeta programmas Eiropas </w:t>
      </w:r>
      <w:r w:rsidR="00575E64" w:rsidRPr="00575E64">
        <w:rPr>
          <w:rFonts w:eastAsia="Calibri"/>
        </w:rPr>
        <w:t>Atveseļošanas fonda</w:t>
      </w:r>
      <w:r w:rsidRPr="00BB4CFF">
        <w:rPr>
          <w:rFonts w:eastAsia="Calibri"/>
        </w:rPr>
        <w:t xml:space="preserve">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w:t>
      </w:r>
      <w:r w:rsidR="00575E64" w:rsidRPr="00575E64">
        <w:rPr>
          <w:rFonts w:eastAsia="Calibri"/>
        </w:rPr>
        <w:t>Atveseļošanas fonda</w:t>
      </w:r>
      <w:r w:rsidRPr="00BB4CFF">
        <w:rPr>
          <w:rFonts w:eastAsia="Calibri"/>
        </w:rPr>
        <w:t xml:space="preserve"> finansējumu gan </w:t>
      </w:r>
      <w:proofErr w:type="spellStart"/>
      <w:r w:rsidRPr="00BB4CFF">
        <w:rPr>
          <w:rFonts w:eastAsia="Calibri"/>
        </w:rPr>
        <w:t>grantu</w:t>
      </w:r>
      <w:proofErr w:type="spellEnd"/>
      <w:r w:rsidRPr="00BB4CFF">
        <w:rPr>
          <w:rFonts w:eastAsia="Calibri"/>
        </w:rPr>
        <w:t>, gan aizdevumu veidā Latvijā.</w:t>
      </w:r>
    </w:p>
    <w:p w14:paraId="550F0571" w14:textId="330F34C8" w:rsidR="00E64265" w:rsidRPr="00BB4CFF" w:rsidRDefault="00E64265" w:rsidP="00757348">
      <w:pPr>
        <w:spacing w:after="0" w:line="276" w:lineRule="auto"/>
        <w:ind w:left="567" w:hanging="425"/>
        <w:jc w:val="both"/>
        <w:rPr>
          <w:rFonts w:eastAsia="Calibri"/>
          <w:highlight w:val="cyan"/>
        </w:rPr>
      </w:pPr>
      <w:r>
        <w:rPr>
          <w:rFonts w:eastAsia="Calibri"/>
        </w:rPr>
        <w:t xml:space="preserve">(2) </w:t>
      </w:r>
      <w:r w:rsidRPr="00BB4CFF">
        <w:rPr>
          <w:rFonts w:eastAsia="Calibri"/>
        </w:rPr>
        <w:t xml:space="preserve">MK nosaka </w:t>
      </w:r>
      <w:r w:rsidR="00575E64" w:rsidRPr="00575E64">
        <w:rPr>
          <w:rFonts w:eastAsia="Calibri"/>
        </w:rPr>
        <w:t>Atveseļošanas fonda</w:t>
      </w:r>
      <w:r w:rsidRPr="0000441D">
        <w:rPr>
          <w:rFonts w:eastAsia="Calibri"/>
        </w:rPr>
        <w:t xml:space="preserve"> plāna</w:t>
      </w:r>
      <w:r w:rsidRPr="00BB4CFF">
        <w:rPr>
          <w:rFonts w:eastAsia="Calibri"/>
        </w:rPr>
        <w:t xml:space="preserve"> ieviešanas un nacionālā ekonomikas </w:t>
      </w:r>
      <w:r w:rsidR="00575E64" w:rsidRPr="00575E64">
        <w:rPr>
          <w:rFonts w:eastAsia="Calibri"/>
        </w:rPr>
        <w:t>Atveseļošanas fonda</w:t>
      </w:r>
      <w:r w:rsidRPr="0000441D">
        <w:rPr>
          <w:rFonts w:eastAsia="Calibri"/>
        </w:rPr>
        <w:t xml:space="preserve"> plāna</w:t>
      </w:r>
      <w:r w:rsidRPr="00BB4CFF">
        <w:rPr>
          <w:rFonts w:eastAsia="Calibri"/>
        </w:rPr>
        <w:t xml:space="preserve"> īstenošanas un uzraudzības kārtību un KPVIS</w:t>
      </w:r>
      <w:r w:rsidR="00DA0AB9">
        <w:rPr>
          <w:rStyle w:val="FootnoteReference"/>
          <w:rFonts w:eastAsia="Calibri"/>
        </w:rPr>
        <w:footnoteReference w:id="9"/>
      </w:r>
      <w:r w:rsidRPr="00BB4CFF">
        <w:rPr>
          <w:rFonts w:eastAsia="Calibri"/>
        </w:rPr>
        <w:t xml:space="preserve"> izmantošanas kārtību, kā arī šā mehānisma ieviešanā iesaistīto institūciju tiesības pieprasīt un saņemt tiešu pieeju datiem valsts informācijas sistēmās tādā apjomā, kāds nepieciešams un kādā to paredz MK attiecīgo pienākumu izpildei. </w:t>
      </w:r>
    </w:p>
    <w:p w14:paraId="140BFF1B" w14:textId="77777777" w:rsidR="00BF08C8" w:rsidRDefault="00BF08C8" w:rsidP="00285B56">
      <w:pPr>
        <w:tabs>
          <w:tab w:val="left" w:pos="2175"/>
        </w:tabs>
        <w:spacing w:after="0" w:line="276" w:lineRule="auto"/>
        <w:ind w:left="-76"/>
        <w:jc w:val="both"/>
        <w:rPr>
          <w:rFonts w:eastAsia="Calibri" w:cs="DokChampa"/>
          <w:sz w:val="23"/>
          <w:szCs w:val="23"/>
        </w:rPr>
      </w:pPr>
    </w:p>
    <w:p w14:paraId="0D61A58A" w14:textId="751A0F2E" w:rsidR="002943E0" w:rsidRPr="00653F62" w:rsidRDefault="00575E64" w:rsidP="002943E0">
      <w:pPr>
        <w:spacing w:after="0" w:line="276" w:lineRule="auto"/>
        <w:ind w:firstLine="709"/>
        <w:jc w:val="both"/>
      </w:pPr>
      <w:r w:rsidRPr="00575E64">
        <w:rPr>
          <w:rFonts w:eastAsia="Calibri" w:cs="DokChampa"/>
          <w:sz w:val="23"/>
          <w:szCs w:val="23"/>
        </w:rPr>
        <w:t>Atveseļošanas fonda</w:t>
      </w:r>
      <w:r w:rsidR="007E046A">
        <w:rPr>
          <w:rFonts w:eastAsia="Calibri"/>
        </w:rPr>
        <w:t xml:space="preserve"> </w:t>
      </w:r>
      <w:r w:rsidR="00682AF3" w:rsidRPr="00682AF3">
        <w:rPr>
          <w:rFonts w:eastAsia="Calibri"/>
        </w:rPr>
        <w:t>plāna</w:t>
      </w:r>
      <w:r w:rsidR="00001DE4" w:rsidRPr="00001DE4">
        <w:rPr>
          <w:rFonts w:eastAsia="Calibri"/>
        </w:rPr>
        <w:t xml:space="preserve"> īstenošanas process </w:t>
      </w:r>
      <w:r w:rsidR="002443EF">
        <w:rPr>
          <w:rFonts w:eastAsia="Calibri"/>
        </w:rPr>
        <w:t xml:space="preserve">Latvijā </w:t>
      </w:r>
      <w:r w:rsidR="00001DE4" w:rsidRPr="00001DE4">
        <w:rPr>
          <w:rFonts w:eastAsia="Calibri"/>
        </w:rPr>
        <w:t xml:space="preserve">pamatā tiks </w:t>
      </w:r>
      <w:r w:rsidR="00AC7ABA">
        <w:rPr>
          <w:rFonts w:eastAsia="Calibri"/>
        </w:rPr>
        <w:t>balstīts</w:t>
      </w:r>
      <w:r w:rsidR="005601AA">
        <w:rPr>
          <w:rFonts w:eastAsia="Calibri"/>
        </w:rPr>
        <w:t>, pielāgojot</w:t>
      </w:r>
      <w:r w:rsidR="00AC7ABA" w:rsidRPr="00001DE4">
        <w:rPr>
          <w:rFonts w:eastAsia="Calibri"/>
        </w:rPr>
        <w:t xml:space="preserve"> </w:t>
      </w:r>
      <w:r w:rsidR="00001DE4" w:rsidRPr="00001DE4">
        <w:rPr>
          <w:rFonts w:eastAsia="Calibri"/>
        </w:rPr>
        <w:t xml:space="preserve">esošās ES fondu </w:t>
      </w:r>
      <w:r w:rsidR="00E942D5">
        <w:rPr>
          <w:rFonts w:eastAsia="Calibri"/>
        </w:rPr>
        <w:t>14-20</w:t>
      </w:r>
      <w:r w:rsidR="00001DE4" w:rsidRPr="00001DE4">
        <w:rPr>
          <w:rFonts w:eastAsia="Calibri"/>
        </w:rPr>
        <w:t xml:space="preserve"> vadības un kontroles sistēmas </w:t>
      </w:r>
      <w:r w:rsidR="00677D04">
        <w:rPr>
          <w:rFonts w:eastAsia="Calibri"/>
        </w:rPr>
        <w:t>(turpmāk – VKS)</w:t>
      </w:r>
      <w:r w:rsidR="005601AA" w:rsidRPr="005601AA">
        <w:rPr>
          <w:rStyle w:val="FootnoteReference"/>
          <w:rFonts w:eastAsia="Calibri"/>
        </w:rPr>
        <w:t xml:space="preserve"> </w:t>
      </w:r>
      <w:r w:rsidR="005601AA">
        <w:rPr>
          <w:rStyle w:val="FootnoteReference"/>
          <w:rFonts w:eastAsia="Calibri"/>
        </w:rPr>
        <w:footnoteReference w:id="10"/>
      </w:r>
      <w:r w:rsidR="00677D04">
        <w:rPr>
          <w:rFonts w:eastAsia="Calibri"/>
        </w:rPr>
        <w:t xml:space="preserve"> </w:t>
      </w:r>
      <w:r w:rsidR="005601AA">
        <w:rPr>
          <w:rFonts w:eastAsia="Calibri"/>
        </w:rPr>
        <w:t>elementus</w:t>
      </w:r>
      <w:r w:rsidR="00001DE4" w:rsidRPr="00001DE4">
        <w:rPr>
          <w:rFonts w:eastAsia="Calibri"/>
        </w:rPr>
        <w:t xml:space="preserve">, </w:t>
      </w:r>
      <w:r w:rsidR="00360CA8">
        <w:rPr>
          <w:rFonts w:eastAsia="Calibri"/>
        </w:rPr>
        <w:t xml:space="preserve">atbilstoši Regulā noteiktajām prasībām un </w:t>
      </w:r>
      <w:r w:rsidR="005601AA">
        <w:rPr>
          <w:rFonts w:eastAsia="Calibri"/>
        </w:rPr>
        <w:t xml:space="preserve">īstenošanas </w:t>
      </w:r>
      <w:r w:rsidR="00360CA8">
        <w:rPr>
          <w:rFonts w:eastAsia="Calibri"/>
        </w:rPr>
        <w:t>specifikai</w:t>
      </w:r>
      <w:r w:rsidR="00773863">
        <w:rPr>
          <w:rFonts w:eastAsia="Calibri"/>
        </w:rPr>
        <w:t xml:space="preserve">. </w:t>
      </w:r>
      <w:r w:rsidR="005601AA">
        <w:rPr>
          <w:rFonts w:eastAsia="Calibri"/>
        </w:rPr>
        <w:t xml:space="preserve">Attiecīgi, lai neradītu </w:t>
      </w:r>
      <w:r w:rsidR="0096145D">
        <w:rPr>
          <w:rFonts w:eastAsia="Calibri"/>
        </w:rPr>
        <w:t xml:space="preserve">pilnīgi </w:t>
      </w:r>
      <w:r w:rsidR="005601AA">
        <w:rPr>
          <w:rFonts w:eastAsia="Calibri"/>
        </w:rPr>
        <w:t>jaunu sistēmu</w:t>
      </w:r>
      <w:r w:rsidR="00842D09">
        <w:rPr>
          <w:rFonts w:eastAsia="Calibri"/>
        </w:rPr>
        <w:t xml:space="preserve"> un </w:t>
      </w:r>
      <w:r w:rsidR="005601AA">
        <w:rPr>
          <w:rFonts w:eastAsia="Calibri"/>
        </w:rPr>
        <w:t>ieviešanas mehānismus</w:t>
      </w:r>
      <w:r w:rsidR="0096145D">
        <w:rPr>
          <w:rFonts w:eastAsia="Calibri"/>
        </w:rPr>
        <w:t>,</w:t>
      </w:r>
      <w:r w:rsidR="005601AA">
        <w:rPr>
          <w:rFonts w:eastAsia="Calibri"/>
        </w:rPr>
        <w:t xml:space="preserve"> un jaunus nacionālos noteikumus, kur tas nav nepieciešams, </w:t>
      </w:r>
      <w:r w:rsidRPr="00575E64">
        <w:rPr>
          <w:rFonts w:eastAsia="Calibri"/>
        </w:rPr>
        <w:t>Atveseļošanas fonda</w:t>
      </w:r>
      <w:r w:rsidR="00AC7ABA">
        <w:rPr>
          <w:rFonts w:eastAsia="Calibri"/>
        </w:rPr>
        <w:t xml:space="preserve"> </w:t>
      </w:r>
      <w:r w:rsidR="005601AA">
        <w:rPr>
          <w:rFonts w:eastAsia="Calibri"/>
        </w:rPr>
        <w:t xml:space="preserve">ieviešanā pēc iespējas </w:t>
      </w:r>
      <w:r w:rsidR="00773863">
        <w:rPr>
          <w:rFonts w:eastAsia="Calibri"/>
        </w:rPr>
        <w:t xml:space="preserve">tiks </w:t>
      </w:r>
      <w:r w:rsidR="005601AA">
        <w:rPr>
          <w:rFonts w:eastAsia="Calibri"/>
        </w:rPr>
        <w:t>izmantots horizontālais</w:t>
      </w:r>
      <w:r w:rsidR="00842D09">
        <w:rPr>
          <w:rFonts w:eastAsia="Calibri"/>
        </w:rPr>
        <w:t>,</w:t>
      </w:r>
      <w:r w:rsidR="005601AA">
        <w:rPr>
          <w:rFonts w:eastAsia="Calibri"/>
        </w:rPr>
        <w:t xml:space="preserve"> jau spēkā esošais regulējums,</w:t>
      </w:r>
      <w:r w:rsidR="00B644DD">
        <w:rPr>
          <w:rFonts w:eastAsia="Calibri"/>
        </w:rPr>
        <w:t xml:space="preserve"> tai skaitā</w:t>
      </w:r>
      <w:r w:rsidR="005601AA">
        <w:rPr>
          <w:rFonts w:eastAsia="Calibri"/>
        </w:rPr>
        <w:t xml:space="preserve"> </w:t>
      </w:r>
      <w:r w:rsidR="00C22811">
        <w:rPr>
          <w:rFonts w:eastAsia="Calibri"/>
        </w:rPr>
        <w:t xml:space="preserve">attiecībā uz </w:t>
      </w:r>
      <w:r w:rsidR="00773863">
        <w:rPr>
          <w:rFonts w:eastAsia="Calibri"/>
        </w:rPr>
        <w:t>nacionāl</w:t>
      </w:r>
      <w:r w:rsidR="00C22811">
        <w:rPr>
          <w:rFonts w:eastAsia="Calibri"/>
        </w:rPr>
        <w:t>o</w:t>
      </w:r>
      <w:r w:rsidR="00773863">
        <w:rPr>
          <w:rFonts w:eastAsia="Calibri"/>
        </w:rPr>
        <w:t xml:space="preserve"> </w:t>
      </w:r>
      <w:r w:rsidR="00C22811">
        <w:rPr>
          <w:rFonts w:eastAsia="Calibri"/>
        </w:rPr>
        <w:t>publisko resursu izmantošanas un efektīvas pārvaldības</w:t>
      </w:r>
      <w:r w:rsidR="00A13943">
        <w:rPr>
          <w:rFonts w:eastAsia="Calibri"/>
        </w:rPr>
        <w:t xml:space="preserve"> principiem</w:t>
      </w:r>
      <w:r w:rsidR="00C22811">
        <w:rPr>
          <w:rFonts w:eastAsia="Calibri"/>
        </w:rPr>
        <w:t xml:space="preserve">, </w:t>
      </w:r>
      <w:r w:rsidR="00B644DD">
        <w:rPr>
          <w:rFonts w:eastAsia="Calibri"/>
        </w:rPr>
        <w:t>kā arī</w:t>
      </w:r>
      <w:r w:rsidR="00C22811">
        <w:rPr>
          <w:rFonts w:eastAsia="Calibri"/>
        </w:rPr>
        <w:t xml:space="preserve"> </w:t>
      </w:r>
      <w:r w:rsidR="00A13943">
        <w:rPr>
          <w:rFonts w:eastAsia="Calibri"/>
        </w:rPr>
        <w:t xml:space="preserve">balstoties uz valsts </w:t>
      </w:r>
      <w:r w:rsidR="00773863">
        <w:rPr>
          <w:rFonts w:eastAsia="Calibri"/>
        </w:rPr>
        <w:t>budžeta sistēm</w:t>
      </w:r>
      <w:r w:rsidR="00C22811">
        <w:rPr>
          <w:rFonts w:eastAsia="Calibri"/>
        </w:rPr>
        <w:t>u</w:t>
      </w:r>
      <w:r w:rsidR="005601AA">
        <w:rPr>
          <w:rFonts w:eastAsia="Calibri"/>
        </w:rPr>
        <w:t xml:space="preserve"> </w:t>
      </w:r>
      <w:r w:rsidR="00773863">
        <w:rPr>
          <w:rFonts w:eastAsia="Calibri"/>
        </w:rPr>
        <w:t xml:space="preserve">un </w:t>
      </w:r>
      <w:r w:rsidR="00367066">
        <w:rPr>
          <w:rFonts w:eastAsia="Calibri"/>
        </w:rPr>
        <w:t>paļaujoties</w:t>
      </w:r>
      <w:r w:rsidR="005F3226">
        <w:rPr>
          <w:rFonts w:eastAsia="Calibri"/>
        </w:rPr>
        <w:t xml:space="preserve"> uz </w:t>
      </w:r>
      <w:r w:rsidR="00A13943">
        <w:rPr>
          <w:rFonts w:eastAsia="Calibri"/>
        </w:rPr>
        <w:t>institūciju</w:t>
      </w:r>
      <w:r w:rsidR="004844E5">
        <w:rPr>
          <w:rFonts w:eastAsia="Calibri"/>
        </w:rPr>
        <w:t xml:space="preserve"> </w:t>
      </w:r>
      <w:r w:rsidR="00C41D8A">
        <w:rPr>
          <w:rFonts w:eastAsia="Calibri"/>
        </w:rPr>
        <w:t xml:space="preserve">esošo </w:t>
      </w:r>
      <w:r w:rsidR="004844E5">
        <w:rPr>
          <w:rFonts w:eastAsia="Calibri"/>
        </w:rPr>
        <w:t>kompetenci to</w:t>
      </w:r>
      <w:r w:rsidR="00773863">
        <w:rPr>
          <w:rFonts w:eastAsia="Calibri"/>
        </w:rPr>
        <w:t xml:space="preserve"> pamatfunkciju </w:t>
      </w:r>
      <w:r w:rsidR="004844E5">
        <w:rPr>
          <w:rFonts w:eastAsia="Calibri"/>
        </w:rPr>
        <w:t>nodrošināšanā</w:t>
      </w:r>
      <w:r w:rsidR="00C41D8A">
        <w:rPr>
          <w:rFonts w:eastAsia="Calibri"/>
        </w:rPr>
        <w:t xml:space="preserve">. Tikai par atsevišķiem </w:t>
      </w:r>
      <w:r w:rsidRPr="00575E64">
        <w:rPr>
          <w:rFonts w:eastAsia="Calibri"/>
        </w:rPr>
        <w:t>Atveseļošanas fonda</w:t>
      </w:r>
      <w:r w:rsidR="00C41D8A">
        <w:rPr>
          <w:rFonts w:eastAsia="Calibri"/>
        </w:rPr>
        <w:t xml:space="preserve"> ieviešanas elementiem un </w:t>
      </w:r>
      <w:r w:rsidR="005F3226">
        <w:rPr>
          <w:rFonts w:eastAsia="Calibri"/>
        </w:rPr>
        <w:t>atbildības jom</w:t>
      </w:r>
      <w:r w:rsidR="00C41D8A">
        <w:rPr>
          <w:rFonts w:eastAsia="Calibri"/>
        </w:rPr>
        <w:t xml:space="preserve">ām paredzēts noteikt </w:t>
      </w:r>
      <w:r w:rsidR="00CB13F6">
        <w:rPr>
          <w:rFonts w:eastAsia="Calibri"/>
        </w:rPr>
        <w:t xml:space="preserve">kārtību, </w:t>
      </w:r>
      <w:r w:rsidR="00773863">
        <w:rPr>
          <w:rFonts w:eastAsia="Calibri"/>
        </w:rPr>
        <w:t xml:space="preserve">papildinot </w:t>
      </w:r>
      <w:r w:rsidR="005F3226">
        <w:rPr>
          <w:rFonts w:eastAsia="Calibri"/>
        </w:rPr>
        <w:t xml:space="preserve">uzraudzības procesu ar </w:t>
      </w:r>
      <w:r w:rsidR="004844E5">
        <w:rPr>
          <w:rFonts w:eastAsia="Calibri"/>
        </w:rPr>
        <w:t xml:space="preserve">tiem </w:t>
      </w:r>
      <w:r w:rsidR="005F3226">
        <w:rPr>
          <w:rFonts w:eastAsia="Calibri"/>
        </w:rPr>
        <w:t>papildus uzraudzības mehānismiem,</w:t>
      </w:r>
      <w:r w:rsidR="004844E5">
        <w:rPr>
          <w:rFonts w:eastAsia="Calibri"/>
        </w:rPr>
        <w:t xml:space="preserve"> kas ir specifiski </w:t>
      </w:r>
      <w:r w:rsidR="009674FF">
        <w:rPr>
          <w:rFonts w:eastAsia="Calibri"/>
        </w:rPr>
        <w:t xml:space="preserve">un saskaņā ar </w:t>
      </w:r>
      <w:r w:rsidR="009674FF">
        <w:t xml:space="preserve">Regulu, </w:t>
      </w:r>
      <w:r w:rsidR="009674FF">
        <w:rPr>
          <w:rFonts w:eastAsia="Calibri"/>
        </w:rPr>
        <w:t xml:space="preserve">Regulas </w:t>
      </w:r>
      <w:r w:rsidR="009674FF">
        <w:rPr>
          <w:rFonts w:eastAsia="Calibri"/>
        </w:rPr>
        <w:lastRenderedPageBreak/>
        <w:t xml:space="preserve">deleģētajiem aktiem, </w:t>
      </w:r>
      <w:r w:rsidR="00EB1FF8" w:rsidRPr="00EB1FF8">
        <w:rPr>
          <w:rFonts w:eastAsia="Calibri"/>
        </w:rPr>
        <w:t>Atveseļošanas fonda</w:t>
      </w:r>
      <w:r w:rsidR="009674FF">
        <w:rPr>
          <w:rFonts w:eastAsia="Calibri"/>
        </w:rPr>
        <w:t xml:space="preserve"> finansēšanas līgumu</w:t>
      </w:r>
      <w:r w:rsidR="009674FF">
        <w:rPr>
          <w:rStyle w:val="FootnoteReference"/>
          <w:rFonts w:eastAsia="Calibri"/>
        </w:rPr>
        <w:footnoteReference w:id="11"/>
      </w:r>
      <w:r w:rsidR="009674FF">
        <w:rPr>
          <w:rFonts w:eastAsia="Calibri"/>
        </w:rPr>
        <w:t>, P</w:t>
      </w:r>
      <w:r w:rsidR="009674FF" w:rsidRPr="005C6ED3">
        <w:rPr>
          <w:rFonts w:eastAsia="Calibri"/>
        </w:rPr>
        <w:t xml:space="preserve">adomes </w:t>
      </w:r>
      <w:r w:rsidR="00F131BC">
        <w:rPr>
          <w:rFonts w:eastAsia="Calibri"/>
        </w:rPr>
        <w:t>Ī</w:t>
      </w:r>
      <w:r w:rsidR="009674FF" w:rsidRPr="005C6ED3">
        <w:rPr>
          <w:rFonts w:eastAsia="Calibri"/>
        </w:rPr>
        <w:t>stenošanas lēmum</w:t>
      </w:r>
      <w:r w:rsidR="009674FF">
        <w:rPr>
          <w:rFonts w:eastAsia="Calibri"/>
        </w:rPr>
        <w:t>u</w:t>
      </w:r>
      <w:r w:rsidR="009674FF">
        <w:rPr>
          <w:rStyle w:val="FootnoteReference"/>
          <w:rFonts w:eastAsia="Calibri"/>
        </w:rPr>
        <w:footnoteReference w:id="12"/>
      </w:r>
      <w:r w:rsidR="009674FF">
        <w:rPr>
          <w:rFonts w:eastAsia="Calibri"/>
        </w:rPr>
        <w:t xml:space="preserve"> un </w:t>
      </w:r>
      <w:r w:rsidR="009674FF" w:rsidRPr="00AA69B4">
        <w:rPr>
          <w:rFonts w:eastAsia="Calibri"/>
        </w:rPr>
        <w:t>norādījum</w:t>
      </w:r>
      <w:r w:rsidR="009674FF">
        <w:rPr>
          <w:rFonts w:eastAsia="Calibri"/>
        </w:rPr>
        <w:t>iem</w:t>
      </w:r>
      <w:r w:rsidR="009674FF" w:rsidRPr="00AA69B4">
        <w:rPr>
          <w:rFonts w:eastAsia="Calibri"/>
        </w:rPr>
        <w:t xml:space="preserve"> par vispārējo procesu</w:t>
      </w:r>
      <w:r w:rsidR="009674FF">
        <w:rPr>
          <w:rStyle w:val="FootnoteReference"/>
          <w:rFonts w:eastAsia="Calibri"/>
        </w:rPr>
        <w:footnoteReference w:id="13"/>
      </w:r>
      <w:r w:rsidR="009674FF">
        <w:rPr>
          <w:rFonts w:eastAsia="Calibri"/>
        </w:rPr>
        <w:t xml:space="preserve">, </w:t>
      </w:r>
      <w:r w:rsidR="009674FF" w:rsidRPr="00CF2A15">
        <w:t xml:space="preserve">kura rezultātā </w:t>
      </w:r>
      <w:r w:rsidR="009674FF">
        <w:t xml:space="preserve">EK </w:t>
      </w:r>
      <w:r w:rsidR="009674FF" w:rsidRPr="00CF2A15">
        <w:t>tiek iesniegti maksājumu pieprasījumi</w:t>
      </w:r>
      <w:r w:rsidR="009674FF">
        <w:t>. Minētajos EK dokumentos ietvertās saistošās detālās prasības</w:t>
      </w:r>
      <w:r w:rsidR="00CB13F6">
        <w:rPr>
          <w:rFonts w:eastAsia="Calibri"/>
        </w:rPr>
        <w:t xml:space="preserve"> </w:t>
      </w:r>
      <w:r w:rsidR="00C472F7">
        <w:rPr>
          <w:rFonts w:eastAsia="Calibri"/>
        </w:rPr>
        <w:t xml:space="preserve">attiecībā uz </w:t>
      </w:r>
      <w:r w:rsidR="005F3226">
        <w:rPr>
          <w:rFonts w:eastAsia="Calibri"/>
        </w:rPr>
        <w:t>datu apkopošanu, ziņošanu</w:t>
      </w:r>
      <w:r w:rsidR="00773863">
        <w:rPr>
          <w:rFonts w:eastAsia="Calibri"/>
        </w:rPr>
        <w:t xml:space="preserve"> </w:t>
      </w:r>
      <w:r w:rsidR="005F3226">
        <w:rPr>
          <w:rFonts w:eastAsia="Calibri"/>
        </w:rPr>
        <w:t>un ievadi IT sistēmā, kā arī sasniegto atskaites punktu un mērķu pamatojošās dokumentācijas apkop</w:t>
      </w:r>
      <w:r w:rsidR="00DC0FC1">
        <w:rPr>
          <w:rFonts w:eastAsia="Calibri"/>
        </w:rPr>
        <w:t>o</w:t>
      </w:r>
      <w:r w:rsidR="005F3226">
        <w:rPr>
          <w:rFonts w:eastAsia="Calibri"/>
        </w:rPr>
        <w:t>šanu</w:t>
      </w:r>
      <w:r w:rsidR="00AC7ABA">
        <w:rPr>
          <w:rFonts w:eastAsia="Calibri"/>
        </w:rPr>
        <w:t xml:space="preserve"> un pārbaudi</w:t>
      </w:r>
      <w:r w:rsidR="00C472F7">
        <w:rPr>
          <w:rFonts w:eastAsia="Calibri"/>
        </w:rPr>
        <w:t xml:space="preserve"> nozīmē, ka iestādēm </w:t>
      </w:r>
      <w:r w:rsidR="001A5624">
        <w:rPr>
          <w:rFonts w:eastAsia="Calibri"/>
        </w:rPr>
        <w:t>jāveic</w:t>
      </w:r>
      <w:r w:rsidR="005F3226">
        <w:rPr>
          <w:rFonts w:eastAsia="Calibri"/>
        </w:rPr>
        <w:t xml:space="preserve"> papildus</w:t>
      </w:r>
      <w:r w:rsidR="001A5624">
        <w:rPr>
          <w:rFonts w:eastAsia="Calibri"/>
        </w:rPr>
        <w:t xml:space="preserve"> funkcijas</w:t>
      </w:r>
      <w:r w:rsidR="00507A69">
        <w:rPr>
          <w:rFonts w:eastAsia="Calibri"/>
        </w:rPr>
        <w:t>, kuras</w:t>
      </w:r>
      <w:r w:rsidR="001A5624">
        <w:rPr>
          <w:rFonts w:eastAsia="Calibri"/>
        </w:rPr>
        <w:t xml:space="preserve"> </w:t>
      </w:r>
      <w:r w:rsidR="005F3226">
        <w:rPr>
          <w:rFonts w:eastAsia="Calibri"/>
        </w:rPr>
        <w:t>nacionāl</w:t>
      </w:r>
      <w:r w:rsidR="00507A69">
        <w:rPr>
          <w:rFonts w:eastAsia="Calibri"/>
        </w:rPr>
        <w:t>ā</w:t>
      </w:r>
      <w:r w:rsidR="005F3226">
        <w:rPr>
          <w:rFonts w:eastAsia="Calibri"/>
        </w:rPr>
        <w:t xml:space="preserve"> budžeta sistēm</w:t>
      </w:r>
      <w:r w:rsidR="00DC0FC1">
        <w:rPr>
          <w:rFonts w:eastAsia="Calibri"/>
        </w:rPr>
        <w:t>as</w:t>
      </w:r>
      <w:r w:rsidR="001A5624">
        <w:rPr>
          <w:rFonts w:eastAsia="Calibri"/>
        </w:rPr>
        <w:t xml:space="preserve"> </w:t>
      </w:r>
      <w:r w:rsidR="00507A69">
        <w:rPr>
          <w:rFonts w:eastAsia="Calibri"/>
        </w:rPr>
        <w:t xml:space="preserve">ietvaros netiek </w:t>
      </w:r>
      <w:r w:rsidR="001A5624">
        <w:rPr>
          <w:rFonts w:eastAsia="Calibri"/>
        </w:rPr>
        <w:t>paredzēt</w:t>
      </w:r>
      <w:r w:rsidR="00BF7B09">
        <w:rPr>
          <w:rFonts w:eastAsia="Calibri"/>
        </w:rPr>
        <w:t>a</w:t>
      </w:r>
      <w:r w:rsidR="001A5624">
        <w:rPr>
          <w:rFonts w:eastAsia="Calibri"/>
        </w:rPr>
        <w:t>s</w:t>
      </w:r>
      <w:r w:rsidR="00C472F7">
        <w:rPr>
          <w:rFonts w:eastAsia="Calibri"/>
        </w:rPr>
        <w:t>.</w:t>
      </w:r>
      <w:r w:rsidR="0017760D">
        <w:rPr>
          <w:rFonts w:eastAsia="Calibri"/>
        </w:rPr>
        <w:t xml:space="preserve"> </w:t>
      </w:r>
      <w:r w:rsidR="00174A02">
        <w:rPr>
          <w:rFonts w:eastAsia="Calibri"/>
        </w:rPr>
        <w:t>Attiecīgi arī tiek</w:t>
      </w:r>
      <w:r w:rsidR="00DC0FC1">
        <w:rPr>
          <w:rFonts w:eastAsia="Calibri"/>
        </w:rPr>
        <w:t xml:space="preserve"> </w:t>
      </w:r>
      <w:r w:rsidR="00887BDE">
        <w:rPr>
          <w:rFonts w:eastAsia="Calibri"/>
        </w:rPr>
        <w:t xml:space="preserve">pielāgots </w:t>
      </w:r>
      <w:r w:rsidR="00CC0EFB" w:rsidRPr="00CC0EFB">
        <w:rPr>
          <w:rFonts w:eastAsia="Calibri"/>
        </w:rPr>
        <w:t>kopēj</w:t>
      </w:r>
      <w:r w:rsidR="00DC0FC1">
        <w:rPr>
          <w:rFonts w:eastAsia="Calibri"/>
        </w:rPr>
        <w:t>ā</w:t>
      </w:r>
      <w:r w:rsidR="00CC0EFB" w:rsidRPr="00CC0EFB">
        <w:rPr>
          <w:rFonts w:eastAsia="Calibri"/>
        </w:rPr>
        <w:t xml:space="preserve"> kontroļu apjom</w:t>
      </w:r>
      <w:r w:rsidR="00DC0FC1">
        <w:rPr>
          <w:rFonts w:eastAsia="Calibri"/>
        </w:rPr>
        <w:t>a</w:t>
      </w:r>
      <w:r w:rsidR="00CC0EFB" w:rsidRPr="00CC0EFB">
        <w:rPr>
          <w:rFonts w:eastAsia="Calibri"/>
        </w:rPr>
        <w:t xml:space="preserve"> un slog</w:t>
      </w:r>
      <w:r w:rsidR="00DC0FC1">
        <w:rPr>
          <w:rFonts w:eastAsia="Calibri"/>
        </w:rPr>
        <w:t xml:space="preserve">a tvērums </w:t>
      </w:r>
      <w:r w:rsidR="00EB1FF8" w:rsidRPr="00EB1FF8">
        <w:rPr>
          <w:rFonts w:eastAsia="Calibri"/>
        </w:rPr>
        <w:t>Atveseļošanas fonda</w:t>
      </w:r>
      <w:r w:rsidR="0083430E" w:rsidRPr="0083430E">
        <w:rPr>
          <w:rFonts w:eastAsia="Calibri"/>
        </w:rPr>
        <w:t xml:space="preserve"> plāna</w:t>
      </w:r>
      <w:r w:rsidR="00887BDE">
        <w:rPr>
          <w:rFonts w:eastAsia="Calibri"/>
        </w:rPr>
        <w:t xml:space="preserve"> ieviešanai, </w:t>
      </w:r>
      <w:r w:rsidR="00CC0EFB" w:rsidRPr="00CC0EFB">
        <w:rPr>
          <w:rFonts w:eastAsia="Calibri"/>
        </w:rPr>
        <w:t>fokus</w:t>
      </w:r>
      <w:r w:rsidR="00887BDE">
        <w:rPr>
          <w:rFonts w:eastAsia="Calibri"/>
        </w:rPr>
        <w:t xml:space="preserve">ējoties </w:t>
      </w:r>
      <w:r w:rsidR="00CC0EFB" w:rsidRPr="00CC0EFB">
        <w:rPr>
          <w:rFonts w:eastAsia="Calibri"/>
        </w:rPr>
        <w:t>uz procesa</w:t>
      </w:r>
      <w:r w:rsidR="00122D99">
        <w:rPr>
          <w:rFonts w:eastAsia="Calibri"/>
        </w:rPr>
        <w:t>,</w:t>
      </w:r>
      <w:r w:rsidR="00DC0FC1">
        <w:rPr>
          <w:rFonts w:eastAsia="Calibri"/>
        </w:rPr>
        <w:t xml:space="preserve"> rezultātu,</w:t>
      </w:r>
      <w:r w:rsidR="00122D99">
        <w:rPr>
          <w:rFonts w:eastAsia="Calibri"/>
        </w:rPr>
        <w:t xml:space="preserve"> atskaites punktu</w:t>
      </w:r>
      <w:r w:rsidR="00CC0EFB" w:rsidRPr="00CC0EFB">
        <w:rPr>
          <w:rFonts w:eastAsia="Calibri"/>
        </w:rPr>
        <w:t xml:space="preserve"> un mērķu </w:t>
      </w:r>
      <w:r w:rsidR="008619E8">
        <w:rPr>
          <w:rFonts w:eastAsia="Calibri"/>
        </w:rPr>
        <w:t>sasniegšanas</w:t>
      </w:r>
      <w:r w:rsidR="008943CB">
        <w:rPr>
          <w:rFonts w:eastAsia="Calibri"/>
        </w:rPr>
        <w:t>,</w:t>
      </w:r>
      <w:r w:rsidR="008619E8">
        <w:rPr>
          <w:rFonts w:eastAsia="Calibri"/>
        </w:rPr>
        <w:t xml:space="preserve"> </w:t>
      </w:r>
      <w:r w:rsidR="00CC0EFB" w:rsidRPr="00CC0EFB">
        <w:rPr>
          <w:rFonts w:eastAsia="Calibri"/>
        </w:rPr>
        <w:t xml:space="preserve">dubultā finansējuma, interešu konflikta, korupcijas un krāpšanas </w:t>
      </w:r>
      <w:r w:rsidR="00CC0EFB" w:rsidRPr="00653F62">
        <w:rPr>
          <w:rFonts w:eastAsia="Calibri"/>
        </w:rPr>
        <w:t>risku</w:t>
      </w:r>
      <w:r w:rsidR="008619E8" w:rsidRPr="00653F62">
        <w:rPr>
          <w:rFonts w:eastAsia="Calibri"/>
        </w:rPr>
        <w:t xml:space="preserve"> kontrolēm</w:t>
      </w:r>
      <w:r w:rsidR="00696FAB" w:rsidRPr="00653F62">
        <w:rPr>
          <w:rFonts w:eastAsia="Calibri"/>
        </w:rPr>
        <w:t xml:space="preserve">, </w:t>
      </w:r>
      <w:r w:rsidR="009674FF" w:rsidRPr="00653F62">
        <w:rPr>
          <w:rFonts w:eastAsia="Calibri"/>
        </w:rPr>
        <w:t xml:space="preserve">pamatā </w:t>
      </w:r>
      <w:r w:rsidR="00696FAB" w:rsidRPr="00653F62">
        <w:rPr>
          <w:rFonts w:eastAsia="Calibri"/>
        </w:rPr>
        <w:t>izlases veidā balstoties uz risku novērtējumu</w:t>
      </w:r>
      <w:r w:rsidR="00001DE4" w:rsidRPr="00653F62">
        <w:rPr>
          <w:rFonts w:eastAsia="Calibri"/>
        </w:rPr>
        <w:t>.</w:t>
      </w:r>
      <w:r w:rsidR="00677D04" w:rsidRPr="00653F62">
        <w:rPr>
          <w:rFonts w:eastAsia="Calibri"/>
        </w:rPr>
        <w:t xml:space="preserve"> </w:t>
      </w:r>
      <w:r w:rsidR="00A44D28" w:rsidRPr="00653F62">
        <w:rPr>
          <w:rFonts w:eastAsia="Calibri"/>
        </w:rPr>
        <w:t xml:space="preserve">Lai nodrošinātu attiecīgo prasību ieviešanu nacionāli, </w:t>
      </w:r>
      <w:bookmarkStart w:id="3" w:name="_Hlk73366268"/>
      <w:r w:rsidR="002943E0" w:rsidRPr="00653F62">
        <w:t xml:space="preserve">detalizēta ieviešanas un uzraudzības kārtība, kā arī iestāžu lomu un funkciju sadalījums tiks noteikts </w:t>
      </w:r>
      <w:r w:rsidR="006B0416" w:rsidRPr="00653F62">
        <w:t>MK</w:t>
      </w:r>
      <w:r w:rsidR="002943E0" w:rsidRPr="00653F62">
        <w:t xml:space="preserve"> noteikumos “</w:t>
      </w:r>
      <w:r w:rsidR="00CF33DA" w:rsidRPr="00653F62">
        <w:t>Eiropas Savienības Atveseļošanas un noturības mehānisma plāna īstenošanas un uzraudzības kārtība</w:t>
      </w:r>
      <w:r w:rsidR="002943E0" w:rsidRPr="00653F62">
        <w:t>”</w:t>
      </w:r>
      <w:r w:rsidR="004639C8" w:rsidRPr="00653F62">
        <w:t xml:space="preserve"> (turpmāk - MK noteikumi)</w:t>
      </w:r>
      <w:r w:rsidR="002943E0" w:rsidRPr="00653F62">
        <w:t xml:space="preserve">, kuru projekts tiek virzīts apstiprināšanai </w:t>
      </w:r>
      <w:r w:rsidR="006B0416" w:rsidRPr="00653F62">
        <w:t>MK</w:t>
      </w:r>
      <w:r w:rsidR="002943E0" w:rsidRPr="00653F62">
        <w:t xml:space="preserve"> vienlaikus ar šo </w:t>
      </w:r>
      <w:r w:rsidR="006B0416" w:rsidRPr="00653F62">
        <w:t xml:space="preserve">informatīvo </w:t>
      </w:r>
      <w:r w:rsidR="002943E0" w:rsidRPr="00653F62">
        <w:t>ziņojumu.</w:t>
      </w:r>
    </w:p>
    <w:p w14:paraId="437337B6" w14:textId="62C43586" w:rsidR="00E158E8" w:rsidRDefault="00A44D28" w:rsidP="00E158E8">
      <w:pPr>
        <w:suppressAutoHyphens/>
        <w:autoSpaceDN w:val="0"/>
        <w:spacing w:after="0" w:line="276" w:lineRule="auto"/>
        <w:ind w:firstLine="720"/>
        <w:jc w:val="both"/>
        <w:textAlignment w:val="baseline"/>
        <w:rPr>
          <w:rFonts w:eastAsia="Calibri"/>
        </w:rPr>
      </w:pPr>
      <w:r w:rsidRPr="00653F62">
        <w:rPr>
          <w:rFonts w:eastAsia="Calibri"/>
        </w:rPr>
        <w:t xml:space="preserve">MK ar </w:t>
      </w:r>
      <w:r w:rsidR="002943E0" w:rsidRPr="00653F62">
        <w:rPr>
          <w:rFonts w:eastAsia="Calibri"/>
        </w:rPr>
        <w:t xml:space="preserve">šiem </w:t>
      </w:r>
      <w:r w:rsidR="004F2132" w:rsidRPr="00653F62">
        <w:rPr>
          <w:rFonts w:eastAsia="Calibri"/>
        </w:rPr>
        <w:t>noteikumi</w:t>
      </w:r>
      <w:r w:rsidR="00317B6B" w:rsidRPr="00653F62">
        <w:rPr>
          <w:rFonts w:eastAsia="Calibri"/>
        </w:rPr>
        <w:t>em</w:t>
      </w:r>
      <w:r w:rsidR="004F2132" w:rsidRPr="00653F62">
        <w:rPr>
          <w:rFonts w:eastAsia="Calibri"/>
        </w:rPr>
        <w:t xml:space="preserve"> </w:t>
      </w:r>
      <w:bookmarkEnd w:id="3"/>
      <w:r w:rsidR="00E27EDD" w:rsidRPr="00653F62">
        <w:rPr>
          <w:rFonts w:eastAsia="Calibri"/>
        </w:rPr>
        <w:t>noteiks</w:t>
      </w:r>
      <w:r w:rsidRPr="00653F62">
        <w:rPr>
          <w:rFonts w:eastAsia="Calibri"/>
        </w:rPr>
        <w:t xml:space="preserve"> FM </w:t>
      </w:r>
      <w:r w:rsidR="00E27EDD" w:rsidRPr="00653F62">
        <w:rPr>
          <w:rFonts w:eastAsia="Calibri"/>
        </w:rPr>
        <w:t>kā atbildīgo</w:t>
      </w:r>
      <w:r w:rsidR="00AF7BDD" w:rsidRPr="00653F62">
        <w:rPr>
          <w:rFonts w:eastAsia="Calibri"/>
        </w:rPr>
        <w:t>, kas nodrošina</w:t>
      </w:r>
      <w:r w:rsidR="00E27EDD" w:rsidRPr="00653F62">
        <w:rPr>
          <w:rFonts w:eastAsia="Calibri"/>
        </w:rPr>
        <w:t xml:space="preserve"> </w:t>
      </w:r>
      <w:r w:rsidRPr="00653F62">
        <w:rPr>
          <w:rFonts w:eastAsia="Calibri"/>
        </w:rPr>
        <w:t>koordin</w:t>
      </w:r>
      <w:r w:rsidR="00367906" w:rsidRPr="00653F62">
        <w:rPr>
          <w:rFonts w:eastAsia="Calibri"/>
        </w:rPr>
        <w:t>a</w:t>
      </w:r>
      <w:r w:rsidRPr="00653F62">
        <w:rPr>
          <w:rFonts w:eastAsia="Calibri"/>
        </w:rPr>
        <w:t>tora un revīzijas</w:t>
      </w:r>
      <w:r w:rsidR="00505E70" w:rsidRPr="00653F62">
        <w:rPr>
          <w:rFonts w:eastAsia="Calibri"/>
        </w:rPr>
        <w:t xml:space="preserve"> iestādes </w:t>
      </w:r>
      <w:r w:rsidRPr="00653F62">
        <w:rPr>
          <w:rFonts w:eastAsia="Calibri"/>
        </w:rPr>
        <w:t>funkcij</w:t>
      </w:r>
      <w:r w:rsidR="00E27EDD" w:rsidRPr="00653F62">
        <w:rPr>
          <w:rFonts w:eastAsia="Calibri"/>
        </w:rPr>
        <w:t>u</w:t>
      </w:r>
      <w:r w:rsidR="00704418" w:rsidRPr="00653F62">
        <w:rPr>
          <w:rFonts w:eastAsia="Calibri"/>
        </w:rPr>
        <w:t>. N</w:t>
      </w:r>
      <w:r w:rsidR="00980854" w:rsidRPr="00653F62">
        <w:rPr>
          <w:rFonts w:eastAsia="Calibri"/>
        </w:rPr>
        <w:t>ozaru ministrij</w:t>
      </w:r>
      <w:r w:rsidR="008425C3" w:rsidRPr="00653F62">
        <w:rPr>
          <w:rFonts w:eastAsia="Calibri"/>
        </w:rPr>
        <w:t>ām</w:t>
      </w:r>
      <w:r w:rsidR="00980854" w:rsidRPr="00653F62">
        <w:rPr>
          <w:rFonts w:eastAsia="Calibri"/>
        </w:rPr>
        <w:t>, tai skaitā Valsts kancelejai</w:t>
      </w:r>
      <w:r w:rsidR="008424D6" w:rsidRPr="00653F62">
        <w:rPr>
          <w:rFonts w:eastAsia="Calibri"/>
        </w:rPr>
        <w:t xml:space="preserve"> (turpmāk – institūcijas)</w:t>
      </w:r>
      <w:r w:rsidR="008425C3" w:rsidRPr="00653F62">
        <w:rPr>
          <w:rFonts w:eastAsia="Calibri"/>
        </w:rPr>
        <w:t>,</w:t>
      </w:r>
      <w:r w:rsidR="00980854" w:rsidRPr="00653F62">
        <w:rPr>
          <w:rFonts w:eastAsia="Calibri"/>
        </w:rPr>
        <w:t xml:space="preserve"> tiks </w:t>
      </w:r>
      <w:r w:rsidR="00C0683B" w:rsidRPr="00653F62">
        <w:rPr>
          <w:rFonts w:eastAsia="Calibri"/>
        </w:rPr>
        <w:t xml:space="preserve">noteikts </w:t>
      </w:r>
      <w:r w:rsidR="00E27EDD" w:rsidRPr="00653F62">
        <w:rPr>
          <w:rFonts w:eastAsia="Calibri"/>
        </w:rPr>
        <w:t>būt</w:t>
      </w:r>
      <w:r w:rsidR="00797A19" w:rsidRPr="00653F62">
        <w:rPr>
          <w:rFonts w:eastAsia="Calibri"/>
        </w:rPr>
        <w:t xml:space="preserve"> </w:t>
      </w:r>
      <w:r w:rsidR="00E27EDD" w:rsidRPr="00653F62">
        <w:rPr>
          <w:rFonts w:eastAsia="Calibri"/>
        </w:rPr>
        <w:t>kā</w:t>
      </w:r>
      <w:r w:rsidR="00980854" w:rsidRPr="00653F62">
        <w:rPr>
          <w:rFonts w:eastAsia="Calibri"/>
        </w:rPr>
        <w:t xml:space="preserve"> atbildīgajiem</w:t>
      </w:r>
      <w:r w:rsidR="00AF7BDD" w:rsidRPr="00653F62">
        <w:rPr>
          <w:rFonts w:eastAsia="Calibri"/>
        </w:rPr>
        <w:t>, kas</w:t>
      </w:r>
      <w:r w:rsidR="00980854" w:rsidRPr="00653F62">
        <w:rPr>
          <w:rFonts w:eastAsia="Calibri"/>
        </w:rPr>
        <w:t xml:space="preserve"> </w:t>
      </w:r>
      <w:r w:rsidR="00AF7BDD" w:rsidRPr="00653F62">
        <w:rPr>
          <w:rFonts w:eastAsia="Calibri"/>
        </w:rPr>
        <w:t xml:space="preserve">nodrošina </w:t>
      </w:r>
      <w:r w:rsidR="009C468B" w:rsidRPr="00653F62">
        <w:rPr>
          <w:rFonts w:eastAsia="Calibri"/>
        </w:rPr>
        <w:t xml:space="preserve">un īsteno </w:t>
      </w:r>
      <w:r w:rsidR="000A4866" w:rsidRPr="00653F62">
        <w:rPr>
          <w:rFonts w:eastAsia="Calibri"/>
        </w:rPr>
        <w:t xml:space="preserve">savā pārraudzībā esošās </w:t>
      </w:r>
      <w:r w:rsidR="00980854" w:rsidRPr="00653F62">
        <w:rPr>
          <w:rFonts w:eastAsia="Calibri"/>
        </w:rPr>
        <w:t xml:space="preserve">reformas </w:t>
      </w:r>
      <w:r w:rsidR="00E92794" w:rsidRPr="00653F62">
        <w:rPr>
          <w:rFonts w:eastAsia="Calibri"/>
        </w:rPr>
        <w:t>un</w:t>
      </w:r>
      <w:r w:rsidR="00980854" w:rsidRPr="00653F62">
        <w:rPr>
          <w:rFonts w:eastAsia="Calibri"/>
        </w:rPr>
        <w:t xml:space="preserve"> investīcijas ieviešanu</w:t>
      </w:r>
      <w:r w:rsidR="00795FA7" w:rsidRPr="00653F62">
        <w:rPr>
          <w:rFonts w:eastAsia="Calibri"/>
        </w:rPr>
        <w:t>,</w:t>
      </w:r>
      <w:r w:rsidR="00795FA7" w:rsidRPr="00653F62">
        <w:t xml:space="preserve"> </w:t>
      </w:r>
      <w:r w:rsidR="002243CE" w:rsidRPr="00653F62">
        <w:rPr>
          <w:rFonts w:eastAsia="Calibri"/>
        </w:rPr>
        <w:t>to</w:t>
      </w:r>
      <w:r w:rsidR="00795FA7" w:rsidRPr="00653F62">
        <w:rPr>
          <w:rFonts w:eastAsia="Calibri"/>
        </w:rPr>
        <w:t xml:space="preserve"> atskaites punktu un mērķu sasniegšanu plānotajā laika grafikā</w:t>
      </w:r>
      <w:r w:rsidR="000B5382" w:rsidRPr="00653F62">
        <w:rPr>
          <w:rFonts w:eastAsia="Calibri"/>
        </w:rPr>
        <w:t>, ziņošanu par to progresu, kā arī attiecīgā maksājuma pieprasījuma un saistošo dokumentu un liecību par savā pārraudzībā esošām reformām un investīcijām sagatavošanu</w:t>
      </w:r>
      <w:r w:rsidR="00704418" w:rsidRPr="00653F62">
        <w:rPr>
          <w:rFonts w:eastAsia="Calibri"/>
        </w:rPr>
        <w:t>.</w:t>
      </w:r>
      <w:r w:rsidR="00980854" w:rsidRPr="00653F62">
        <w:rPr>
          <w:rFonts w:eastAsia="Calibri"/>
        </w:rPr>
        <w:t xml:space="preserve"> </w:t>
      </w:r>
      <w:bookmarkStart w:id="4" w:name="_Hlk79051970"/>
      <w:r w:rsidR="004D4DC3" w:rsidRPr="00653F62">
        <w:rPr>
          <w:rFonts w:eastAsia="Calibri"/>
        </w:rPr>
        <w:t xml:space="preserve">MK noteikumu mērķis ir noteikt katras institūcijas un tās pārziņā esošā resora atbildību par </w:t>
      </w:r>
      <w:r w:rsidR="00EB1FF8" w:rsidRPr="00653F62">
        <w:rPr>
          <w:rFonts w:eastAsia="Calibri"/>
        </w:rPr>
        <w:t>Atveseļošanas fonda</w:t>
      </w:r>
      <w:r w:rsidR="004D4DC3" w:rsidRPr="00653F62">
        <w:rPr>
          <w:rFonts w:eastAsia="Calibri"/>
        </w:rPr>
        <w:t xml:space="preserve"> plāna īstenošanas ietvaros veicamajiem pienākumiem resorā kopumā. </w:t>
      </w:r>
      <w:r w:rsidR="00DA2B65" w:rsidRPr="00653F62">
        <w:rPr>
          <w:rFonts w:eastAsia="Calibri"/>
        </w:rPr>
        <w:t>Nodrošina</w:t>
      </w:r>
      <w:r w:rsidR="004D4DC3" w:rsidRPr="00653F62">
        <w:rPr>
          <w:rFonts w:eastAsia="Calibri"/>
        </w:rPr>
        <w:t xml:space="preserve"> datu ticamību, komercdarbības atbalsta nosacījumu ievērošanu, iekšējās kontroles sistēmas izstrādi vai pilnveidi, tai skaitā </w:t>
      </w:r>
      <w:r w:rsidR="00DA2B65" w:rsidRPr="00653F62">
        <w:rPr>
          <w:rFonts w:eastAsia="Calibri"/>
        </w:rPr>
        <w:t>nodrošina</w:t>
      </w:r>
      <w:r w:rsidR="004D4DC3" w:rsidRPr="00653F62">
        <w:rPr>
          <w:rFonts w:eastAsia="Calibri"/>
        </w:rPr>
        <w:t xml:space="preserve"> </w:t>
      </w:r>
      <w:r w:rsidR="00EB1FF8" w:rsidRPr="00653F62">
        <w:rPr>
          <w:rFonts w:eastAsia="Calibri"/>
        </w:rPr>
        <w:t>Atveseļošanas fonda</w:t>
      </w:r>
      <w:r w:rsidR="004D4DC3" w:rsidRPr="00653F62">
        <w:rPr>
          <w:rFonts w:eastAsia="Calibri"/>
        </w:rPr>
        <w:t xml:space="preserve"> plān</w:t>
      </w:r>
      <w:r w:rsidR="00DA2B65" w:rsidRPr="00653F62">
        <w:rPr>
          <w:rFonts w:eastAsia="Calibri"/>
        </w:rPr>
        <w:t>ā</w:t>
      </w:r>
      <w:r w:rsidR="004D4DC3" w:rsidRPr="00653F62">
        <w:rPr>
          <w:rFonts w:eastAsia="Calibri"/>
        </w:rPr>
        <w:t xml:space="preserve"> ietvaros savā pārraudzībā esošo reformu un investīciju atskaites punktu un mērķu sasniegšanu</w:t>
      </w:r>
      <w:r w:rsidR="004D4DC3" w:rsidRPr="004D4DC3">
        <w:rPr>
          <w:rFonts w:eastAsia="Calibri"/>
        </w:rPr>
        <w:t xml:space="preserve">. Vienlaikus tiek noteikts, ka atbildīgā institūcija saglabā kopējo atbildību par tās pārziņā esošo </w:t>
      </w:r>
      <w:r w:rsidR="00EB1FF8" w:rsidRPr="00EB1FF8">
        <w:rPr>
          <w:rFonts w:eastAsia="Calibri"/>
        </w:rPr>
        <w:t>Atveseļošanas fonda</w:t>
      </w:r>
      <w:r w:rsidR="004D4DC3" w:rsidRPr="004D4DC3">
        <w:rPr>
          <w:rFonts w:eastAsia="Calibri"/>
        </w:rPr>
        <w:t xml:space="preserve"> plāna investīcijas un reformas, ja attiecināms, īstenošanu.</w:t>
      </w:r>
      <w:bookmarkEnd w:id="4"/>
      <w:r w:rsidR="00990198">
        <w:rPr>
          <w:rFonts w:eastAsia="Calibri"/>
        </w:rPr>
        <w:t xml:space="preserve"> </w:t>
      </w:r>
      <w:r w:rsidR="00205119">
        <w:rPr>
          <w:rFonts w:eastAsia="Calibri"/>
        </w:rPr>
        <w:t xml:space="preserve"> </w:t>
      </w:r>
    </w:p>
    <w:p w14:paraId="6C510F20" w14:textId="1FAA937E" w:rsidR="00861A4C" w:rsidRDefault="007E046A" w:rsidP="00B93A34">
      <w:pPr>
        <w:suppressAutoHyphens/>
        <w:autoSpaceDN w:val="0"/>
        <w:spacing w:after="0" w:line="276" w:lineRule="auto"/>
        <w:ind w:firstLine="720"/>
        <w:jc w:val="both"/>
        <w:textAlignment w:val="baseline"/>
        <w:rPr>
          <w:rFonts w:eastAsia="Calibri"/>
        </w:rPr>
      </w:pPr>
      <w:r>
        <w:rPr>
          <w:rFonts w:eastAsia="Calibri"/>
        </w:rPr>
        <w:t>Atveseļošanas fonda</w:t>
      </w:r>
      <w:r w:rsidRPr="00E03477">
        <w:rPr>
          <w:rFonts w:eastAsia="Calibri"/>
        </w:rPr>
        <w:t xml:space="preserve"> </w:t>
      </w:r>
      <w:r w:rsidR="00E03477" w:rsidRPr="00E03477">
        <w:rPr>
          <w:rFonts w:eastAsia="Calibri"/>
        </w:rPr>
        <w:t>plān</w:t>
      </w:r>
      <w:r w:rsidR="00E03477">
        <w:rPr>
          <w:rFonts w:eastAsia="Calibri"/>
        </w:rPr>
        <w:t>ā definēti</w:t>
      </w:r>
      <w:r w:rsidR="005206FA">
        <w:rPr>
          <w:rFonts w:eastAsia="Calibri"/>
        </w:rPr>
        <w:t xml:space="preserve"> un iekļauti</w:t>
      </w:r>
      <w:r w:rsidR="00E03477">
        <w:rPr>
          <w:rFonts w:eastAsia="Calibri"/>
        </w:rPr>
        <w:t xml:space="preserve"> ļoti dažādi reformu un investīciju atskaites punkti un mērķi</w:t>
      </w:r>
      <w:r w:rsidR="005206FA">
        <w:rPr>
          <w:rFonts w:eastAsia="Calibri"/>
        </w:rPr>
        <w:t xml:space="preserve">, līdz ar to </w:t>
      </w:r>
      <w:bookmarkStart w:id="5" w:name="_Hlk73368260"/>
      <w:r w:rsidR="008424D6">
        <w:rPr>
          <w:rFonts w:eastAsia="Calibri"/>
        </w:rPr>
        <w:t>institūcija</w:t>
      </w:r>
      <w:r w:rsidR="005206FA">
        <w:rPr>
          <w:rFonts w:eastAsia="Calibri"/>
        </w:rPr>
        <w:t xml:space="preserve"> </w:t>
      </w:r>
      <w:bookmarkEnd w:id="5"/>
      <w:r w:rsidR="005206FA">
        <w:rPr>
          <w:rFonts w:eastAsia="Calibri"/>
        </w:rPr>
        <w:t xml:space="preserve">kā </w:t>
      </w:r>
      <w:r w:rsidR="005206FA" w:rsidRPr="005206FA">
        <w:rPr>
          <w:rFonts w:eastAsia="Calibri"/>
        </w:rPr>
        <w:t>atbildīg</w:t>
      </w:r>
      <w:r w:rsidR="005206FA">
        <w:rPr>
          <w:rFonts w:eastAsia="Calibri"/>
        </w:rPr>
        <w:t>ā</w:t>
      </w:r>
      <w:r w:rsidR="005206FA" w:rsidRPr="005206FA">
        <w:rPr>
          <w:rFonts w:eastAsia="Calibri"/>
        </w:rPr>
        <w:t xml:space="preserve"> par savā pārraudzībā esoš</w:t>
      </w:r>
      <w:r w:rsidR="005206FA">
        <w:rPr>
          <w:rFonts w:eastAsia="Calibri"/>
        </w:rPr>
        <w:t>o</w:t>
      </w:r>
      <w:r w:rsidR="005206FA" w:rsidRPr="005206FA">
        <w:rPr>
          <w:rFonts w:eastAsia="Calibri"/>
        </w:rPr>
        <w:t xml:space="preserve"> </w:t>
      </w:r>
      <w:r w:rsidR="00EB1FF8" w:rsidRPr="00EB1FF8">
        <w:rPr>
          <w:rFonts w:eastAsia="Calibri"/>
        </w:rPr>
        <w:t>Atveseļošanas fonda</w:t>
      </w:r>
      <w:r w:rsidR="005206FA" w:rsidRPr="005206FA">
        <w:rPr>
          <w:rFonts w:eastAsia="Calibri"/>
        </w:rPr>
        <w:t xml:space="preserve"> plāna </w:t>
      </w:r>
      <w:r w:rsidR="00080FB9">
        <w:rPr>
          <w:rFonts w:eastAsia="Calibri"/>
        </w:rPr>
        <w:t>reformu un investīciju</w:t>
      </w:r>
      <w:r w:rsidR="005206FA">
        <w:rPr>
          <w:rFonts w:eastAsia="Calibri"/>
        </w:rPr>
        <w:t>,</w:t>
      </w:r>
      <w:r w:rsidR="00812D26">
        <w:rPr>
          <w:rFonts w:eastAsia="Calibri"/>
        </w:rPr>
        <w:t xml:space="preserve"> izstrādājot </w:t>
      </w:r>
      <w:r w:rsidR="00110C81">
        <w:rPr>
          <w:rFonts w:eastAsia="Calibri"/>
        </w:rPr>
        <w:t xml:space="preserve">īstenošanas </w:t>
      </w:r>
      <w:r w:rsidR="00E047DA">
        <w:rPr>
          <w:rFonts w:eastAsia="Calibri"/>
        </w:rPr>
        <w:t>MK</w:t>
      </w:r>
      <w:r w:rsidR="006A684D" w:rsidRPr="006A684D">
        <w:rPr>
          <w:rFonts w:eastAsia="Calibri"/>
        </w:rPr>
        <w:t xml:space="preserve"> noteikumus </w:t>
      </w:r>
      <w:r w:rsidR="00110C81">
        <w:rPr>
          <w:rFonts w:eastAsia="Calibri"/>
        </w:rPr>
        <w:t xml:space="preserve">vai informatīvo ziņojumu </w:t>
      </w:r>
      <w:r w:rsidR="006A684D" w:rsidRPr="006A684D">
        <w:rPr>
          <w:rFonts w:eastAsia="Calibri"/>
        </w:rPr>
        <w:t xml:space="preserve">par attiecīgā </w:t>
      </w:r>
      <w:r w:rsidR="00EB1FF8" w:rsidRPr="00EB1FF8">
        <w:rPr>
          <w:rFonts w:eastAsia="Calibri"/>
        </w:rPr>
        <w:t>Atveseļošanas fonda</w:t>
      </w:r>
      <w:r w:rsidR="006A684D" w:rsidRPr="006A684D">
        <w:rPr>
          <w:rFonts w:eastAsia="Calibri"/>
        </w:rPr>
        <w:t xml:space="preserve"> plāna reformas vai investīcijas mērķa īstenošanas kārtību</w:t>
      </w:r>
      <w:r w:rsidR="00812D26">
        <w:rPr>
          <w:rFonts w:eastAsia="Calibri"/>
        </w:rPr>
        <w:t xml:space="preserve">, </w:t>
      </w:r>
      <w:r w:rsidR="00812D26" w:rsidRPr="004639C8">
        <w:rPr>
          <w:rFonts w:eastAsia="Calibri"/>
        </w:rPr>
        <w:t xml:space="preserve">var </w:t>
      </w:r>
      <w:r w:rsidR="00507A69" w:rsidRPr="004639C8">
        <w:rPr>
          <w:rFonts w:eastAsia="Calibri"/>
        </w:rPr>
        <w:t>specifiskāk atrunāt</w:t>
      </w:r>
      <w:r w:rsidR="00812D26" w:rsidRPr="004639C8">
        <w:rPr>
          <w:rFonts w:eastAsia="Calibri"/>
        </w:rPr>
        <w:t xml:space="preserve"> </w:t>
      </w:r>
      <w:r w:rsidR="0095280A" w:rsidRPr="004639C8">
        <w:rPr>
          <w:rFonts w:eastAsia="Calibri"/>
        </w:rPr>
        <w:t xml:space="preserve">veicamos </w:t>
      </w:r>
      <w:r w:rsidR="00812D26" w:rsidRPr="004639C8">
        <w:rPr>
          <w:rFonts w:eastAsia="Calibri"/>
        </w:rPr>
        <w:t xml:space="preserve">uzdevumus </w:t>
      </w:r>
      <w:r w:rsidR="00507A69" w:rsidRPr="004639C8">
        <w:rPr>
          <w:rFonts w:eastAsia="Calibri"/>
        </w:rPr>
        <w:t xml:space="preserve">un pienākumus </w:t>
      </w:r>
      <w:r w:rsidR="00812D26" w:rsidRPr="004639C8">
        <w:rPr>
          <w:rFonts w:eastAsia="Calibri"/>
        </w:rPr>
        <w:t>ieviešanā iesaistītaj</w:t>
      </w:r>
      <w:r w:rsidR="00125956" w:rsidRPr="004639C8">
        <w:rPr>
          <w:rFonts w:eastAsia="Calibri"/>
        </w:rPr>
        <w:t>iem</w:t>
      </w:r>
      <w:r w:rsidR="004639C8" w:rsidRPr="004639C8">
        <w:rPr>
          <w:rFonts w:eastAsia="Calibri"/>
        </w:rPr>
        <w:t xml:space="preserve">, ievērojot MK noteikumos noteikto </w:t>
      </w:r>
      <w:r w:rsidR="006C1FC5">
        <w:rPr>
          <w:rFonts w:eastAsia="Calibri"/>
        </w:rPr>
        <w:t>institūciju</w:t>
      </w:r>
      <w:r w:rsidR="004639C8" w:rsidRPr="004639C8">
        <w:rPr>
          <w:rFonts w:eastAsia="Calibri"/>
        </w:rPr>
        <w:t xml:space="preserve"> lomu un funkciju sadalījuma pamatprincipus.</w:t>
      </w:r>
      <w:r w:rsidR="00125956">
        <w:rPr>
          <w:rFonts w:eastAsia="Calibri"/>
        </w:rPr>
        <w:t xml:space="preserve"> </w:t>
      </w:r>
    </w:p>
    <w:p w14:paraId="15CD805C" w14:textId="214F7053" w:rsidR="0056622B" w:rsidRDefault="0056622B" w:rsidP="004B3A36">
      <w:pPr>
        <w:suppressAutoHyphens/>
        <w:autoSpaceDN w:val="0"/>
        <w:spacing w:after="0" w:line="276" w:lineRule="auto"/>
        <w:ind w:firstLine="720"/>
        <w:jc w:val="both"/>
        <w:textAlignment w:val="baseline"/>
        <w:rPr>
          <w:rFonts w:eastAsia="Calibri"/>
        </w:rPr>
      </w:pPr>
      <w:r w:rsidRPr="0056622B">
        <w:rPr>
          <w:rFonts w:eastAsia="Calibri"/>
        </w:rPr>
        <w:t xml:space="preserve">Dalībvalstij jānodrošina, ka </w:t>
      </w:r>
      <w:r w:rsidR="00177ACC" w:rsidRPr="00177ACC">
        <w:rPr>
          <w:rFonts w:eastAsia="Calibri"/>
        </w:rPr>
        <w:t>Atveseļošanas fonda</w:t>
      </w:r>
      <w:r w:rsidRPr="0056622B">
        <w:rPr>
          <w:rFonts w:eastAsia="Calibri"/>
        </w:rPr>
        <w:t xml:space="preserve"> plāna īstenošanā tiek ievēroti visi ES un nacionālie tiesību akti, tostarp komercdarbības atbalsta kontroles jomā, līdz ar </w:t>
      </w:r>
      <w:r w:rsidR="006317A0">
        <w:rPr>
          <w:rFonts w:eastAsia="Calibri"/>
        </w:rPr>
        <w:t xml:space="preserve">to </w:t>
      </w:r>
      <w:r>
        <w:rPr>
          <w:rFonts w:eastAsia="Calibri"/>
        </w:rPr>
        <w:t>FM</w:t>
      </w:r>
      <w:r w:rsidRPr="0056622B">
        <w:rPr>
          <w:rFonts w:eastAsia="Calibri"/>
        </w:rPr>
        <w:t xml:space="preserve"> nodrošinās arī vadošās iestādes funkcijas komercdarbības atbalsta kontroles </w:t>
      </w:r>
      <w:r w:rsidRPr="0056622B">
        <w:rPr>
          <w:rFonts w:eastAsia="Calibri"/>
        </w:rPr>
        <w:lastRenderedPageBreak/>
        <w:t>jautājumos</w:t>
      </w:r>
      <w:r w:rsidR="00A602FB">
        <w:rPr>
          <w:rStyle w:val="FootnoteReference"/>
          <w:rFonts w:eastAsia="Calibri"/>
        </w:rPr>
        <w:footnoteReference w:id="14"/>
      </w:r>
      <w:r w:rsidRPr="0056622B">
        <w:rPr>
          <w:rFonts w:eastAsia="Calibri"/>
        </w:rPr>
        <w:t xml:space="preserve">. </w:t>
      </w:r>
      <w:r w:rsidR="00177ACC" w:rsidRPr="00177ACC">
        <w:rPr>
          <w:rFonts w:eastAsia="Calibri"/>
        </w:rPr>
        <w:t>Atveseļošanas fonda</w:t>
      </w:r>
      <w:r w:rsidRPr="0056622B">
        <w:rPr>
          <w:rFonts w:eastAsia="Calibri"/>
        </w:rPr>
        <w:t xml:space="preserve"> plāna ieviešanā tiks izmantota esošā </w:t>
      </w:r>
      <w:r>
        <w:rPr>
          <w:rFonts w:eastAsia="Calibri"/>
        </w:rPr>
        <w:t>FM</w:t>
      </w:r>
      <w:r w:rsidRPr="0056622B">
        <w:rPr>
          <w:rFonts w:eastAsia="Calibri"/>
        </w:rPr>
        <w:t xml:space="preserve"> komercdarbības atbalsta kontroles kompetence, kas pierādījusi savu efektivitāti 14-20 VKS ietvaros un kuru plānots izmantot arī 21-27 ieviešanā.</w:t>
      </w:r>
    </w:p>
    <w:p w14:paraId="1AF9513E" w14:textId="01E0A9EA" w:rsidR="00082BBA" w:rsidRDefault="00082BBA" w:rsidP="004B3A36">
      <w:pPr>
        <w:suppressAutoHyphens/>
        <w:autoSpaceDN w:val="0"/>
        <w:spacing w:after="0" w:line="276" w:lineRule="auto"/>
        <w:ind w:firstLine="720"/>
        <w:jc w:val="both"/>
        <w:textAlignment w:val="baseline"/>
        <w:rPr>
          <w:rFonts w:eastAsia="Calibri"/>
        </w:rPr>
      </w:pPr>
      <w:r w:rsidRPr="00082BBA">
        <w:rPr>
          <w:rFonts w:eastAsia="Calibri"/>
        </w:rPr>
        <w:t>Atbilstoši Regulas prasībām, dalībvalstij ir jānodrošina IT sistēma, kurā tiks uzkrāti visi dati atbilstoši Regulas 22.</w:t>
      </w:r>
      <w:r w:rsidR="003C3BB9">
        <w:rPr>
          <w:rFonts w:eastAsia="Calibri"/>
        </w:rPr>
        <w:t> </w:t>
      </w:r>
      <w:r w:rsidRPr="00082BBA">
        <w:rPr>
          <w:rFonts w:eastAsia="Calibri"/>
        </w:rPr>
        <w:t xml:space="preserve">panta prasībām. Visa ar </w:t>
      </w:r>
      <w:r w:rsidR="00177ACC" w:rsidRPr="00177ACC">
        <w:rPr>
          <w:rFonts w:eastAsia="Calibri"/>
        </w:rPr>
        <w:t>Atveseļošanas fonda</w:t>
      </w:r>
      <w:r w:rsidRPr="00082BBA">
        <w:rPr>
          <w:rFonts w:eastAsia="Calibri"/>
        </w:rPr>
        <w:t xml:space="preserve"> plāna ieviešanu un uzraudzību saistītā informācija, atbilstoši Regulas prasībām un norādītajam dalījumam</w:t>
      </w:r>
      <w:r w:rsidR="005D3475">
        <w:rPr>
          <w:rStyle w:val="FootnoteReference"/>
          <w:rFonts w:eastAsia="Calibri"/>
        </w:rPr>
        <w:footnoteReference w:id="15"/>
      </w:r>
      <w:r w:rsidRPr="00082BBA">
        <w:rPr>
          <w:rFonts w:eastAsia="Calibri"/>
        </w:rPr>
        <w:t xml:space="preserve">, visu </w:t>
      </w:r>
      <w:r w:rsidR="009141EA" w:rsidRPr="009141EA">
        <w:rPr>
          <w:rFonts w:eastAsia="Calibri"/>
        </w:rPr>
        <w:t>Atveseļošanas fonda</w:t>
      </w:r>
      <w:r w:rsidRPr="00082BBA">
        <w:rPr>
          <w:rFonts w:eastAsia="Calibri"/>
        </w:rPr>
        <w:t xml:space="preserve"> plāna ieviešanas perioda laiku, tiks glabāta vienā IT sistēmā - esošā ES fondu VKS KPVIS, kuru izmantos visas </w:t>
      </w:r>
      <w:r w:rsidR="009141EA" w:rsidRPr="009141EA">
        <w:rPr>
          <w:rFonts w:eastAsia="Calibri"/>
        </w:rPr>
        <w:t>Atveseļošanas fonda</w:t>
      </w:r>
      <w:r w:rsidRPr="00082BBA">
        <w:rPr>
          <w:rFonts w:eastAsia="Calibri"/>
        </w:rPr>
        <w:t xml:space="preserve"> plāna ieviešanā iesaistītās institūcijas, </w:t>
      </w:r>
      <w:r w:rsidR="00737072">
        <w:rPr>
          <w:rFonts w:eastAsia="Calibri"/>
        </w:rPr>
        <w:t>tai skaitā</w:t>
      </w:r>
      <w:r w:rsidRPr="00082BBA">
        <w:rPr>
          <w:rFonts w:eastAsia="Calibri"/>
        </w:rPr>
        <w:t xml:space="preserve"> finansējuma saņēmēji un uzraugošās </w:t>
      </w:r>
      <w:r w:rsidR="00A91409">
        <w:rPr>
          <w:rFonts w:eastAsia="Calibri"/>
        </w:rPr>
        <w:t>institūcijas</w:t>
      </w:r>
      <w:r w:rsidR="00A91409" w:rsidRPr="00082BBA">
        <w:rPr>
          <w:rFonts w:eastAsia="Calibri"/>
        </w:rPr>
        <w:t xml:space="preserve"> </w:t>
      </w:r>
      <w:r w:rsidRPr="00082BBA">
        <w:rPr>
          <w:rFonts w:eastAsia="Calibri"/>
        </w:rPr>
        <w:t xml:space="preserve">kā </w:t>
      </w:r>
      <w:r w:rsidR="00737072" w:rsidRPr="00737072">
        <w:rPr>
          <w:rFonts w:eastAsia="Calibri"/>
        </w:rPr>
        <w:t xml:space="preserve">Centrālā finanšu un līgumu aģentūra </w:t>
      </w:r>
      <w:r w:rsidR="00737072">
        <w:rPr>
          <w:rFonts w:eastAsia="Calibri"/>
        </w:rPr>
        <w:t xml:space="preserve">(turpmāk – </w:t>
      </w:r>
      <w:r w:rsidRPr="00082BBA">
        <w:rPr>
          <w:rFonts w:eastAsia="Calibri"/>
        </w:rPr>
        <w:t>CFLA</w:t>
      </w:r>
      <w:r w:rsidR="00737072">
        <w:rPr>
          <w:rFonts w:eastAsia="Calibri"/>
        </w:rPr>
        <w:t>)</w:t>
      </w:r>
      <w:r w:rsidRPr="00082BBA">
        <w:rPr>
          <w:rFonts w:eastAsia="Calibri"/>
        </w:rPr>
        <w:t xml:space="preserve">, </w:t>
      </w:r>
      <w:r w:rsidR="00737072">
        <w:rPr>
          <w:rFonts w:eastAsia="Calibri"/>
        </w:rPr>
        <w:t xml:space="preserve">Iepirkumu uzraudzības birojs (turpmāk - </w:t>
      </w:r>
      <w:r w:rsidRPr="00082BBA">
        <w:rPr>
          <w:rFonts w:eastAsia="Calibri"/>
        </w:rPr>
        <w:t>IUB</w:t>
      </w:r>
      <w:r w:rsidR="00737072">
        <w:rPr>
          <w:rFonts w:eastAsia="Calibri"/>
        </w:rPr>
        <w:t>)</w:t>
      </w:r>
      <w:r w:rsidRPr="00082BBA">
        <w:rPr>
          <w:rFonts w:eastAsia="Calibri"/>
        </w:rPr>
        <w:t xml:space="preserve"> un </w:t>
      </w:r>
      <w:r w:rsidR="00737072">
        <w:rPr>
          <w:rFonts w:eastAsia="Calibri"/>
        </w:rPr>
        <w:t>Revīzijas iestāde</w:t>
      </w:r>
      <w:r w:rsidR="00737072">
        <w:rPr>
          <w:rStyle w:val="FootnoteReference"/>
          <w:rFonts w:eastAsia="Calibri"/>
        </w:rPr>
        <w:footnoteReference w:id="16"/>
      </w:r>
      <w:r w:rsidR="006944CB">
        <w:rPr>
          <w:rFonts w:eastAsia="Calibri"/>
        </w:rPr>
        <w:t xml:space="preserve"> (turpmāk – RI)</w:t>
      </w:r>
      <w:r w:rsidRPr="00082BBA">
        <w:rPr>
          <w:rFonts w:eastAsia="Calibri"/>
        </w:rPr>
        <w:t xml:space="preserve">. Esošās KPVIS sistēmas plānotā izmantošana </w:t>
      </w:r>
      <w:r w:rsidR="00FF1525" w:rsidRPr="00FF1525">
        <w:rPr>
          <w:rFonts w:eastAsia="Calibri"/>
        </w:rPr>
        <w:t>Atveseļošanas fonda</w:t>
      </w:r>
      <w:r w:rsidRPr="00082BBA">
        <w:rPr>
          <w:rFonts w:eastAsia="Calibri"/>
        </w:rPr>
        <w:t xml:space="preserve"> plāna ieviešanā rada iespēju arī izmantot jau pieejamās IT sistēmas prototipu un datu krātuves. KPVIS nepieciešams papildināt un pielāgot </w:t>
      </w:r>
      <w:r w:rsidR="00FF1525" w:rsidRPr="00FF1525">
        <w:rPr>
          <w:rFonts w:eastAsia="Calibri"/>
        </w:rPr>
        <w:t>Atveseļošanas fonda</w:t>
      </w:r>
      <w:r w:rsidRPr="00082BBA">
        <w:rPr>
          <w:rFonts w:eastAsia="Calibri"/>
        </w:rPr>
        <w:t xml:space="preserve"> regulējuma prasībām datu uzkrāšanai, progresa ziņojumiem un maksājumu pieprasījumiem EK,</w:t>
      </w:r>
      <w:r w:rsidR="002A6B06">
        <w:rPr>
          <w:rFonts w:eastAsia="Calibri"/>
        </w:rPr>
        <w:t xml:space="preserve"> tai skaitā</w:t>
      </w:r>
      <w:r w:rsidRPr="00082BBA">
        <w:rPr>
          <w:rFonts w:eastAsia="Calibri"/>
        </w:rPr>
        <w:t>, lai apkopotu rādītājus u.c. informāciju, kas nepieciešama atskaites punktu un mērķu sasniegšanas apliecināšanai un ziņošanai EK. Šāds risinājums ir ekonomiski, tehniski un laika resursa patēriņa ziņā visekonomiskākais un pamatotākais.</w:t>
      </w:r>
      <w:r w:rsidR="00750A04">
        <w:rPr>
          <w:rFonts w:eastAsia="Calibri"/>
        </w:rPr>
        <w:t xml:space="preserve"> Ja tiek uzsākts īstenot </w:t>
      </w:r>
      <w:r w:rsidR="00FF1525" w:rsidRPr="00FF1525">
        <w:rPr>
          <w:rFonts w:eastAsia="Calibri"/>
        </w:rPr>
        <w:t>Atveseļošanas fonda</w:t>
      </w:r>
      <w:r w:rsidR="00750A04" w:rsidRPr="00750A04">
        <w:rPr>
          <w:rFonts w:eastAsia="Calibri"/>
        </w:rPr>
        <w:t xml:space="preserve"> plān</w:t>
      </w:r>
      <w:r w:rsidR="00750A04">
        <w:rPr>
          <w:rFonts w:eastAsia="Calibri"/>
        </w:rPr>
        <w:t xml:space="preserve">ā noteiktās reformas un investīcijas pirms KPVIS tiek pilnībā pielāgots </w:t>
      </w:r>
      <w:r w:rsidR="00946ACE" w:rsidRPr="00946ACE">
        <w:rPr>
          <w:rFonts w:eastAsia="Calibri"/>
        </w:rPr>
        <w:t>Atveseļošanas fonda</w:t>
      </w:r>
      <w:r w:rsidR="00946ACE">
        <w:rPr>
          <w:rFonts w:eastAsia="Calibri"/>
        </w:rPr>
        <w:t xml:space="preserve"> </w:t>
      </w:r>
      <w:r w:rsidR="00750A04" w:rsidRPr="00750A04">
        <w:rPr>
          <w:rFonts w:eastAsia="Calibri"/>
        </w:rPr>
        <w:t>regulējuma prasībām</w:t>
      </w:r>
      <w:r w:rsidR="00750A04">
        <w:rPr>
          <w:rFonts w:eastAsia="Calibri"/>
        </w:rPr>
        <w:t xml:space="preserve">, par </w:t>
      </w:r>
      <w:r w:rsidR="008610B4">
        <w:rPr>
          <w:rFonts w:eastAsia="Calibri"/>
        </w:rPr>
        <w:t xml:space="preserve">reformas vai investīcijas </w:t>
      </w:r>
      <w:r w:rsidR="00750A04">
        <w:rPr>
          <w:rFonts w:eastAsia="Calibri"/>
        </w:rPr>
        <w:t xml:space="preserve">īstenošanu atbildīgā </w:t>
      </w:r>
      <w:r w:rsidR="00A91409">
        <w:rPr>
          <w:rFonts w:eastAsia="Calibri"/>
        </w:rPr>
        <w:t>institūcija</w:t>
      </w:r>
      <w:r w:rsidR="00991962">
        <w:rPr>
          <w:rFonts w:eastAsia="Calibri"/>
        </w:rPr>
        <w:t xml:space="preserve">, </w:t>
      </w:r>
      <w:r w:rsidR="002A6B06">
        <w:rPr>
          <w:rFonts w:eastAsia="Calibri"/>
        </w:rPr>
        <w:t>tai skaitā</w:t>
      </w:r>
      <w:r w:rsidR="00991962">
        <w:rPr>
          <w:rFonts w:eastAsia="Calibri"/>
        </w:rPr>
        <w:t xml:space="preserve"> finansējuma saņēmējs,</w:t>
      </w:r>
      <w:r w:rsidR="00A91409">
        <w:rPr>
          <w:rFonts w:eastAsia="Calibri"/>
        </w:rPr>
        <w:t xml:space="preserve"> </w:t>
      </w:r>
      <w:r w:rsidR="00750A04">
        <w:rPr>
          <w:rFonts w:eastAsia="Calibri"/>
        </w:rPr>
        <w:t xml:space="preserve">nodrošina atbilstošu audita liecību un kopējā ieviešanas procesa dokumentēšanu. </w:t>
      </w:r>
    </w:p>
    <w:p w14:paraId="67041A7B" w14:textId="0147F9E1" w:rsidR="00500548" w:rsidRDefault="004B3A36" w:rsidP="0017760D">
      <w:pPr>
        <w:suppressAutoHyphens/>
        <w:autoSpaceDN w:val="0"/>
        <w:spacing w:after="0" w:line="276" w:lineRule="auto"/>
        <w:ind w:firstLine="720"/>
        <w:jc w:val="both"/>
        <w:textAlignment w:val="baseline"/>
        <w:rPr>
          <w:rFonts w:eastAsia="Calibri"/>
          <w:b/>
          <w:bCs/>
        </w:rPr>
      </w:pPr>
      <w:r>
        <w:rPr>
          <w:rFonts w:eastAsia="Calibri"/>
        </w:rPr>
        <w:t>Ņemot vērā</w:t>
      </w:r>
      <w:r w:rsidRPr="00327F37">
        <w:rPr>
          <w:rFonts w:eastAsia="Calibri"/>
        </w:rPr>
        <w:t xml:space="preserve"> augstāk minēto, ES fondu administrēšanas sistēmā esošo institūciju iesaiste plānota arī </w:t>
      </w:r>
      <w:r w:rsidR="00946ACE" w:rsidRPr="00946ACE">
        <w:rPr>
          <w:rFonts w:eastAsia="Calibri"/>
        </w:rPr>
        <w:t>Atveseļošanas fonda</w:t>
      </w:r>
      <w:r w:rsidR="00946ACE">
        <w:rPr>
          <w:rFonts w:eastAsia="Calibri"/>
        </w:rPr>
        <w:t xml:space="preserve"> </w:t>
      </w:r>
      <w:r w:rsidRPr="00C6695F">
        <w:rPr>
          <w:rFonts w:eastAsia="Calibri"/>
        </w:rPr>
        <w:t xml:space="preserve">plāna </w:t>
      </w:r>
      <w:r w:rsidRPr="00327F37">
        <w:rPr>
          <w:rFonts w:eastAsia="Calibri"/>
        </w:rPr>
        <w:t xml:space="preserve">īstenošanā, </w:t>
      </w:r>
      <w:r w:rsidR="002943E0">
        <w:rPr>
          <w:rFonts w:eastAsia="Calibri"/>
        </w:rPr>
        <w:t>ievērojot</w:t>
      </w:r>
      <w:r w:rsidRPr="00327F37">
        <w:rPr>
          <w:rFonts w:eastAsia="Calibri"/>
        </w:rPr>
        <w:t xml:space="preserve"> to praktisko pieredzi efektīvā ES fondu līdzekļu administrēšanā</w:t>
      </w:r>
      <w:r>
        <w:rPr>
          <w:rFonts w:eastAsia="Calibri"/>
        </w:rPr>
        <w:t>, v</w:t>
      </w:r>
      <w:r w:rsidRPr="00327F37">
        <w:rPr>
          <w:rFonts w:eastAsia="Calibri"/>
        </w:rPr>
        <w:t xml:space="preserve">ienlaikus </w:t>
      </w:r>
      <w:r>
        <w:rPr>
          <w:rFonts w:eastAsia="Calibri"/>
        </w:rPr>
        <w:t xml:space="preserve">izvērtējot nepieciešamos papildu finanšu resursus, kas paredzami jauno un </w:t>
      </w:r>
      <w:r w:rsidR="00146E25">
        <w:rPr>
          <w:rFonts w:eastAsia="Calibri"/>
        </w:rPr>
        <w:t xml:space="preserve">būtiski </w:t>
      </w:r>
      <w:r>
        <w:rPr>
          <w:rFonts w:eastAsia="Calibri"/>
        </w:rPr>
        <w:t>apjomā pieaugošo</w:t>
      </w:r>
      <w:r w:rsidR="00146E25">
        <w:rPr>
          <w:rFonts w:eastAsia="Calibri"/>
        </w:rPr>
        <w:t xml:space="preserve"> papildus</w:t>
      </w:r>
      <w:r>
        <w:rPr>
          <w:rFonts w:eastAsia="Calibri"/>
        </w:rPr>
        <w:t xml:space="preserve"> </w:t>
      </w:r>
      <w:r w:rsidRPr="00677D04">
        <w:rPr>
          <w:rFonts w:eastAsia="Calibri"/>
        </w:rPr>
        <w:t>funkcij</w:t>
      </w:r>
      <w:r>
        <w:rPr>
          <w:rFonts w:eastAsia="Calibri"/>
        </w:rPr>
        <w:t>u</w:t>
      </w:r>
      <w:r w:rsidR="00146E25">
        <w:rPr>
          <w:rFonts w:eastAsia="Calibri"/>
        </w:rPr>
        <w:t xml:space="preserve"> nodrošināšanai</w:t>
      </w:r>
      <w:r>
        <w:rPr>
          <w:rFonts w:eastAsia="Calibri"/>
        </w:rPr>
        <w:t xml:space="preserve">, </w:t>
      </w:r>
      <w:r w:rsidR="006F3C17">
        <w:rPr>
          <w:rFonts w:eastAsia="Calibri"/>
        </w:rPr>
        <w:t>tai skaitā</w:t>
      </w:r>
      <w:r>
        <w:rPr>
          <w:rFonts w:eastAsia="Calibri"/>
        </w:rPr>
        <w:t xml:space="preserve"> KPVIS</w:t>
      </w:r>
      <w:r w:rsidRPr="00677D04">
        <w:rPr>
          <w:rFonts w:eastAsia="Calibri"/>
        </w:rPr>
        <w:t xml:space="preserve"> </w:t>
      </w:r>
      <w:r w:rsidRPr="009D0E03">
        <w:rPr>
          <w:rFonts w:eastAsia="Calibri"/>
        </w:rPr>
        <w:t>pielāgošanas</w:t>
      </w:r>
      <w:r w:rsidR="00976287" w:rsidRPr="009D0E03">
        <w:rPr>
          <w:rFonts w:eastAsia="Calibri"/>
        </w:rPr>
        <w:t xml:space="preserve"> un uzturēšanas</w:t>
      </w:r>
      <w:r w:rsidRPr="00677D04">
        <w:rPr>
          <w:rFonts w:eastAsia="Calibri"/>
        </w:rPr>
        <w:t xml:space="preserve"> izmaks</w:t>
      </w:r>
      <w:r>
        <w:rPr>
          <w:rFonts w:eastAsia="Calibri"/>
        </w:rPr>
        <w:t xml:space="preserve">ām. </w:t>
      </w:r>
    </w:p>
    <w:p w14:paraId="3E4235F9" w14:textId="77777777" w:rsidR="00500548" w:rsidRDefault="00500548" w:rsidP="00D57EB6">
      <w:pPr>
        <w:suppressAutoHyphens/>
        <w:autoSpaceDN w:val="0"/>
        <w:spacing w:after="0" w:line="276" w:lineRule="auto"/>
        <w:textAlignment w:val="baseline"/>
        <w:rPr>
          <w:rFonts w:eastAsia="Calibri"/>
          <w:b/>
          <w:bCs/>
        </w:rPr>
      </w:pPr>
    </w:p>
    <w:p w14:paraId="544E265F" w14:textId="4149D726" w:rsidR="00327F37" w:rsidRPr="00173DD9" w:rsidRDefault="00001DE4" w:rsidP="00173DD9">
      <w:pPr>
        <w:pStyle w:val="ListParagraph"/>
        <w:numPr>
          <w:ilvl w:val="0"/>
          <w:numId w:val="24"/>
        </w:numPr>
        <w:suppressAutoHyphens/>
        <w:autoSpaceDN w:val="0"/>
        <w:spacing w:after="0" w:line="276" w:lineRule="auto"/>
        <w:jc w:val="center"/>
        <w:textAlignment w:val="baseline"/>
        <w:rPr>
          <w:rFonts w:eastAsia="Calibri"/>
          <w:b/>
          <w:bCs/>
        </w:rPr>
      </w:pPr>
      <w:r w:rsidRPr="00173DD9">
        <w:rPr>
          <w:rFonts w:eastAsia="Calibri"/>
          <w:b/>
          <w:bCs/>
        </w:rPr>
        <w:t xml:space="preserve">Nepieciešamie </w:t>
      </w:r>
      <w:r w:rsidR="00566426" w:rsidRPr="00173DD9">
        <w:rPr>
          <w:rFonts w:eastAsia="Calibri"/>
          <w:b/>
          <w:bCs/>
        </w:rPr>
        <w:t xml:space="preserve">papildus </w:t>
      </w:r>
      <w:r w:rsidRPr="00173DD9">
        <w:rPr>
          <w:rFonts w:eastAsia="Calibri"/>
          <w:b/>
          <w:bCs/>
        </w:rPr>
        <w:t xml:space="preserve">resursi </w:t>
      </w:r>
      <w:r w:rsidR="00566426" w:rsidRPr="00173DD9">
        <w:rPr>
          <w:rFonts w:eastAsia="Calibri"/>
          <w:b/>
          <w:bCs/>
        </w:rPr>
        <w:t xml:space="preserve">atbilstošai </w:t>
      </w:r>
      <w:r w:rsidR="002E106C" w:rsidRPr="002E106C">
        <w:rPr>
          <w:rFonts w:eastAsia="Calibri"/>
          <w:b/>
          <w:bCs/>
        </w:rPr>
        <w:t>Atveseļošanas fonda</w:t>
      </w:r>
      <w:r w:rsidR="00C06BB9" w:rsidRPr="00173DD9">
        <w:rPr>
          <w:rFonts w:eastAsia="Calibri"/>
          <w:b/>
          <w:bCs/>
        </w:rPr>
        <w:t xml:space="preserve"> plāna </w:t>
      </w:r>
      <w:r w:rsidR="00BF3E6C" w:rsidRPr="00173DD9">
        <w:rPr>
          <w:rFonts w:eastAsia="Calibri"/>
          <w:b/>
          <w:bCs/>
        </w:rPr>
        <w:t>ieviešanas nodrošināšanai</w:t>
      </w:r>
    </w:p>
    <w:p w14:paraId="39C02CF4" w14:textId="77777777" w:rsidR="00B02B61" w:rsidRDefault="00B02B61" w:rsidP="008F0F4E">
      <w:pPr>
        <w:suppressAutoHyphens/>
        <w:autoSpaceDN w:val="0"/>
        <w:spacing w:after="0" w:line="276" w:lineRule="auto"/>
        <w:jc w:val="both"/>
        <w:textAlignment w:val="baseline"/>
        <w:rPr>
          <w:rFonts w:eastAsia="Calibri"/>
        </w:rPr>
      </w:pPr>
    </w:p>
    <w:p w14:paraId="08B5EB8A" w14:textId="2C113B45" w:rsidR="00E03116" w:rsidRDefault="008F4A8C" w:rsidP="004F4227">
      <w:pPr>
        <w:spacing w:after="0" w:line="276" w:lineRule="auto"/>
        <w:ind w:firstLine="720"/>
        <w:jc w:val="both"/>
        <w:rPr>
          <w:rFonts w:eastAsia="Calibri"/>
        </w:rPr>
      </w:pPr>
      <w:r>
        <w:rPr>
          <w:rFonts w:eastAsia="Calibri"/>
        </w:rPr>
        <w:t xml:space="preserve">Lai nodrošinātu EK prasībām </w:t>
      </w:r>
      <w:r w:rsidRPr="00965EB6">
        <w:rPr>
          <w:rFonts w:eastAsia="Calibri"/>
          <w:bCs/>
        </w:rPr>
        <w:t>atbilstoš</w:t>
      </w:r>
      <w:r>
        <w:rPr>
          <w:rFonts w:eastAsia="Calibri"/>
          <w:bCs/>
        </w:rPr>
        <w:t>u</w:t>
      </w:r>
      <w:r w:rsidRPr="00965EB6">
        <w:rPr>
          <w:rFonts w:eastAsia="Calibri"/>
          <w:bCs/>
        </w:rPr>
        <w:t xml:space="preserve"> </w:t>
      </w:r>
      <w:r w:rsidR="009A5A19" w:rsidRPr="009A5A19">
        <w:rPr>
          <w:rFonts w:eastAsia="Calibri"/>
          <w:bCs/>
        </w:rPr>
        <w:t>Atveseļošanas fonda</w:t>
      </w:r>
      <w:r w:rsidR="009A5A19">
        <w:rPr>
          <w:rFonts w:eastAsia="Calibri"/>
          <w:bCs/>
        </w:rPr>
        <w:t xml:space="preserve"> </w:t>
      </w:r>
      <w:r w:rsidRPr="00965EB6">
        <w:rPr>
          <w:rFonts w:eastAsia="Calibri"/>
          <w:bCs/>
        </w:rPr>
        <w:t>plāna ieviešan</w:t>
      </w:r>
      <w:r>
        <w:rPr>
          <w:rFonts w:eastAsia="Calibri"/>
          <w:bCs/>
        </w:rPr>
        <w:t xml:space="preserve">u un iespējami novērstu riskus </w:t>
      </w:r>
      <w:r w:rsidR="009A5A19" w:rsidRPr="009A5A19">
        <w:rPr>
          <w:rFonts w:eastAsia="Calibri"/>
          <w:bCs/>
        </w:rPr>
        <w:t>Atveseļošanas fonda</w:t>
      </w:r>
      <w:r w:rsidR="009A5A19">
        <w:rPr>
          <w:rFonts w:eastAsia="Calibri"/>
          <w:bCs/>
        </w:rPr>
        <w:t xml:space="preserve"> </w:t>
      </w:r>
      <w:r>
        <w:rPr>
          <w:rFonts w:eastAsia="Calibri"/>
          <w:bCs/>
        </w:rPr>
        <w:t>finansējuma nesaņemšanai pilnā apmērā, n</w:t>
      </w:r>
      <w:r w:rsidR="00E9511C" w:rsidRPr="00E9511C">
        <w:rPr>
          <w:rFonts w:eastAsia="Calibri"/>
        </w:rPr>
        <w:t>epieciešam</w:t>
      </w:r>
      <w:r>
        <w:rPr>
          <w:rFonts w:eastAsia="Calibri"/>
        </w:rPr>
        <w:t xml:space="preserve">a pienācīga </w:t>
      </w:r>
      <w:r w:rsidR="009A5A19" w:rsidRPr="009A5A19">
        <w:rPr>
          <w:rFonts w:eastAsia="Calibri"/>
        </w:rPr>
        <w:t>Atveseļošanas fonda</w:t>
      </w:r>
      <w:r w:rsidR="007E046A">
        <w:rPr>
          <w:rFonts w:eastAsia="Calibri"/>
        </w:rPr>
        <w:t xml:space="preserve"> </w:t>
      </w:r>
      <w:r>
        <w:rPr>
          <w:rFonts w:eastAsia="Calibri"/>
        </w:rPr>
        <w:t>plāna ieviešanas kapacitāte</w:t>
      </w:r>
      <w:r w:rsidR="008D3E5F">
        <w:rPr>
          <w:rFonts w:eastAsia="Calibri"/>
        </w:rPr>
        <w:t xml:space="preserve"> </w:t>
      </w:r>
      <w:r w:rsidR="00917D1D">
        <w:rPr>
          <w:rFonts w:eastAsia="Calibri"/>
        </w:rPr>
        <w:t>–</w:t>
      </w:r>
      <w:r w:rsidR="008D3E5F">
        <w:rPr>
          <w:rFonts w:eastAsia="Calibri"/>
        </w:rPr>
        <w:t xml:space="preserve"> attiecīgi</w:t>
      </w:r>
      <w:r w:rsidR="00917D1D">
        <w:rPr>
          <w:rFonts w:eastAsia="Calibri"/>
        </w:rPr>
        <w:t xml:space="preserve"> </w:t>
      </w:r>
      <w:r w:rsidR="008D3E5F">
        <w:rPr>
          <w:rFonts w:eastAsia="Calibri"/>
        </w:rPr>
        <w:t>p</w:t>
      </w:r>
      <w:r w:rsidR="0003149F">
        <w:rPr>
          <w:rFonts w:eastAsia="Calibri"/>
        </w:rPr>
        <w:t xml:space="preserve">apildu </w:t>
      </w:r>
      <w:r w:rsidR="00E9511C" w:rsidRPr="00E9511C">
        <w:rPr>
          <w:rFonts w:eastAsia="Calibri"/>
        </w:rPr>
        <w:t xml:space="preserve">resursu </w:t>
      </w:r>
      <w:r w:rsidR="0013616B">
        <w:rPr>
          <w:rFonts w:eastAsia="Calibri"/>
        </w:rPr>
        <w:t>nepieciešamība</w:t>
      </w:r>
      <w:r w:rsidR="0013616B" w:rsidRPr="00E9511C">
        <w:rPr>
          <w:rFonts w:eastAsia="Calibri"/>
        </w:rPr>
        <w:t xml:space="preserve"> </w:t>
      </w:r>
      <w:r w:rsidR="00E9511C" w:rsidRPr="00E9511C">
        <w:rPr>
          <w:rFonts w:eastAsia="Calibri"/>
        </w:rPr>
        <w:t>ir atkarīg</w:t>
      </w:r>
      <w:r w:rsidR="0013616B">
        <w:rPr>
          <w:rFonts w:eastAsia="Calibri"/>
        </w:rPr>
        <w:t>a</w:t>
      </w:r>
      <w:r w:rsidR="00E9511C" w:rsidRPr="00E9511C">
        <w:rPr>
          <w:rFonts w:eastAsia="Calibri"/>
        </w:rPr>
        <w:t xml:space="preserve"> no pārbaužu tvēruma</w:t>
      </w:r>
      <w:r>
        <w:rPr>
          <w:rFonts w:eastAsia="Calibri"/>
        </w:rPr>
        <w:t>,</w:t>
      </w:r>
      <w:r w:rsidR="00E9511C" w:rsidRPr="00E9511C">
        <w:rPr>
          <w:rFonts w:eastAsia="Calibri"/>
        </w:rPr>
        <w:t xml:space="preserve"> </w:t>
      </w:r>
      <w:r w:rsidR="00577FAA">
        <w:rPr>
          <w:rFonts w:eastAsia="Calibri"/>
        </w:rPr>
        <w:t xml:space="preserve">uzraudzības procesa un veicamo </w:t>
      </w:r>
      <w:r w:rsidR="00E9511C" w:rsidRPr="00E9511C">
        <w:rPr>
          <w:rFonts w:eastAsia="Calibri"/>
        </w:rPr>
        <w:t>kontroļu</w:t>
      </w:r>
      <w:r>
        <w:rPr>
          <w:rFonts w:eastAsia="Calibri"/>
        </w:rPr>
        <w:t>, kā arī citu administratīvu procesa un pasākumu</w:t>
      </w:r>
      <w:r w:rsidR="00E9511C" w:rsidRPr="00E9511C">
        <w:rPr>
          <w:rFonts w:eastAsia="Calibri"/>
        </w:rPr>
        <w:t xml:space="preserve"> apjoma</w:t>
      </w:r>
      <w:r w:rsidR="00917D1D">
        <w:rPr>
          <w:rFonts w:eastAsia="Calibri"/>
        </w:rPr>
        <w:t>. Tāpat jāņem vērā</w:t>
      </w:r>
      <w:r w:rsidR="00A841C6">
        <w:rPr>
          <w:rFonts w:eastAsia="Calibri"/>
        </w:rPr>
        <w:t>, ka</w:t>
      </w:r>
      <w:r w:rsidR="00917D1D">
        <w:rPr>
          <w:rFonts w:eastAsia="Calibri"/>
        </w:rPr>
        <w:t xml:space="preserve"> vienlaikus paralēli </w:t>
      </w:r>
      <w:r w:rsidR="0083199C">
        <w:rPr>
          <w:rFonts w:eastAsia="Calibri"/>
        </w:rPr>
        <w:t>jānodrošina</w:t>
      </w:r>
      <w:r w:rsidR="00917D1D">
        <w:rPr>
          <w:rFonts w:eastAsia="Calibri"/>
        </w:rPr>
        <w:t xml:space="preserve"> </w:t>
      </w:r>
      <w:r w:rsidR="00A841C6">
        <w:rPr>
          <w:rFonts w:eastAsia="Calibri"/>
        </w:rPr>
        <w:t>1</w:t>
      </w:r>
      <w:r w:rsidR="00917D1D">
        <w:rPr>
          <w:rFonts w:eastAsia="Calibri"/>
        </w:rPr>
        <w:t xml:space="preserve">4-20 pabeigšana un </w:t>
      </w:r>
      <w:proofErr w:type="spellStart"/>
      <w:r w:rsidR="00917D1D">
        <w:rPr>
          <w:rFonts w:eastAsia="Calibri"/>
        </w:rPr>
        <w:t>pēcuzraudzība</w:t>
      </w:r>
      <w:proofErr w:type="spellEnd"/>
      <w:r w:rsidR="00917D1D">
        <w:rPr>
          <w:rFonts w:eastAsia="Calibri"/>
        </w:rPr>
        <w:t>, kā arī 21-27 uzsākšana un īstenošana.</w:t>
      </w:r>
      <w:r w:rsidR="008D3E5F">
        <w:rPr>
          <w:rFonts w:eastAsia="Calibri"/>
        </w:rPr>
        <w:t xml:space="preserve"> </w:t>
      </w:r>
      <w:r w:rsidR="00E9511C" w:rsidRPr="00E9511C">
        <w:rPr>
          <w:rFonts w:eastAsia="Calibri"/>
        </w:rPr>
        <w:t xml:space="preserve">Lai </w:t>
      </w:r>
      <w:r w:rsidR="00FC2EFD">
        <w:rPr>
          <w:rFonts w:eastAsia="Calibri"/>
        </w:rPr>
        <w:t>noteiktu</w:t>
      </w:r>
      <w:r w:rsidR="00FC2EFD" w:rsidRPr="00E9511C">
        <w:rPr>
          <w:rFonts w:eastAsia="Calibri"/>
        </w:rPr>
        <w:t xml:space="preserve"> </w:t>
      </w:r>
      <w:r w:rsidR="00E9511C" w:rsidRPr="00E9511C">
        <w:rPr>
          <w:rFonts w:eastAsia="Calibri"/>
        </w:rPr>
        <w:t xml:space="preserve">labāko, </w:t>
      </w:r>
      <w:r w:rsidR="008425C3">
        <w:rPr>
          <w:rFonts w:eastAsia="Calibri"/>
        </w:rPr>
        <w:t>efektīvāko</w:t>
      </w:r>
      <w:r w:rsidR="00E9511C" w:rsidRPr="00E9511C">
        <w:rPr>
          <w:rFonts w:eastAsia="Calibri"/>
        </w:rPr>
        <w:t xml:space="preserve"> un ekonomiski atbilstošāko </w:t>
      </w:r>
      <w:r w:rsidR="009474C8">
        <w:rPr>
          <w:rFonts w:eastAsia="Calibri"/>
        </w:rPr>
        <w:t>r</w:t>
      </w:r>
      <w:r w:rsidR="00E9511C">
        <w:rPr>
          <w:rFonts w:eastAsia="Calibri"/>
        </w:rPr>
        <w:t>isinājumu, a</w:t>
      </w:r>
      <w:r w:rsidR="00827CC8" w:rsidRPr="00827CC8">
        <w:rPr>
          <w:rFonts w:eastAsia="Calibri"/>
        </w:rPr>
        <w:t xml:space="preserve">tbilstoši MK 2021.gada 4.februāra </w:t>
      </w:r>
      <w:r w:rsidR="006317A0">
        <w:rPr>
          <w:rFonts w:eastAsia="Calibri"/>
        </w:rPr>
        <w:t xml:space="preserve">sēdes </w:t>
      </w:r>
      <w:proofErr w:type="spellStart"/>
      <w:r w:rsidR="00827CC8" w:rsidRPr="00827CC8">
        <w:rPr>
          <w:rFonts w:eastAsia="Calibri"/>
        </w:rPr>
        <w:t>protokollēmumam</w:t>
      </w:r>
      <w:proofErr w:type="spellEnd"/>
      <w:r w:rsidR="00827CC8" w:rsidRPr="00827CC8">
        <w:rPr>
          <w:rFonts w:eastAsia="Calibri"/>
        </w:rPr>
        <w:t xml:space="preserve"> Nr.</w:t>
      </w:r>
      <w:r w:rsidR="003C3BB9">
        <w:rPr>
          <w:rFonts w:eastAsia="Calibri"/>
        </w:rPr>
        <w:t> </w:t>
      </w:r>
      <w:r w:rsidR="00827CC8" w:rsidRPr="00827CC8">
        <w:rPr>
          <w:rFonts w:eastAsia="Calibri"/>
        </w:rPr>
        <w:t xml:space="preserve">12 27.§ “Informatīvais ziņojums “Par Eiropas Savienības Atveseļošanas un noturības </w:t>
      </w:r>
      <w:r w:rsidR="00827CC8" w:rsidRPr="00827CC8">
        <w:rPr>
          <w:rFonts w:eastAsia="Calibri"/>
        </w:rPr>
        <w:lastRenderedPageBreak/>
        <w:t xml:space="preserve">mehānisma plāna projektu””, </w:t>
      </w:r>
      <w:r w:rsidR="00385BC6">
        <w:rPr>
          <w:rFonts w:eastAsia="Calibri"/>
        </w:rPr>
        <w:t>FM</w:t>
      </w:r>
      <w:r w:rsidR="00827CC8" w:rsidRPr="00827CC8">
        <w:rPr>
          <w:rFonts w:eastAsia="Calibri"/>
        </w:rPr>
        <w:t xml:space="preserve"> veica </w:t>
      </w:r>
      <w:bookmarkStart w:id="6" w:name="_Hlk72239323"/>
      <w:r w:rsidR="009A5A19" w:rsidRPr="009A5A19">
        <w:rPr>
          <w:rFonts w:eastAsia="Calibri"/>
        </w:rPr>
        <w:t>Atveseļošanas fonda</w:t>
      </w:r>
      <w:r w:rsidR="009A5A19">
        <w:rPr>
          <w:rFonts w:eastAsia="Calibri"/>
        </w:rPr>
        <w:t xml:space="preserve"> </w:t>
      </w:r>
      <w:r w:rsidR="00827CC8" w:rsidRPr="0000441D">
        <w:rPr>
          <w:rFonts w:eastAsia="Calibri"/>
        </w:rPr>
        <w:t>plāna</w:t>
      </w:r>
      <w:r w:rsidR="00827CC8" w:rsidRPr="00827CC8">
        <w:rPr>
          <w:rFonts w:eastAsia="Calibri"/>
        </w:rPr>
        <w:t xml:space="preserve"> </w:t>
      </w:r>
      <w:bookmarkEnd w:id="6"/>
      <w:r w:rsidR="00827CC8" w:rsidRPr="00827CC8">
        <w:rPr>
          <w:rFonts w:eastAsia="Calibri"/>
        </w:rPr>
        <w:t xml:space="preserve">administrēšanā iesaistīto institūciju iesniegto finanšu pieprasījumu apkopojumu. </w:t>
      </w:r>
    </w:p>
    <w:p w14:paraId="10B38796" w14:textId="7831F266" w:rsidR="00A841C6" w:rsidRDefault="007D1639" w:rsidP="004F4227">
      <w:pPr>
        <w:spacing w:after="0" w:line="276" w:lineRule="auto"/>
        <w:ind w:firstLine="720"/>
        <w:jc w:val="both"/>
        <w:rPr>
          <w:rFonts w:eastAsia="Calibri"/>
        </w:rPr>
      </w:pPr>
      <w:r>
        <w:rPr>
          <w:rFonts w:eastAsia="Calibri"/>
        </w:rPr>
        <w:t>Balstoties uz sākotnēji</w:t>
      </w:r>
      <w:r w:rsidR="00A841C6">
        <w:rPr>
          <w:rFonts w:eastAsia="Calibri"/>
        </w:rPr>
        <w:t xml:space="preserve"> EK snieg</w:t>
      </w:r>
      <w:r>
        <w:rPr>
          <w:rFonts w:eastAsia="Calibri"/>
        </w:rPr>
        <w:t>tajām</w:t>
      </w:r>
      <w:r w:rsidR="00A841C6">
        <w:rPr>
          <w:rFonts w:eastAsia="Calibri"/>
        </w:rPr>
        <w:t xml:space="preserve"> norād</w:t>
      </w:r>
      <w:r>
        <w:rPr>
          <w:rFonts w:eastAsia="Calibri"/>
        </w:rPr>
        <w:t>ēm</w:t>
      </w:r>
      <w:r w:rsidR="00A841C6">
        <w:rPr>
          <w:rFonts w:eastAsia="Calibri"/>
        </w:rPr>
        <w:t>, skaidrojum</w:t>
      </w:r>
      <w:r>
        <w:rPr>
          <w:rFonts w:eastAsia="Calibri"/>
        </w:rPr>
        <w:t>iem</w:t>
      </w:r>
      <w:r w:rsidR="00A841C6">
        <w:rPr>
          <w:rFonts w:eastAsia="Calibri"/>
        </w:rPr>
        <w:t xml:space="preserve">, kā arī </w:t>
      </w:r>
      <w:r w:rsidR="00DF217D">
        <w:rPr>
          <w:rFonts w:eastAsia="Calibri"/>
        </w:rPr>
        <w:t>pamatojoties</w:t>
      </w:r>
      <w:r w:rsidR="00A841C6">
        <w:rPr>
          <w:rFonts w:eastAsia="Calibri"/>
        </w:rPr>
        <w:t xml:space="preserve"> uz Regulas un </w:t>
      </w:r>
      <w:r w:rsidR="00DD22BF" w:rsidRPr="00DD22BF">
        <w:rPr>
          <w:rFonts w:eastAsia="Calibri"/>
        </w:rPr>
        <w:t>pašpārbaudes veidlap</w:t>
      </w:r>
      <w:r w:rsidR="00DD22BF">
        <w:rPr>
          <w:rFonts w:eastAsia="Calibri"/>
        </w:rPr>
        <w:t xml:space="preserve">ā </w:t>
      </w:r>
      <w:r>
        <w:rPr>
          <w:rFonts w:eastAsia="Calibri"/>
        </w:rPr>
        <w:t xml:space="preserve">norādītajām prasībām, FM izstrādāja </w:t>
      </w:r>
      <w:r w:rsidR="00F81C9D">
        <w:rPr>
          <w:rFonts w:eastAsia="Calibri"/>
        </w:rPr>
        <w:t xml:space="preserve">indikatīvo </w:t>
      </w:r>
      <w:r>
        <w:rPr>
          <w:rFonts w:eastAsia="Calibri"/>
        </w:rPr>
        <w:t xml:space="preserve">papildus nepieciešamo finanšu resursu piedāvājumu visām </w:t>
      </w:r>
      <w:r w:rsidR="009A5A19" w:rsidRPr="009A5A19">
        <w:rPr>
          <w:rFonts w:eastAsia="Calibri"/>
        </w:rPr>
        <w:t>Atveseļošanas fonda</w:t>
      </w:r>
      <w:r w:rsidR="009A5A19">
        <w:rPr>
          <w:rFonts w:eastAsia="Calibri"/>
        </w:rPr>
        <w:t xml:space="preserve"> </w:t>
      </w:r>
      <w:r>
        <w:rPr>
          <w:rFonts w:eastAsia="Calibri"/>
        </w:rPr>
        <w:t>administrēšanā iesaistītajām institūcijām,</w:t>
      </w:r>
      <w:r w:rsidR="001E75E5">
        <w:rPr>
          <w:rFonts w:eastAsia="Calibri"/>
        </w:rPr>
        <w:t xml:space="preserve"> lai nodrošinātu atbilstošas vadības un kontroles sistēmas darbību,</w:t>
      </w:r>
      <w:r>
        <w:rPr>
          <w:rFonts w:eastAsia="Calibri"/>
        </w:rPr>
        <w:t xml:space="preserve"> kas kopā veidoja </w:t>
      </w:r>
      <w:r w:rsidR="00DF217D">
        <w:rPr>
          <w:rFonts w:eastAsia="Calibri"/>
        </w:rPr>
        <w:t>26,79 milj. EUR</w:t>
      </w:r>
      <w:r w:rsidR="005A1B69">
        <w:rPr>
          <w:rFonts w:eastAsia="Calibri"/>
        </w:rPr>
        <w:t xml:space="preserve"> (skatīt Tabulā Nr.1)</w:t>
      </w:r>
      <w:r w:rsidR="00DF217D">
        <w:rPr>
          <w:rFonts w:eastAsia="Calibri"/>
        </w:rPr>
        <w:t>. Sākotnējai</w:t>
      </w:r>
      <w:r w:rsidR="00045B2C">
        <w:rPr>
          <w:rFonts w:eastAsia="Calibri"/>
        </w:rPr>
        <w:t>s</w:t>
      </w:r>
      <w:r w:rsidR="00DF217D">
        <w:rPr>
          <w:rFonts w:eastAsia="Calibri"/>
        </w:rPr>
        <w:t xml:space="preserve"> piedāvājums tika balstīts uz </w:t>
      </w:r>
      <w:r w:rsidR="009A5A19" w:rsidRPr="009A5A19">
        <w:rPr>
          <w:rFonts w:eastAsia="Calibri"/>
        </w:rPr>
        <w:t>Atveseļošanas fonda</w:t>
      </w:r>
      <w:r w:rsidR="00DF217D">
        <w:rPr>
          <w:rFonts w:eastAsia="Calibri"/>
        </w:rPr>
        <w:t xml:space="preserve"> plāna administrēšanas un uzraudzības procesu tvērumu, kas tiktu </w:t>
      </w:r>
      <w:r w:rsidR="00045B2C">
        <w:rPr>
          <w:rFonts w:eastAsia="Calibri"/>
        </w:rPr>
        <w:t xml:space="preserve">pamatā </w:t>
      </w:r>
      <w:r w:rsidR="00DF217D">
        <w:rPr>
          <w:rFonts w:eastAsia="Calibri"/>
        </w:rPr>
        <w:t xml:space="preserve">balstīts uz </w:t>
      </w:r>
      <w:r w:rsidR="00DF217D" w:rsidRPr="00DF217D">
        <w:rPr>
          <w:rFonts w:eastAsia="Calibri"/>
        </w:rPr>
        <w:t>interešu konflikta, korupcijas, krāpšanas un dubultas finansēšanas, datu ticamību un sasniegto atskaites punktu un mērķu pamatojošās dokumentācijas pārbaudēm</w:t>
      </w:r>
      <w:r w:rsidR="00045B2C">
        <w:rPr>
          <w:rFonts w:eastAsia="Calibri"/>
        </w:rPr>
        <w:t xml:space="preserve"> un apkopošanu, lai nodrošinātu nepieciešamo informācijas apjomu iesniegšanai EK</w:t>
      </w:r>
      <w:r w:rsidR="00DF217D">
        <w:rPr>
          <w:rFonts w:eastAsia="Calibri"/>
        </w:rPr>
        <w:t xml:space="preserve">. </w:t>
      </w:r>
    </w:p>
    <w:p w14:paraId="414D1C98" w14:textId="464EDD9E" w:rsidR="001E75E5" w:rsidRDefault="001E75E5" w:rsidP="004F4227">
      <w:pPr>
        <w:spacing w:after="0" w:line="276" w:lineRule="auto"/>
        <w:ind w:firstLine="720"/>
        <w:jc w:val="both"/>
        <w:rPr>
          <w:rFonts w:eastAsia="Calibri"/>
        </w:rPr>
      </w:pPr>
    </w:p>
    <w:p w14:paraId="5A98CD8A" w14:textId="2D3594C4" w:rsidR="001E75E5" w:rsidRDefault="001E75E5" w:rsidP="001E75E5">
      <w:pPr>
        <w:spacing w:after="0" w:line="276" w:lineRule="auto"/>
        <w:ind w:firstLine="720"/>
        <w:jc w:val="right"/>
        <w:rPr>
          <w:rFonts w:eastAsia="Calibri"/>
        </w:rPr>
      </w:pPr>
      <w:r>
        <w:rPr>
          <w:rFonts w:eastAsia="Calibri"/>
        </w:rPr>
        <w:t>Tabula Nr.1</w:t>
      </w:r>
    </w:p>
    <w:tbl>
      <w:tblPr>
        <w:tblW w:w="597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91"/>
        <w:gridCol w:w="1071"/>
        <w:gridCol w:w="793"/>
        <w:gridCol w:w="1221"/>
        <w:gridCol w:w="776"/>
        <w:gridCol w:w="1167"/>
        <w:gridCol w:w="776"/>
        <w:gridCol w:w="1203"/>
        <w:gridCol w:w="787"/>
      </w:tblGrid>
      <w:tr w:rsidR="001E75E5" w:rsidRPr="006E2BC2" w14:paraId="77C53C4C" w14:textId="77777777" w:rsidTr="006B5659">
        <w:trPr>
          <w:trHeight w:val="288"/>
        </w:trPr>
        <w:tc>
          <w:tcPr>
            <w:tcW w:w="725" w:type="pct"/>
            <w:shd w:val="clear" w:color="auto" w:fill="auto"/>
            <w:noWrap/>
            <w:vAlign w:val="center"/>
            <w:hideMark/>
          </w:tcPr>
          <w:p w14:paraId="794C3EDE" w14:textId="77777777"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FM</w:t>
            </w:r>
          </w:p>
        </w:tc>
        <w:tc>
          <w:tcPr>
            <w:tcW w:w="394" w:type="pct"/>
            <w:vMerge w:val="restart"/>
            <w:shd w:val="clear" w:color="auto" w:fill="auto"/>
            <w:noWrap/>
            <w:vAlign w:val="center"/>
            <w:hideMark/>
          </w:tcPr>
          <w:p w14:paraId="7D14D14B" w14:textId="77777777" w:rsidR="001E75E5" w:rsidRPr="006E2BC2" w:rsidRDefault="001E75E5" w:rsidP="006B5659">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33" w:type="pct"/>
            <w:vMerge w:val="restart"/>
            <w:shd w:val="clear" w:color="auto" w:fill="auto"/>
            <w:noWrap/>
            <w:vAlign w:val="center"/>
            <w:hideMark/>
          </w:tcPr>
          <w:p w14:paraId="22AE13D2" w14:textId="77777777"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IUB</w:t>
            </w:r>
          </w:p>
        </w:tc>
        <w:tc>
          <w:tcPr>
            <w:tcW w:w="395" w:type="pct"/>
            <w:vMerge w:val="restart"/>
            <w:shd w:val="clear" w:color="auto" w:fill="auto"/>
            <w:noWrap/>
            <w:vAlign w:val="center"/>
            <w:hideMark/>
          </w:tcPr>
          <w:p w14:paraId="0B3B3696" w14:textId="77777777" w:rsidR="001E75E5" w:rsidRPr="006E2BC2" w:rsidRDefault="001E75E5" w:rsidP="006B5659">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608" w:type="pct"/>
            <w:vMerge w:val="restart"/>
            <w:shd w:val="clear" w:color="auto" w:fill="auto"/>
            <w:noWrap/>
            <w:vAlign w:val="center"/>
            <w:hideMark/>
          </w:tcPr>
          <w:p w14:paraId="79A9BD0E" w14:textId="77777777"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CFLA</w:t>
            </w:r>
            <w:r>
              <w:rPr>
                <w:rStyle w:val="FootnoteReference"/>
                <w:rFonts w:eastAsia="Times New Roman"/>
                <w:b/>
                <w:bCs/>
                <w:color w:val="000000"/>
                <w:sz w:val="18"/>
                <w:szCs w:val="18"/>
                <w:lang w:eastAsia="lv-LV"/>
              </w:rPr>
              <w:footnoteReference w:id="17"/>
            </w:r>
          </w:p>
        </w:tc>
        <w:tc>
          <w:tcPr>
            <w:tcW w:w="386" w:type="pct"/>
            <w:vMerge w:val="restart"/>
            <w:shd w:val="clear" w:color="auto" w:fill="auto"/>
            <w:noWrap/>
            <w:vAlign w:val="center"/>
            <w:hideMark/>
          </w:tcPr>
          <w:p w14:paraId="7FC6B47F" w14:textId="77777777" w:rsidR="001E75E5" w:rsidRPr="006E2BC2" w:rsidRDefault="001E75E5" w:rsidP="006B5659">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81" w:type="pct"/>
            <w:vMerge w:val="restart"/>
            <w:shd w:val="clear" w:color="auto" w:fill="auto"/>
            <w:noWrap/>
            <w:vAlign w:val="center"/>
            <w:hideMark/>
          </w:tcPr>
          <w:p w14:paraId="05077A6E" w14:textId="77777777"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I</w:t>
            </w:r>
            <w:r>
              <w:rPr>
                <w:rFonts w:eastAsia="Times New Roman"/>
                <w:b/>
                <w:bCs/>
                <w:color w:val="000000"/>
                <w:sz w:val="18"/>
                <w:szCs w:val="18"/>
                <w:lang w:eastAsia="lv-LV"/>
              </w:rPr>
              <w:t>nstitūcijas</w:t>
            </w:r>
            <w:r w:rsidRPr="006E2BC2">
              <w:rPr>
                <w:rFonts w:eastAsia="Times New Roman"/>
                <w:b/>
                <w:bCs/>
                <w:color w:val="000000"/>
                <w:sz w:val="18"/>
                <w:szCs w:val="18"/>
                <w:lang w:eastAsia="lv-LV"/>
              </w:rPr>
              <w:t>*</w:t>
            </w:r>
          </w:p>
        </w:tc>
        <w:tc>
          <w:tcPr>
            <w:tcW w:w="386" w:type="pct"/>
            <w:vMerge w:val="restart"/>
            <w:shd w:val="clear" w:color="auto" w:fill="auto"/>
            <w:noWrap/>
            <w:vAlign w:val="center"/>
            <w:hideMark/>
          </w:tcPr>
          <w:p w14:paraId="0AF07F0B" w14:textId="77777777" w:rsidR="001E75E5" w:rsidRPr="006E2BC2" w:rsidRDefault="001E75E5" w:rsidP="006B5659">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99" w:type="pct"/>
            <w:vMerge w:val="restart"/>
            <w:shd w:val="clear" w:color="auto" w:fill="auto"/>
            <w:noWrap/>
            <w:vAlign w:val="center"/>
            <w:hideMark/>
          </w:tcPr>
          <w:p w14:paraId="47467B7F" w14:textId="77777777"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Kopā</w:t>
            </w:r>
          </w:p>
        </w:tc>
        <w:tc>
          <w:tcPr>
            <w:tcW w:w="392" w:type="pct"/>
            <w:vMerge w:val="restart"/>
            <w:shd w:val="clear" w:color="auto" w:fill="auto"/>
            <w:vAlign w:val="center"/>
          </w:tcPr>
          <w:p w14:paraId="75FCA14F" w14:textId="77777777" w:rsidR="001E75E5" w:rsidRPr="006E2BC2" w:rsidRDefault="001E75E5" w:rsidP="006B5659">
            <w:pPr>
              <w:spacing w:after="0"/>
              <w:jc w:val="center"/>
              <w:rPr>
                <w:rFonts w:eastAsia="Times New Roman"/>
                <w:b/>
                <w:bCs/>
                <w:color w:val="000000"/>
                <w:sz w:val="18"/>
                <w:szCs w:val="18"/>
                <w:lang w:eastAsia="lv-LV"/>
              </w:rPr>
            </w:pPr>
            <w:r>
              <w:rPr>
                <w:rFonts w:eastAsia="Times New Roman"/>
                <w:b/>
                <w:bCs/>
                <w:color w:val="000000"/>
                <w:sz w:val="18"/>
                <w:szCs w:val="18"/>
                <w:lang w:eastAsia="lv-LV"/>
              </w:rPr>
              <w:t>Slodzes kopā</w:t>
            </w:r>
          </w:p>
        </w:tc>
      </w:tr>
      <w:tr w:rsidR="001E75E5" w:rsidRPr="006E2BC2" w14:paraId="1AEB2950" w14:textId="77777777" w:rsidTr="006B5659">
        <w:trPr>
          <w:trHeight w:val="288"/>
        </w:trPr>
        <w:tc>
          <w:tcPr>
            <w:tcW w:w="725" w:type="pct"/>
            <w:shd w:val="clear" w:color="auto" w:fill="auto"/>
            <w:noWrap/>
            <w:vAlign w:val="center"/>
            <w:hideMark/>
          </w:tcPr>
          <w:p w14:paraId="64A71F53" w14:textId="2CC9AA1D" w:rsidR="001E75E5"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(VI</w:t>
            </w:r>
            <w:r w:rsidR="00B730C3">
              <w:rPr>
                <w:rStyle w:val="FootnoteReference"/>
                <w:rFonts w:eastAsia="Times New Roman"/>
                <w:b/>
                <w:bCs/>
                <w:color w:val="000000"/>
                <w:sz w:val="18"/>
                <w:szCs w:val="18"/>
                <w:lang w:eastAsia="lv-LV"/>
              </w:rPr>
              <w:footnoteReference w:id="18"/>
            </w:r>
            <w:r w:rsidRPr="006E2BC2">
              <w:rPr>
                <w:rFonts w:eastAsia="Times New Roman"/>
                <w:b/>
                <w:bCs/>
                <w:color w:val="000000"/>
                <w:sz w:val="18"/>
                <w:szCs w:val="18"/>
                <w:lang w:eastAsia="lv-LV"/>
              </w:rPr>
              <w:t xml:space="preserve">, RI, </w:t>
            </w:r>
          </w:p>
          <w:p w14:paraId="7A69ACC2" w14:textId="1518081C" w:rsidR="001E75E5" w:rsidRPr="006E2BC2" w:rsidRDefault="001E75E5" w:rsidP="006B5659">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KAKD</w:t>
            </w:r>
            <w:r>
              <w:rPr>
                <w:rFonts w:eastAsia="Times New Roman"/>
                <w:b/>
                <w:bCs/>
                <w:color w:val="000000"/>
                <w:sz w:val="18"/>
                <w:szCs w:val="18"/>
                <w:lang w:eastAsia="lv-LV"/>
              </w:rPr>
              <w:t>, KD</w:t>
            </w:r>
            <w:r w:rsidR="00A602FB">
              <w:rPr>
                <w:rStyle w:val="FootnoteReference"/>
                <w:rFonts w:eastAsia="Times New Roman"/>
                <w:b/>
                <w:bCs/>
                <w:color w:val="000000"/>
                <w:sz w:val="18"/>
                <w:szCs w:val="18"/>
                <w:lang w:eastAsia="lv-LV"/>
              </w:rPr>
              <w:footnoteReference w:id="19"/>
            </w:r>
            <w:r w:rsidRPr="006E2BC2">
              <w:rPr>
                <w:rFonts w:eastAsia="Times New Roman"/>
                <w:b/>
                <w:bCs/>
                <w:color w:val="000000"/>
                <w:sz w:val="18"/>
                <w:szCs w:val="18"/>
                <w:lang w:eastAsia="lv-LV"/>
              </w:rPr>
              <w:t>)</w:t>
            </w:r>
          </w:p>
        </w:tc>
        <w:tc>
          <w:tcPr>
            <w:tcW w:w="394" w:type="pct"/>
            <w:vMerge/>
            <w:vAlign w:val="center"/>
            <w:hideMark/>
          </w:tcPr>
          <w:p w14:paraId="4315871C" w14:textId="77777777" w:rsidR="001E75E5" w:rsidRPr="006E2BC2" w:rsidRDefault="001E75E5" w:rsidP="006B5659">
            <w:pPr>
              <w:spacing w:after="0"/>
              <w:jc w:val="center"/>
              <w:rPr>
                <w:rFonts w:eastAsia="Times New Roman"/>
                <w:color w:val="000000"/>
                <w:sz w:val="18"/>
                <w:szCs w:val="18"/>
                <w:lang w:eastAsia="lv-LV"/>
              </w:rPr>
            </w:pPr>
          </w:p>
        </w:tc>
        <w:tc>
          <w:tcPr>
            <w:tcW w:w="533" w:type="pct"/>
            <w:vMerge/>
            <w:vAlign w:val="center"/>
            <w:hideMark/>
          </w:tcPr>
          <w:p w14:paraId="2BED2819" w14:textId="77777777" w:rsidR="001E75E5" w:rsidRPr="006E2BC2" w:rsidRDefault="001E75E5" w:rsidP="006B5659">
            <w:pPr>
              <w:spacing w:after="0"/>
              <w:jc w:val="center"/>
              <w:rPr>
                <w:rFonts w:eastAsia="Times New Roman"/>
                <w:b/>
                <w:bCs/>
                <w:color w:val="000000"/>
                <w:sz w:val="18"/>
                <w:szCs w:val="18"/>
                <w:lang w:eastAsia="lv-LV"/>
              </w:rPr>
            </w:pPr>
          </w:p>
        </w:tc>
        <w:tc>
          <w:tcPr>
            <w:tcW w:w="395" w:type="pct"/>
            <w:vMerge/>
            <w:vAlign w:val="center"/>
            <w:hideMark/>
          </w:tcPr>
          <w:p w14:paraId="44280247" w14:textId="77777777" w:rsidR="001E75E5" w:rsidRPr="006E2BC2" w:rsidRDefault="001E75E5" w:rsidP="006B5659">
            <w:pPr>
              <w:spacing w:after="0"/>
              <w:jc w:val="center"/>
              <w:rPr>
                <w:rFonts w:eastAsia="Times New Roman"/>
                <w:color w:val="000000"/>
                <w:sz w:val="18"/>
                <w:szCs w:val="18"/>
                <w:lang w:eastAsia="lv-LV"/>
              </w:rPr>
            </w:pPr>
          </w:p>
        </w:tc>
        <w:tc>
          <w:tcPr>
            <w:tcW w:w="608" w:type="pct"/>
            <w:vMerge/>
            <w:shd w:val="clear" w:color="auto" w:fill="auto"/>
            <w:noWrap/>
            <w:vAlign w:val="center"/>
            <w:hideMark/>
          </w:tcPr>
          <w:p w14:paraId="4DEC244D" w14:textId="77777777" w:rsidR="001E75E5" w:rsidRPr="006E2BC2" w:rsidRDefault="001E75E5" w:rsidP="006B5659">
            <w:pPr>
              <w:spacing w:after="0"/>
              <w:jc w:val="center"/>
              <w:rPr>
                <w:rFonts w:eastAsia="Times New Roman"/>
                <w:b/>
                <w:bCs/>
                <w:color w:val="000000"/>
                <w:sz w:val="18"/>
                <w:szCs w:val="18"/>
                <w:lang w:eastAsia="lv-LV"/>
              </w:rPr>
            </w:pPr>
          </w:p>
        </w:tc>
        <w:tc>
          <w:tcPr>
            <w:tcW w:w="386" w:type="pct"/>
            <w:vMerge/>
            <w:vAlign w:val="center"/>
            <w:hideMark/>
          </w:tcPr>
          <w:p w14:paraId="773974E3" w14:textId="77777777" w:rsidR="001E75E5" w:rsidRPr="006E2BC2" w:rsidRDefault="001E75E5" w:rsidP="006B5659">
            <w:pPr>
              <w:spacing w:after="0"/>
              <w:jc w:val="center"/>
              <w:rPr>
                <w:rFonts w:eastAsia="Times New Roman"/>
                <w:color w:val="000000"/>
                <w:sz w:val="18"/>
                <w:szCs w:val="18"/>
                <w:lang w:eastAsia="lv-LV"/>
              </w:rPr>
            </w:pPr>
          </w:p>
        </w:tc>
        <w:tc>
          <w:tcPr>
            <w:tcW w:w="581" w:type="pct"/>
            <w:vMerge/>
            <w:vAlign w:val="center"/>
            <w:hideMark/>
          </w:tcPr>
          <w:p w14:paraId="72461D46" w14:textId="77777777" w:rsidR="001E75E5" w:rsidRPr="006E2BC2" w:rsidRDefault="001E75E5" w:rsidP="006B5659">
            <w:pPr>
              <w:spacing w:after="0"/>
              <w:jc w:val="center"/>
              <w:rPr>
                <w:rFonts w:eastAsia="Times New Roman"/>
                <w:b/>
                <w:bCs/>
                <w:color w:val="000000"/>
                <w:sz w:val="18"/>
                <w:szCs w:val="18"/>
                <w:lang w:eastAsia="lv-LV"/>
              </w:rPr>
            </w:pPr>
          </w:p>
        </w:tc>
        <w:tc>
          <w:tcPr>
            <w:tcW w:w="386" w:type="pct"/>
            <w:vMerge/>
            <w:vAlign w:val="center"/>
            <w:hideMark/>
          </w:tcPr>
          <w:p w14:paraId="06DE0D87" w14:textId="77777777" w:rsidR="001E75E5" w:rsidRPr="006E2BC2" w:rsidRDefault="001E75E5" w:rsidP="006B5659">
            <w:pPr>
              <w:spacing w:after="0"/>
              <w:jc w:val="center"/>
              <w:rPr>
                <w:rFonts w:eastAsia="Times New Roman"/>
                <w:color w:val="000000"/>
                <w:sz w:val="18"/>
                <w:szCs w:val="18"/>
                <w:lang w:eastAsia="lv-LV"/>
              </w:rPr>
            </w:pPr>
          </w:p>
        </w:tc>
        <w:tc>
          <w:tcPr>
            <w:tcW w:w="599" w:type="pct"/>
            <w:vMerge/>
            <w:vAlign w:val="center"/>
            <w:hideMark/>
          </w:tcPr>
          <w:p w14:paraId="0FB9BAB4" w14:textId="77777777" w:rsidR="001E75E5" w:rsidRPr="006E2BC2" w:rsidRDefault="001E75E5" w:rsidP="006B5659">
            <w:pPr>
              <w:spacing w:after="0"/>
              <w:jc w:val="center"/>
              <w:rPr>
                <w:rFonts w:eastAsia="Times New Roman"/>
                <w:b/>
                <w:bCs/>
                <w:color w:val="000000"/>
                <w:sz w:val="18"/>
                <w:szCs w:val="18"/>
                <w:lang w:eastAsia="lv-LV"/>
              </w:rPr>
            </w:pPr>
          </w:p>
        </w:tc>
        <w:tc>
          <w:tcPr>
            <w:tcW w:w="392" w:type="pct"/>
            <w:vMerge/>
            <w:vAlign w:val="center"/>
          </w:tcPr>
          <w:p w14:paraId="633C49E1" w14:textId="77777777" w:rsidR="001E75E5" w:rsidRPr="006E2BC2" w:rsidRDefault="001E75E5" w:rsidP="006B5659">
            <w:pPr>
              <w:spacing w:after="0"/>
              <w:jc w:val="center"/>
              <w:rPr>
                <w:rFonts w:eastAsia="Times New Roman"/>
                <w:b/>
                <w:bCs/>
                <w:color w:val="000000"/>
                <w:sz w:val="18"/>
                <w:szCs w:val="18"/>
                <w:lang w:eastAsia="lv-LV"/>
              </w:rPr>
            </w:pPr>
          </w:p>
        </w:tc>
      </w:tr>
      <w:tr w:rsidR="001E75E5" w:rsidRPr="006E2BC2" w14:paraId="04667FCD" w14:textId="77777777" w:rsidTr="006B5659">
        <w:trPr>
          <w:trHeight w:val="288"/>
        </w:trPr>
        <w:tc>
          <w:tcPr>
            <w:tcW w:w="725" w:type="pct"/>
            <w:shd w:val="clear" w:color="auto" w:fill="auto"/>
            <w:vAlign w:val="center"/>
          </w:tcPr>
          <w:p w14:paraId="4A9C9D1B" w14:textId="77777777" w:rsidR="001E75E5" w:rsidRPr="006E2BC2" w:rsidRDefault="001E75E5" w:rsidP="006B5659">
            <w:pPr>
              <w:spacing w:after="0"/>
              <w:jc w:val="center"/>
              <w:rPr>
                <w:rFonts w:eastAsia="Times New Roman"/>
                <w:b/>
                <w:bCs/>
                <w:color w:val="000000"/>
                <w:sz w:val="18"/>
                <w:szCs w:val="18"/>
                <w:lang w:eastAsia="lv-LV"/>
              </w:rPr>
            </w:pPr>
            <w:r>
              <w:rPr>
                <w:b/>
                <w:bCs/>
                <w:color w:val="000000"/>
                <w:sz w:val="18"/>
                <w:szCs w:val="18"/>
              </w:rPr>
              <w:t>2 448 000€</w:t>
            </w:r>
          </w:p>
        </w:tc>
        <w:tc>
          <w:tcPr>
            <w:tcW w:w="394" w:type="pct"/>
            <w:shd w:val="clear" w:color="auto" w:fill="auto"/>
            <w:noWrap/>
            <w:vAlign w:val="center"/>
          </w:tcPr>
          <w:p w14:paraId="7543F3BD" w14:textId="77777777" w:rsidR="001E75E5" w:rsidRPr="006E2BC2" w:rsidRDefault="001E75E5" w:rsidP="006B5659">
            <w:pPr>
              <w:spacing w:after="0"/>
              <w:jc w:val="center"/>
              <w:rPr>
                <w:rFonts w:eastAsia="Times New Roman"/>
                <w:color w:val="000000"/>
                <w:sz w:val="18"/>
                <w:szCs w:val="18"/>
                <w:lang w:eastAsia="lv-LV"/>
              </w:rPr>
            </w:pPr>
            <w:r>
              <w:rPr>
                <w:color w:val="000000"/>
                <w:sz w:val="18"/>
                <w:szCs w:val="18"/>
              </w:rPr>
              <w:t>12</w:t>
            </w:r>
          </w:p>
        </w:tc>
        <w:tc>
          <w:tcPr>
            <w:tcW w:w="533" w:type="pct"/>
            <w:shd w:val="clear" w:color="auto" w:fill="auto"/>
            <w:noWrap/>
            <w:vAlign w:val="center"/>
          </w:tcPr>
          <w:p w14:paraId="4AEA9F2F" w14:textId="77777777" w:rsidR="001E75E5" w:rsidRPr="006E2BC2" w:rsidRDefault="001E75E5" w:rsidP="006B5659">
            <w:pPr>
              <w:spacing w:after="0"/>
              <w:jc w:val="center"/>
              <w:rPr>
                <w:rFonts w:eastAsia="Times New Roman"/>
                <w:b/>
                <w:bCs/>
                <w:color w:val="000000"/>
                <w:sz w:val="18"/>
                <w:szCs w:val="18"/>
                <w:lang w:eastAsia="lv-LV"/>
              </w:rPr>
            </w:pPr>
            <w:r>
              <w:rPr>
                <w:b/>
                <w:bCs/>
                <w:color w:val="000000"/>
                <w:sz w:val="18"/>
                <w:szCs w:val="18"/>
              </w:rPr>
              <w:t xml:space="preserve">2 840 000 </w:t>
            </w:r>
            <w:r w:rsidRPr="00661FE9">
              <w:rPr>
                <w:b/>
                <w:bCs/>
                <w:color w:val="000000"/>
                <w:sz w:val="18"/>
                <w:szCs w:val="18"/>
              </w:rPr>
              <w:t>€</w:t>
            </w:r>
          </w:p>
        </w:tc>
        <w:tc>
          <w:tcPr>
            <w:tcW w:w="395" w:type="pct"/>
            <w:shd w:val="clear" w:color="auto" w:fill="auto"/>
            <w:noWrap/>
            <w:vAlign w:val="center"/>
          </w:tcPr>
          <w:p w14:paraId="25E99BED" w14:textId="77777777" w:rsidR="001E75E5" w:rsidRPr="006E2BC2" w:rsidRDefault="001E75E5" w:rsidP="006B5659">
            <w:pPr>
              <w:spacing w:after="0"/>
              <w:jc w:val="center"/>
              <w:rPr>
                <w:rFonts w:eastAsia="Times New Roman"/>
                <w:color w:val="000000"/>
                <w:sz w:val="18"/>
                <w:szCs w:val="18"/>
                <w:lang w:eastAsia="lv-LV"/>
              </w:rPr>
            </w:pPr>
            <w:r>
              <w:rPr>
                <w:color w:val="000000"/>
                <w:sz w:val="18"/>
                <w:szCs w:val="18"/>
              </w:rPr>
              <w:t>16</w:t>
            </w:r>
          </w:p>
        </w:tc>
        <w:tc>
          <w:tcPr>
            <w:tcW w:w="608" w:type="pct"/>
            <w:shd w:val="clear" w:color="auto" w:fill="auto"/>
            <w:vAlign w:val="center"/>
          </w:tcPr>
          <w:p w14:paraId="0E0FA260" w14:textId="77777777" w:rsidR="001E75E5" w:rsidRDefault="001E75E5" w:rsidP="006B5659">
            <w:pPr>
              <w:spacing w:after="0"/>
              <w:jc w:val="center"/>
              <w:rPr>
                <w:rFonts w:eastAsia="Times New Roman"/>
                <w:b/>
                <w:bCs/>
                <w:color w:val="000000"/>
                <w:sz w:val="18"/>
                <w:szCs w:val="18"/>
                <w:lang w:eastAsia="lv-LV"/>
              </w:rPr>
            </w:pPr>
            <w:r>
              <w:rPr>
                <w:b/>
                <w:bCs/>
                <w:color w:val="000000"/>
                <w:sz w:val="18"/>
                <w:szCs w:val="18"/>
              </w:rPr>
              <w:t>14 570 000 €</w:t>
            </w:r>
          </w:p>
        </w:tc>
        <w:tc>
          <w:tcPr>
            <w:tcW w:w="386" w:type="pct"/>
            <w:shd w:val="clear" w:color="auto" w:fill="auto"/>
            <w:noWrap/>
            <w:vAlign w:val="center"/>
          </w:tcPr>
          <w:p w14:paraId="08D4F719" w14:textId="77777777" w:rsidR="001E75E5" w:rsidRPr="006E2BC2" w:rsidRDefault="001E75E5" w:rsidP="006B5659">
            <w:pPr>
              <w:spacing w:after="0"/>
              <w:jc w:val="center"/>
              <w:rPr>
                <w:rFonts w:eastAsia="Times New Roman"/>
                <w:color w:val="000000"/>
                <w:sz w:val="18"/>
                <w:szCs w:val="18"/>
                <w:lang w:eastAsia="lv-LV"/>
              </w:rPr>
            </w:pPr>
            <w:r>
              <w:rPr>
                <w:color w:val="000000"/>
                <w:sz w:val="18"/>
                <w:szCs w:val="18"/>
              </w:rPr>
              <w:t>90</w:t>
            </w:r>
          </w:p>
        </w:tc>
        <w:tc>
          <w:tcPr>
            <w:tcW w:w="581" w:type="pct"/>
            <w:shd w:val="clear" w:color="auto" w:fill="auto"/>
            <w:vAlign w:val="center"/>
          </w:tcPr>
          <w:p w14:paraId="6D1832BA" w14:textId="77777777" w:rsidR="001E75E5" w:rsidRPr="006E2BC2" w:rsidRDefault="001E75E5" w:rsidP="006B5659">
            <w:pPr>
              <w:spacing w:after="0"/>
              <w:jc w:val="center"/>
              <w:rPr>
                <w:rFonts w:eastAsia="Times New Roman"/>
                <w:b/>
                <w:bCs/>
                <w:color w:val="000000"/>
                <w:sz w:val="18"/>
                <w:szCs w:val="18"/>
                <w:lang w:eastAsia="lv-LV"/>
              </w:rPr>
            </w:pPr>
            <w:r>
              <w:rPr>
                <w:b/>
                <w:bCs/>
                <w:color w:val="000000"/>
                <w:sz w:val="18"/>
                <w:szCs w:val="18"/>
              </w:rPr>
              <w:t xml:space="preserve">6 936 000 </w:t>
            </w:r>
            <w:r w:rsidRPr="00661FE9">
              <w:rPr>
                <w:b/>
                <w:bCs/>
                <w:color w:val="000000"/>
                <w:sz w:val="18"/>
                <w:szCs w:val="18"/>
              </w:rPr>
              <w:t>€</w:t>
            </w:r>
          </w:p>
        </w:tc>
        <w:tc>
          <w:tcPr>
            <w:tcW w:w="386" w:type="pct"/>
            <w:shd w:val="clear" w:color="auto" w:fill="auto"/>
            <w:noWrap/>
            <w:vAlign w:val="center"/>
          </w:tcPr>
          <w:p w14:paraId="545EEFB2" w14:textId="77777777" w:rsidR="001E75E5" w:rsidRPr="006E2BC2" w:rsidRDefault="001E75E5" w:rsidP="006B5659">
            <w:pPr>
              <w:spacing w:after="0"/>
              <w:jc w:val="center"/>
              <w:rPr>
                <w:rFonts w:eastAsia="Times New Roman"/>
                <w:color w:val="000000"/>
                <w:sz w:val="18"/>
                <w:szCs w:val="18"/>
                <w:lang w:eastAsia="lv-LV"/>
              </w:rPr>
            </w:pPr>
            <w:r>
              <w:rPr>
                <w:color w:val="000000"/>
                <w:sz w:val="18"/>
                <w:szCs w:val="18"/>
              </w:rPr>
              <w:t>34</w:t>
            </w:r>
          </w:p>
        </w:tc>
        <w:tc>
          <w:tcPr>
            <w:tcW w:w="599" w:type="pct"/>
            <w:shd w:val="clear" w:color="auto" w:fill="auto"/>
            <w:noWrap/>
            <w:vAlign w:val="center"/>
          </w:tcPr>
          <w:p w14:paraId="591E6FAE" w14:textId="77777777" w:rsidR="001E75E5" w:rsidRDefault="001E75E5" w:rsidP="006B5659">
            <w:pPr>
              <w:spacing w:after="0"/>
              <w:jc w:val="center"/>
              <w:rPr>
                <w:rFonts w:eastAsia="Times New Roman"/>
                <w:b/>
                <w:bCs/>
                <w:color w:val="000000"/>
                <w:sz w:val="18"/>
                <w:szCs w:val="18"/>
                <w:lang w:eastAsia="lv-LV"/>
              </w:rPr>
            </w:pPr>
            <w:r>
              <w:rPr>
                <w:b/>
                <w:bCs/>
                <w:color w:val="000000"/>
                <w:sz w:val="18"/>
                <w:szCs w:val="18"/>
              </w:rPr>
              <w:t>26 794 000 €</w:t>
            </w:r>
          </w:p>
        </w:tc>
        <w:tc>
          <w:tcPr>
            <w:tcW w:w="392" w:type="pct"/>
            <w:shd w:val="clear" w:color="auto" w:fill="auto"/>
            <w:noWrap/>
            <w:vAlign w:val="center"/>
          </w:tcPr>
          <w:p w14:paraId="7FAF5540" w14:textId="77777777" w:rsidR="001E75E5" w:rsidRPr="006E2BC2" w:rsidRDefault="001E75E5" w:rsidP="006B5659">
            <w:pPr>
              <w:spacing w:after="0"/>
              <w:jc w:val="center"/>
              <w:rPr>
                <w:rFonts w:eastAsia="Times New Roman"/>
                <w:color w:val="000000"/>
                <w:sz w:val="18"/>
                <w:szCs w:val="18"/>
                <w:lang w:eastAsia="lv-LV"/>
              </w:rPr>
            </w:pPr>
            <w:r>
              <w:rPr>
                <w:color w:val="000000"/>
                <w:sz w:val="18"/>
                <w:szCs w:val="18"/>
              </w:rPr>
              <w:t>152</w:t>
            </w:r>
          </w:p>
        </w:tc>
      </w:tr>
    </w:tbl>
    <w:p w14:paraId="1C102A40" w14:textId="3331A048" w:rsidR="001E75E5" w:rsidRDefault="001E75E5" w:rsidP="004F4227">
      <w:pPr>
        <w:spacing w:after="0" w:line="276" w:lineRule="auto"/>
        <w:ind w:firstLine="720"/>
        <w:jc w:val="both"/>
        <w:rPr>
          <w:rFonts w:eastAsia="Calibri"/>
        </w:rPr>
      </w:pPr>
    </w:p>
    <w:p w14:paraId="07F6E3FD" w14:textId="2F2D3894" w:rsidR="00D9435F" w:rsidRDefault="001C7A71" w:rsidP="001C7A71">
      <w:pPr>
        <w:spacing w:after="0" w:line="276" w:lineRule="auto"/>
        <w:ind w:firstLine="720"/>
        <w:jc w:val="both"/>
        <w:rPr>
          <w:rFonts w:eastAsia="Calibri"/>
        </w:rPr>
      </w:pPr>
      <w:r>
        <w:rPr>
          <w:rFonts w:eastAsia="Calibri"/>
        </w:rPr>
        <w:t xml:space="preserve">Lai gan Regulā un </w:t>
      </w:r>
      <w:r w:rsidRPr="001C7A71">
        <w:rPr>
          <w:rFonts w:eastAsia="Calibri"/>
        </w:rPr>
        <w:t>pašpārbaudes veidlapā norādīt</w:t>
      </w:r>
      <w:r>
        <w:rPr>
          <w:rFonts w:eastAsia="Calibri"/>
        </w:rPr>
        <w:t xml:space="preserve">ās </w:t>
      </w:r>
      <w:r w:rsidR="00736B0A">
        <w:rPr>
          <w:rFonts w:eastAsia="Calibri"/>
        </w:rPr>
        <w:t xml:space="preserve">pamatprasības </w:t>
      </w:r>
      <w:r w:rsidR="000E3A91">
        <w:rPr>
          <w:rFonts w:eastAsia="Calibri"/>
        </w:rPr>
        <w:t xml:space="preserve">pēc būtības </w:t>
      </w:r>
      <w:r>
        <w:rPr>
          <w:rFonts w:eastAsia="Calibri"/>
        </w:rPr>
        <w:t xml:space="preserve">nav mainījušās no EK puses, </w:t>
      </w:r>
      <w:r w:rsidR="00464699">
        <w:rPr>
          <w:rFonts w:eastAsia="Calibri"/>
        </w:rPr>
        <w:t>b</w:t>
      </w:r>
      <w:r w:rsidR="005C6ED3">
        <w:rPr>
          <w:rFonts w:eastAsia="Calibri"/>
        </w:rPr>
        <w:t xml:space="preserve">ūtisks papildus </w:t>
      </w:r>
      <w:bookmarkStart w:id="7" w:name="_Hlk80282936"/>
      <w:r w:rsidR="005C6ED3">
        <w:rPr>
          <w:rFonts w:eastAsia="Calibri"/>
        </w:rPr>
        <w:t xml:space="preserve">veicamo funkciju apjoms, kas nav definēts Regulā, noteikts citos EK sagatavotajos dokumentos kā </w:t>
      </w:r>
      <w:r w:rsidR="00A07BD0">
        <w:rPr>
          <w:rFonts w:eastAsia="Calibri"/>
        </w:rPr>
        <w:t xml:space="preserve">Regulas deleģētajos aktos, </w:t>
      </w:r>
      <w:r w:rsidR="00A154DD" w:rsidRPr="00A154DD">
        <w:rPr>
          <w:rFonts w:eastAsia="Calibri"/>
        </w:rPr>
        <w:t>Atveseļošanas fonda</w:t>
      </w:r>
      <w:r w:rsidR="005C6ED3">
        <w:rPr>
          <w:rFonts w:eastAsia="Calibri"/>
        </w:rPr>
        <w:t xml:space="preserve"> finansēšanas līgumā</w:t>
      </w:r>
      <w:r w:rsidR="005C6ED3">
        <w:rPr>
          <w:rStyle w:val="FootnoteReference"/>
          <w:rFonts w:eastAsia="Calibri"/>
        </w:rPr>
        <w:footnoteReference w:id="20"/>
      </w:r>
      <w:r w:rsidR="005C6ED3">
        <w:rPr>
          <w:rFonts w:eastAsia="Calibri"/>
        </w:rPr>
        <w:t>, P</w:t>
      </w:r>
      <w:r w:rsidR="005C6ED3" w:rsidRPr="005C6ED3">
        <w:rPr>
          <w:rFonts w:eastAsia="Calibri"/>
        </w:rPr>
        <w:t xml:space="preserve">adomes </w:t>
      </w:r>
      <w:r w:rsidR="00F131BC">
        <w:rPr>
          <w:rFonts w:eastAsia="Calibri"/>
        </w:rPr>
        <w:t>Ī</w:t>
      </w:r>
      <w:r w:rsidR="005C6ED3" w:rsidRPr="005C6ED3">
        <w:rPr>
          <w:rFonts w:eastAsia="Calibri"/>
        </w:rPr>
        <w:t>stenošanas lēmum</w:t>
      </w:r>
      <w:r w:rsidR="005C6ED3">
        <w:rPr>
          <w:rFonts w:eastAsia="Calibri"/>
        </w:rPr>
        <w:t>ā</w:t>
      </w:r>
      <w:r w:rsidR="005C6ED3">
        <w:rPr>
          <w:rStyle w:val="FootnoteReference"/>
          <w:rFonts w:eastAsia="Calibri"/>
        </w:rPr>
        <w:footnoteReference w:id="21"/>
      </w:r>
      <w:r w:rsidR="00A07BD0">
        <w:rPr>
          <w:rFonts w:eastAsia="Calibri"/>
        </w:rPr>
        <w:t xml:space="preserve"> un </w:t>
      </w:r>
      <w:r w:rsidR="00AA69B4" w:rsidRPr="00AA69B4">
        <w:rPr>
          <w:rFonts w:eastAsia="Calibri"/>
        </w:rPr>
        <w:t>norādījum</w:t>
      </w:r>
      <w:r w:rsidR="00AA69B4">
        <w:rPr>
          <w:rFonts w:eastAsia="Calibri"/>
        </w:rPr>
        <w:t>os</w:t>
      </w:r>
      <w:r w:rsidR="00AA69B4" w:rsidRPr="00AA69B4">
        <w:rPr>
          <w:rFonts w:eastAsia="Calibri"/>
        </w:rPr>
        <w:t xml:space="preserve"> par vispārējo procesu</w:t>
      </w:r>
      <w:r w:rsidR="00AA69B4">
        <w:rPr>
          <w:rStyle w:val="FootnoteReference"/>
          <w:rFonts w:eastAsia="Calibri"/>
        </w:rPr>
        <w:footnoteReference w:id="22"/>
      </w:r>
      <w:bookmarkEnd w:id="7"/>
      <w:r w:rsidR="00AA69B4" w:rsidRPr="00AA69B4">
        <w:rPr>
          <w:rFonts w:eastAsia="Calibri"/>
        </w:rPr>
        <w:t>, kura rezultātā tiek iesniegti maksājumu pieprasījumi, kā arī par informācijas un pierādījumu veidu</w:t>
      </w:r>
      <w:r w:rsidR="00C4674B">
        <w:rPr>
          <w:rFonts w:eastAsia="Calibri"/>
        </w:rPr>
        <w:t xml:space="preserve"> un apjomu</w:t>
      </w:r>
      <w:r w:rsidR="00AA69B4" w:rsidRPr="00AA69B4">
        <w:rPr>
          <w:rFonts w:eastAsia="Calibri"/>
        </w:rPr>
        <w:t>, k</w:t>
      </w:r>
      <w:r w:rsidR="00AA69B4">
        <w:rPr>
          <w:rFonts w:eastAsia="Calibri"/>
        </w:rPr>
        <w:t>o</w:t>
      </w:r>
      <w:r w:rsidR="00AA69B4" w:rsidRPr="00AA69B4">
        <w:rPr>
          <w:rFonts w:eastAsia="Calibri"/>
        </w:rPr>
        <w:t xml:space="preserve"> </w:t>
      </w:r>
      <w:r w:rsidR="00AA69B4">
        <w:rPr>
          <w:rFonts w:eastAsia="Calibri"/>
        </w:rPr>
        <w:t>EK</w:t>
      </w:r>
      <w:r w:rsidR="00AA69B4" w:rsidRPr="00AA69B4">
        <w:rPr>
          <w:rFonts w:eastAsia="Calibri"/>
        </w:rPr>
        <w:t xml:space="preserve"> </w:t>
      </w:r>
      <w:r w:rsidR="00C4674B">
        <w:rPr>
          <w:rFonts w:eastAsia="Calibri"/>
        </w:rPr>
        <w:t xml:space="preserve">izmantos </w:t>
      </w:r>
      <w:r w:rsidR="00AA69B4">
        <w:rPr>
          <w:rFonts w:eastAsia="Calibri"/>
        </w:rPr>
        <w:t>vērtē</w:t>
      </w:r>
      <w:r w:rsidR="00C4674B">
        <w:rPr>
          <w:rFonts w:eastAsia="Calibri"/>
        </w:rPr>
        <w:t>šana</w:t>
      </w:r>
      <w:r w:rsidR="00AA69B4">
        <w:rPr>
          <w:rFonts w:eastAsia="Calibri"/>
        </w:rPr>
        <w:t>s</w:t>
      </w:r>
      <w:r w:rsidR="00C4674B">
        <w:rPr>
          <w:rFonts w:eastAsia="Calibri"/>
        </w:rPr>
        <w:t xml:space="preserve"> procesā</w:t>
      </w:r>
      <w:r w:rsidR="00AA69B4" w:rsidRPr="00AA69B4">
        <w:rPr>
          <w:rFonts w:eastAsia="Calibri"/>
        </w:rPr>
        <w:t xml:space="preserve">, </w:t>
      </w:r>
      <w:r w:rsidR="00C4674B">
        <w:rPr>
          <w:rFonts w:eastAsia="Calibri"/>
        </w:rPr>
        <w:t xml:space="preserve">lai gūtu pārliecību, </w:t>
      </w:r>
      <w:r w:rsidR="00AA69B4" w:rsidRPr="00AA69B4">
        <w:rPr>
          <w:rFonts w:eastAsia="Calibri"/>
        </w:rPr>
        <w:t xml:space="preserve">vai ir apmierinoši izpildīti </w:t>
      </w:r>
      <w:r w:rsidR="00A53B14">
        <w:rPr>
          <w:rFonts w:eastAsia="Calibri"/>
        </w:rPr>
        <w:t>atskaites punkti</w:t>
      </w:r>
      <w:r w:rsidR="00AA69B4" w:rsidRPr="00AA69B4">
        <w:rPr>
          <w:rFonts w:eastAsia="Calibri"/>
        </w:rPr>
        <w:t xml:space="preserve"> un mērķi saistībā ar šiem</w:t>
      </w:r>
      <w:r w:rsidR="00C4674B">
        <w:rPr>
          <w:rFonts w:eastAsia="Calibri"/>
        </w:rPr>
        <w:t xml:space="preserve"> dalībvalsts iesniegtiem</w:t>
      </w:r>
      <w:r w:rsidR="00AA69B4" w:rsidRPr="00AA69B4">
        <w:rPr>
          <w:rFonts w:eastAsia="Calibri"/>
        </w:rPr>
        <w:t xml:space="preserve"> maksājumu pieprasījumiem.</w:t>
      </w:r>
      <w:r w:rsidR="0076667F">
        <w:rPr>
          <w:rFonts w:eastAsia="Calibri"/>
        </w:rPr>
        <w:t xml:space="preserve"> </w:t>
      </w:r>
      <w:r>
        <w:rPr>
          <w:rFonts w:eastAsia="Calibri"/>
        </w:rPr>
        <w:t xml:space="preserve">Minētie EK dokumenti ir saņemti pēc sākotnējā piedāvājuma sagatavošanas. </w:t>
      </w:r>
    </w:p>
    <w:p w14:paraId="0E7DC76A" w14:textId="3D214BFD" w:rsidR="004B661D" w:rsidRDefault="0076667F" w:rsidP="001C7A71">
      <w:pPr>
        <w:spacing w:after="0" w:line="276" w:lineRule="auto"/>
        <w:ind w:firstLine="720"/>
        <w:jc w:val="both"/>
        <w:rPr>
          <w:rFonts w:eastAsia="Calibri"/>
        </w:rPr>
      </w:pPr>
      <w:r>
        <w:rPr>
          <w:rFonts w:eastAsia="Calibri"/>
        </w:rPr>
        <w:t xml:space="preserve">Katrā no minētajiem EK dokumentiem, tiek uzlikti papildus pienākumi un veicamās </w:t>
      </w:r>
      <w:r w:rsidR="00001067">
        <w:rPr>
          <w:rFonts w:eastAsia="Calibri"/>
        </w:rPr>
        <w:t>funkcijas</w:t>
      </w:r>
      <w:r>
        <w:rPr>
          <w:rFonts w:eastAsia="Calibri"/>
        </w:rPr>
        <w:t xml:space="preserve"> </w:t>
      </w:r>
      <w:r w:rsidR="00A154DD" w:rsidRPr="00A154DD">
        <w:rPr>
          <w:rFonts w:eastAsia="Calibri"/>
        </w:rPr>
        <w:t>Atveseļošanas fonda</w:t>
      </w:r>
      <w:r>
        <w:rPr>
          <w:rFonts w:eastAsia="Calibri"/>
        </w:rPr>
        <w:t xml:space="preserve"> plāna </w:t>
      </w:r>
      <w:r w:rsidR="00A53B14">
        <w:rPr>
          <w:rFonts w:eastAsia="Calibri"/>
        </w:rPr>
        <w:t>ieviešanā</w:t>
      </w:r>
      <w:r>
        <w:rPr>
          <w:rFonts w:eastAsia="Calibri"/>
        </w:rPr>
        <w:t xml:space="preserve"> iestāstītajām institūcijām. </w:t>
      </w:r>
      <w:r w:rsidR="00001067">
        <w:rPr>
          <w:rFonts w:eastAsia="Calibri"/>
        </w:rPr>
        <w:t xml:space="preserve">Ņemot vērā </w:t>
      </w:r>
      <w:r w:rsidR="00A154DD" w:rsidRPr="00A154DD">
        <w:rPr>
          <w:rFonts w:eastAsia="Calibri"/>
        </w:rPr>
        <w:t>Atveseļošanas fonda</w:t>
      </w:r>
      <w:r w:rsidR="00001067">
        <w:rPr>
          <w:rFonts w:eastAsia="Calibri"/>
        </w:rPr>
        <w:t xml:space="preserve"> specifiku, papildus EK noteiktās funkcijas un veicamās darbības pamatā attiecas tieši uz institūcijām</w:t>
      </w:r>
      <w:r w:rsidR="004B661D">
        <w:rPr>
          <w:rFonts w:eastAsia="Calibri"/>
        </w:rPr>
        <w:t xml:space="preserve"> (nozar</w:t>
      </w:r>
      <w:r w:rsidR="00E15354">
        <w:rPr>
          <w:rFonts w:eastAsia="Calibri"/>
        </w:rPr>
        <w:t>u</w:t>
      </w:r>
      <w:r w:rsidR="004B661D">
        <w:rPr>
          <w:rFonts w:eastAsia="Calibri"/>
        </w:rPr>
        <w:t xml:space="preserve"> ministrijas un Valsts kanceleja)</w:t>
      </w:r>
      <w:r w:rsidR="00001067">
        <w:rPr>
          <w:rFonts w:eastAsia="Calibri"/>
        </w:rPr>
        <w:t xml:space="preserve">, kuras atbild </w:t>
      </w:r>
      <w:r w:rsidR="00001067" w:rsidRPr="00001067">
        <w:rPr>
          <w:rFonts w:eastAsia="Calibri"/>
        </w:rPr>
        <w:t xml:space="preserve">par savā pārraudzībā esošās reformas un investīcijas ieviešanu, tai </w:t>
      </w:r>
      <w:r w:rsidR="00001067">
        <w:rPr>
          <w:rFonts w:eastAsia="Calibri"/>
        </w:rPr>
        <w:t xml:space="preserve">skaitā </w:t>
      </w:r>
      <w:r w:rsidR="00001067" w:rsidRPr="00001067">
        <w:rPr>
          <w:rFonts w:eastAsia="Calibri"/>
        </w:rPr>
        <w:t>savā pārraudzībā esošo reformu un investīciju atskaites punktu un mērķu sasniegšanu</w:t>
      </w:r>
      <w:r w:rsidR="004B661D">
        <w:rPr>
          <w:rFonts w:eastAsia="Calibri"/>
        </w:rPr>
        <w:t xml:space="preserve">. </w:t>
      </w:r>
      <w:r w:rsidR="00001067" w:rsidRPr="00001067">
        <w:rPr>
          <w:rFonts w:eastAsia="Calibri"/>
        </w:rPr>
        <w:t xml:space="preserve"> </w:t>
      </w:r>
    </w:p>
    <w:p w14:paraId="7AFDF5D2" w14:textId="416D024D" w:rsidR="00C4674B" w:rsidRDefault="00D114F4" w:rsidP="004F4227">
      <w:pPr>
        <w:spacing w:after="0" w:line="276" w:lineRule="auto"/>
        <w:ind w:firstLine="720"/>
        <w:jc w:val="both"/>
        <w:rPr>
          <w:rFonts w:eastAsia="Calibri"/>
        </w:rPr>
      </w:pPr>
      <w:r>
        <w:rPr>
          <w:rFonts w:eastAsia="Calibri"/>
        </w:rPr>
        <w:t xml:space="preserve">Lai </w:t>
      </w:r>
      <w:r w:rsidR="009C7CF3">
        <w:rPr>
          <w:rFonts w:eastAsia="Calibri"/>
        </w:rPr>
        <w:t>Latvija</w:t>
      </w:r>
      <w:r>
        <w:rPr>
          <w:rFonts w:eastAsia="Calibri"/>
        </w:rPr>
        <w:t xml:space="preserve"> varētu iesniegt maksājuma pieprasījumu EK, institūcijām jāveic liels papildus darba apjoms </w:t>
      </w:r>
      <w:r w:rsidR="009014B6">
        <w:rPr>
          <w:rFonts w:eastAsia="Calibri"/>
        </w:rPr>
        <w:t xml:space="preserve">klāt </w:t>
      </w:r>
      <w:r w:rsidR="00CE592A">
        <w:rPr>
          <w:rFonts w:eastAsia="Calibri"/>
        </w:rPr>
        <w:t xml:space="preserve">jau veicamajām </w:t>
      </w:r>
      <w:r>
        <w:rPr>
          <w:rFonts w:eastAsia="Calibri"/>
        </w:rPr>
        <w:t xml:space="preserve">šī brīža </w:t>
      </w:r>
      <w:r w:rsidR="00C4674B">
        <w:rPr>
          <w:rFonts w:eastAsia="Calibri"/>
        </w:rPr>
        <w:t>pamatfunkcijām</w:t>
      </w:r>
      <w:r>
        <w:rPr>
          <w:rFonts w:eastAsia="Calibri"/>
        </w:rPr>
        <w:t xml:space="preserve">, </w:t>
      </w:r>
      <w:r w:rsidR="00432121">
        <w:rPr>
          <w:rFonts w:eastAsia="Calibri"/>
        </w:rPr>
        <w:t xml:space="preserve">jo nepieciešams </w:t>
      </w:r>
      <w:r>
        <w:rPr>
          <w:rFonts w:eastAsia="Calibri"/>
        </w:rPr>
        <w:t xml:space="preserve">nodrošināt pilnīgu informācijas un dokumentācijas </w:t>
      </w:r>
      <w:r w:rsidR="00B333C5">
        <w:rPr>
          <w:rFonts w:eastAsia="Calibri"/>
        </w:rPr>
        <w:t xml:space="preserve">apjoma </w:t>
      </w:r>
      <w:r w:rsidR="00C4674B">
        <w:rPr>
          <w:rFonts w:eastAsia="Calibri"/>
        </w:rPr>
        <w:t xml:space="preserve">izstrādi, </w:t>
      </w:r>
      <w:r>
        <w:rPr>
          <w:rFonts w:eastAsia="Calibri"/>
        </w:rPr>
        <w:t xml:space="preserve">apkopošanu un </w:t>
      </w:r>
      <w:r>
        <w:rPr>
          <w:rFonts w:eastAsia="Calibri"/>
        </w:rPr>
        <w:lastRenderedPageBreak/>
        <w:t>ievadi KPVIS, lai</w:t>
      </w:r>
      <w:r w:rsidR="00C4674B">
        <w:rPr>
          <w:rFonts w:eastAsia="Calibri"/>
        </w:rPr>
        <w:t>,</w:t>
      </w:r>
      <w:r>
        <w:rPr>
          <w:rFonts w:eastAsia="Calibri"/>
        </w:rPr>
        <w:t xml:space="preserve"> sniedzot pārvaldības </w:t>
      </w:r>
      <w:r w:rsidR="00B333C5">
        <w:rPr>
          <w:rFonts w:eastAsia="Calibri"/>
        </w:rPr>
        <w:t xml:space="preserve">deklarāciju, katra </w:t>
      </w:r>
      <w:r w:rsidR="00542B93" w:rsidRPr="00542B93">
        <w:rPr>
          <w:rFonts w:eastAsia="Calibri"/>
        </w:rPr>
        <w:t>Atveseļošanas fonda</w:t>
      </w:r>
      <w:r w:rsidR="00432121" w:rsidRPr="00432121">
        <w:rPr>
          <w:rFonts w:eastAsia="Calibri"/>
        </w:rPr>
        <w:t xml:space="preserve"> plāna īstenošanā </w:t>
      </w:r>
      <w:r w:rsidR="00B333C5">
        <w:rPr>
          <w:rFonts w:eastAsia="Calibri"/>
        </w:rPr>
        <w:t xml:space="preserve">iesaistītā institūcija varētu apliecināt par visas nepieciešamās informācijas </w:t>
      </w:r>
      <w:r w:rsidR="00432121">
        <w:rPr>
          <w:rFonts w:eastAsia="Calibri"/>
        </w:rPr>
        <w:t xml:space="preserve">atrašanos KPVIS. </w:t>
      </w:r>
      <w:r w:rsidR="004F2E80">
        <w:rPr>
          <w:rFonts w:eastAsia="Calibri"/>
        </w:rPr>
        <w:t xml:space="preserve">Papildus visas nepieciešamās informācijas nodrošināšanai, institūcijas sagatavo </w:t>
      </w:r>
      <w:r w:rsidR="00454C47" w:rsidRPr="00454C47">
        <w:rPr>
          <w:rFonts w:eastAsia="Calibri"/>
        </w:rPr>
        <w:t>atskaites punktu un mērķu sarakstu, ko uzskata par izpildītiem</w:t>
      </w:r>
      <w:r w:rsidR="004F2E80">
        <w:rPr>
          <w:rFonts w:eastAsia="Calibri"/>
        </w:rPr>
        <w:t xml:space="preserve">, </w:t>
      </w:r>
      <w:r w:rsidR="00454C47" w:rsidRPr="00454C47">
        <w:rPr>
          <w:rFonts w:eastAsia="Calibri"/>
        </w:rPr>
        <w:t>pamatojum</w:t>
      </w:r>
      <w:r w:rsidR="00C4674B">
        <w:rPr>
          <w:rFonts w:eastAsia="Calibri"/>
        </w:rPr>
        <w:t>u</w:t>
      </w:r>
      <w:r w:rsidR="00454C47" w:rsidRPr="00454C47">
        <w:rPr>
          <w:rFonts w:eastAsia="Calibri"/>
        </w:rPr>
        <w:t>s un dokumentār</w:t>
      </w:r>
      <w:r w:rsidR="00C4674B">
        <w:rPr>
          <w:rFonts w:eastAsia="Calibri"/>
        </w:rPr>
        <w:t>us</w:t>
      </w:r>
      <w:r w:rsidR="00454C47" w:rsidRPr="00454C47">
        <w:rPr>
          <w:rFonts w:eastAsia="Calibri"/>
        </w:rPr>
        <w:t xml:space="preserve"> pierādījum</w:t>
      </w:r>
      <w:r w:rsidR="00C4674B">
        <w:rPr>
          <w:rFonts w:eastAsia="Calibri"/>
        </w:rPr>
        <w:t>us</w:t>
      </w:r>
      <w:r w:rsidR="00454C47" w:rsidRPr="00454C47">
        <w:rPr>
          <w:rFonts w:eastAsia="Calibri"/>
        </w:rPr>
        <w:t xml:space="preserve"> par Padomes </w:t>
      </w:r>
      <w:r w:rsidR="00F131BC">
        <w:rPr>
          <w:rFonts w:eastAsia="Calibri"/>
        </w:rPr>
        <w:t>Ī</w:t>
      </w:r>
      <w:r w:rsidR="00454C47" w:rsidRPr="00454C47">
        <w:rPr>
          <w:rFonts w:eastAsia="Calibri"/>
        </w:rPr>
        <w:t xml:space="preserve">stenošanas lēmumā noteikto </w:t>
      </w:r>
      <w:r w:rsidR="00A53B14">
        <w:rPr>
          <w:rFonts w:eastAsia="Calibri"/>
        </w:rPr>
        <w:t>atskaites punktu</w:t>
      </w:r>
      <w:r w:rsidR="00454C47" w:rsidRPr="00454C47">
        <w:rPr>
          <w:rFonts w:eastAsia="Calibri"/>
        </w:rPr>
        <w:t xml:space="preserve"> un mērķu </w:t>
      </w:r>
      <w:r w:rsidR="00C4674B">
        <w:rPr>
          <w:rFonts w:eastAsia="Calibri"/>
        </w:rPr>
        <w:t xml:space="preserve">atbilstošu </w:t>
      </w:r>
      <w:r w:rsidR="00454C47" w:rsidRPr="00454C47">
        <w:rPr>
          <w:rFonts w:eastAsia="Calibri"/>
        </w:rPr>
        <w:t>izpildi</w:t>
      </w:r>
      <w:r w:rsidR="004F2E80">
        <w:rPr>
          <w:rFonts w:eastAsia="Calibri"/>
        </w:rPr>
        <w:t xml:space="preserve">, </w:t>
      </w:r>
      <w:r w:rsidR="00454C47" w:rsidRPr="00454C47">
        <w:rPr>
          <w:rFonts w:eastAsia="Calibri"/>
        </w:rPr>
        <w:t>veikto revīziju</w:t>
      </w:r>
      <w:r w:rsidR="00C4674B">
        <w:rPr>
          <w:rFonts w:eastAsia="Calibri"/>
        </w:rPr>
        <w:t xml:space="preserve"> un pārbaužu</w:t>
      </w:r>
      <w:r w:rsidR="00454C47" w:rsidRPr="00454C47">
        <w:rPr>
          <w:rFonts w:eastAsia="Calibri"/>
        </w:rPr>
        <w:t xml:space="preserve"> kopsavilkumu</w:t>
      </w:r>
      <w:r w:rsidR="004F2E80">
        <w:rPr>
          <w:rFonts w:eastAsia="Calibri"/>
        </w:rPr>
        <w:t>, t</w:t>
      </w:r>
      <w:r w:rsidR="00454C47" w:rsidRPr="00454C47">
        <w:rPr>
          <w:rFonts w:eastAsia="Calibri"/>
        </w:rPr>
        <w:t>urklāt, lai ziņotu par zaļajām obligācijām, dalībvalstīm maksājuma pieprasījumā jānorāda kumulatīvie izdevumi, kas radušies katras reformas īstenošanai, un ieguldījumi, kas piešķirti intervences jomai, kura veicina klimata pārmaiņu novēršanu.</w:t>
      </w:r>
    </w:p>
    <w:p w14:paraId="5999C8A4" w14:textId="139649E4" w:rsidR="00454C47" w:rsidRDefault="00F12A48" w:rsidP="004F4227">
      <w:pPr>
        <w:spacing w:after="0" w:line="276" w:lineRule="auto"/>
        <w:ind w:firstLine="720"/>
        <w:jc w:val="both"/>
        <w:rPr>
          <w:rFonts w:eastAsia="Calibri"/>
        </w:rPr>
      </w:pPr>
      <w:r>
        <w:rPr>
          <w:rFonts w:eastAsia="Calibri"/>
        </w:rPr>
        <w:t>A</w:t>
      </w:r>
      <w:r w:rsidRPr="00F12A48">
        <w:rPr>
          <w:rFonts w:eastAsia="Calibri"/>
        </w:rPr>
        <w:t xml:space="preserve">ttiecībā uz reformām, kas saistītas ar tiesību aktu izmaiņām, </w:t>
      </w:r>
      <w:r>
        <w:rPr>
          <w:rFonts w:eastAsia="Calibri"/>
        </w:rPr>
        <w:t>EK paredz nepieciešamību dalībvalstij regulāri</w:t>
      </w:r>
      <w:r w:rsidRPr="00F12A48">
        <w:rPr>
          <w:rFonts w:eastAsia="Calibri"/>
        </w:rPr>
        <w:t xml:space="preserve"> informēt par šo reformu sagatavošanas gaitu un par regulāriem atjauninājumiem attiecībā uz vairākiem starpposma pasākumiem (piemēram, apspriešanās process ar ieinteresētajām personām</w:t>
      </w:r>
      <w:r>
        <w:rPr>
          <w:rFonts w:eastAsia="Calibri"/>
        </w:rPr>
        <w:t>,</w:t>
      </w:r>
      <w:r w:rsidRPr="00F12A48">
        <w:rPr>
          <w:rFonts w:eastAsia="Calibri"/>
        </w:rPr>
        <w:t xml:space="preserve"> diskusijas par tiesību akta priekšlikuma iespējām</w:t>
      </w:r>
      <w:r>
        <w:rPr>
          <w:rFonts w:eastAsia="Calibri"/>
        </w:rPr>
        <w:t>,</w:t>
      </w:r>
      <w:r w:rsidRPr="00F12A48">
        <w:rPr>
          <w:rFonts w:eastAsia="Calibri"/>
        </w:rPr>
        <w:t xml:space="preserve"> priekšlikumu vērtēšanas process</w:t>
      </w:r>
      <w:r>
        <w:rPr>
          <w:rFonts w:eastAsia="Calibri"/>
        </w:rPr>
        <w:t>,</w:t>
      </w:r>
      <w:r w:rsidRPr="00F12A48">
        <w:rPr>
          <w:rFonts w:eastAsia="Calibri"/>
        </w:rPr>
        <w:t xml:space="preserve"> ietekmes novērtējuma process</w:t>
      </w:r>
      <w:r w:rsidR="00A53B14">
        <w:rPr>
          <w:rFonts w:eastAsia="Calibri"/>
        </w:rPr>
        <w:t xml:space="preserve"> u.c.</w:t>
      </w:r>
      <w:r w:rsidRPr="00F12A48">
        <w:rPr>
          <w:rFonts w:eastAsia="Calibri"/>
        </w:rPr>
        <w:t>), lai nodrošinātu, ka reformas lēmums pēc vienošanās ar Padomi tika pieņemts pēc būtības un laik</w:t>
      </w:r>
      <w:r>
        <w:rPr>
          <w:rFonts w:eastAsia="Calibri"/>
        </w:rPr>
        <w:t xml:space="preserve">ā. </w:t>
      </w:r>
      <w:r w:rsidR="00C9232A">
        <w:rPr>
          <w:rFonts w:eastAsia="Calibri"/>
        </w:rPr>
        <w:t xml:space="preserve">Attiecībā uz investīcijām, </w:t>
      </w:r>
      <w:bookmarkStart w:id="8" w:name="_Hlk77944740"/>
      <w:r w:rsidR="00C9232A">
        <w:rPr>
          <w:rFonts w:eastAsia="Calibri"/>
        </w:rPr>
        <w:t xml:space="preserve">EK paredz nepieciešamību </w:t>
      </w:r>
      <w:bookmarkEnd w:id="8"/>
      <w:r w:rsidR="00C9232A">
        <w:rPr>
          <w:rFonts w:eastAsia="Calibri"/>
        </w:rPr>
        <w:t>l</w:t>
      </w:r>
      <w:r w:rsidR="00C9232A" w:rsidRPr="00C9232A">
        <w:rPr>
          <w:rFonts w:eastAsia="Calibri"/>
        </w:rPr>
        <w:t>īgum</w:t>
      </w:r>
      <w:r w:rsidR="00C9232A">
        <w:rPr>
          <w:rFonts w:eastAsia="Calibri"/>
        </w:rPr>
        <w:t>u</w:t>
      </w:r>
      <w:r w:rsidR="00C9232A" w:rsidRPr="00C9232A">
        <w:rPr>
          <w:rFonts w:eastAsia="Calibri"/>
        </w:rPr>
        <w:t xml:space="preserve"> un darba uzdevumu </w:t>
      </w:r>
      <w:r w:rsidR="00C9232A">
        <w:rPr>
          <w:rFonts w:eastAsia="Calibri"/>
        </w:rPr>
        <w:t xml:space="preserve">dokumentācijas </w:t>
      </w:r>
      <w:r w:rsidR="00C9232A" w:rsidRPr="00C9232A">
        <w:rPr>
          <w:rFonts w:eastAsia="Calibri"/>
        </w:rPr>
        <w:t>apmaiņ</w:t>
      </w:r>
      <w:r w:rsidR="0087413B">
        <w:rPr>
          <w:rFonts w:eastAsia="Calibri"/>
        </w:rPr>
        <w:t>u</w:t>
      </w:r>
      <w:r w:rsidR="00C9232A">
        <w:rPr>
          <w:rFonts w:eastAsia="Calibri"/>
        </w:rPr>
        <w:t xml:space="preserve"> to agrīnā stadijā</w:t>
      </w:r>
      <w:r w:rsidR="00C9232A" w:rsidRPr="00C9232A">
        <w:rPr>
          <w:rFonts w:eastAsia="Calibri"/>
        </w:rPr>
        <w:t xml:space="preserve"> (piemēram, saņēmēju atlases kritēriji).</w:t>
      </w:r>
      <w:r w:rsidR="00F47748">
        <w:rPr>
          <w:rFonts w:eastAsia="Calibri"/>
        </w:rPr>
        <w:t xml:space="preserve"> </w:t>
      </w:r>
      <w:r w:rsidR="00A53B14">
        <w:rPr>
          <w:rFonts w:eastAsia="Calibri"/>
        </w:rPr>
        <w:t>I</w:t>
      </w:r>
      <w:r w:rsidR="00C9232A">
        <w:rPr>
          <w:rFonts w:eastAsia="Calibri"/>
        </w:rPr>
        <w:t>nstitūcijām</w:t>
      </w:r>
      <w:r w:rsidR="00A53B14">
        <w:rPr>
          <w:rFonts w:eastAsia="Calibri"/>
        </w:rPr>
        <w:t xml:space="preserve"> papildus</w:t>
      </w:r>
      <w:r w:rsidR="00C9232A">
        <w:rPr>
          <w:rFonts w:eastAsia="Calibri"/>
        </w:rPr>
        <w:t xml:space="preserve"> </w:t>
      </w:r>
      <w:r w:rsidR="00C9232A" w:rsidRPr="00C9232A">
        <w:rPr>
          <w:rFonts w:eastAsia="Calibri"/>
        </w:rPr>
        <w:t xml:space="preserve">būs </w:t>
      </w:r>
      <w:r w:rsidR="00C9232A">
        <w:rPr>
          <w:rFonts w:eastAsia="Calibri"/>
        </w:rPr>
        <w:t xml:space="preserve">jāgatavo </w:t>
      </w:r>
      <w:r w:rsidR="00C9232A" w:rsidRPr="00C9232A">
        <w:rPr>
          <w:rFonts w:eastAsia="Calibri"/>
        </w:rPr>
        <w:t xml:space="preserve">vienas lapas </w:t>
      </w:r>
      <w:r w:rsidR="00C9232A">
        <w:rPr>
          <w:rFonts w:eastAsia="Calibri"/>
        </w:rPr>
        <w:t>kopsavilkums</w:t>
      </w:r>
      <w:r w:rsidR="00C9232A" w:rsidRPr="00C9232A">
        <w:rPr>
          <w:rFonts w:eastAsia="Calibri"/>
        </w:rPr>
        <w:t xml:space="preserve"> par katru atskaites punktu un mērķi, kurā aprakstīti iesniegtie apstiprinošie pierādījumi un norādīts, kur pierādījuma konkrētie elementi atrodami apstiprinošajos datos</w:t>
      </w:r>
      <w:r w:rsidR="00A53B14">
        <w:rPr>
          <w:rFonts w:eastAsia="Calibri"/>
        </w:rPr>
        <w:t>, apkopojumu ar auditu laikā konstatēto un veiktajām korektīvajām darbībām.</w:t>
      </w:r>
      <w:r w:rsidR="00C9232A">
        <w:rPr>
          <w:rFonts w:eastAsia="Calibri"/>
        </w:rPr>
        <w:t xml:space="preserve"> </w:t>
      </w:r>
    </w:p>
    <w:p w14:paraId="098CFB27" w14:textId="0DFE1234" w:rsidR="00F47748" w:rsidRDefault="00F47748" w:rsidP="004F4227">
      <w:pPr>
        <w:spacing w:after="0" w:line="276" w:lineRule="auto"/>
        <w:ind w:firstLine="720"/>
        <w:jc w:val="both"/>
        <w:rPr>
          <w:rFonts w:eastAsia="Calibri"/>
        </w:rPr>
      </w:pPr>
      <w:r>
        <w:rPr>
          <w:rFonts w:eastAsia="Calibri"/>
        </w:rPr>
        <w:t>A</w:t>
      </w:r>
      <w:r w:rsidR="00C9232A" w:rsidRPr="00C9232A">
        <w:rPr>
          <w:rFonts w:eastAsia="Calibri"/>
        </w:rPr>
        <w:t xml:space="preserve">ttiecībā uz </w:t>
      </w:r>
      <w:r w:rsidR="007A4FCE" w:rsidRPr="007A4FCE">
        <w:rPr>
          <w:rFonts w:eastAsia="Calibri"/>
        </w:rPr>
        <w:t>Atveseļošanas fonda</w:t>
      </w:r>
      <w:r>
        <w:rPr>
          <w:rFonts w:eastAsia="Calibri"/>
        </w:rPr>
        <w:t xml:space="preserve"> plānā</w:t>
      </w:r>
      <w:r w:rsidR="00C9232A" w:rsidRPr="00C9232A">
        <w:rPr>
          <w:rFonts w:eastAsia="Calibri"/>
        </w:rPr>
        <w:t xml:space="preserve"> ietvertiem pasākumiem, kuru mērķis ir nodrošināt atbilstību </w:t>
      </w:r>
      <w:r w:rsidR="00E5073A" w:rsidRPr="00E5073A">
        <w:rPr>
          <w:rFonts w:eastAsia="Calibri"/>
          <w:i/>
          <w:iCs/>
        </w:rPr>
        <w:t>“</w:t>
      </w:r>
      <w:r w:rsidR="00C9232A" w:rsidRPr="00F47748">
        <w:rPr>
          <w:rFonts w:eastAsia="Calibri"/>
          <w:i/>
          <w:iCs/>
        </w:rPr>
        <w:t>nenodarīt būtisku kaitējumu</w:t>
      </w:r>
      <w:r w:rsidR="00E5073A" w:rsidRPr="00E5073A">
        <w:rPr>
          <w:rFonts w:eastAsia="Calibri"/>
          <w:i/>
          <w:iCs/>
        </w:rPr>
        <w:t>”</w:t>
      </w:r>
      <w:r>
        <w:rPr>
          <w:rFonts w:eastAsia="Calibri"/>
          <w:i/>
          <w:iCs/>
        </w:rPr>
        <w:t xml:space="preserve"> </w:t>
      </w:r>
      <w:r>
        <w:rPr>
          <w:rFonts w:eastAsia="Calibri"/>
        </w:rPr>
        <w:t xml:space="preserve">prasībām, </w:t>
      </w:r>
      <w:r w:rsidR="00C9232A" w:rsidRPr="00C9232A">
        <w:rPr>
          <w:rFonts w:eastAsia="Calibri"/>
        </w:rPr>
        <w:t xml:space="preserve">būs vajadzīgi konkrēti pierādījumi, lai </w:t>
      </w:r>
      <w:r>
        <w:rPr>
          <w:rFonts w:eastAsia="Calibri"/>
        </w:rPr>
        <w:t xml:space="preserve">EK varētu </w:t>
      </w:r>
      <w:r w:rsidR="00C9232A" w:rsidRPr="00C9232A">
        <w:rPr>
          <w:rFonts w:eastAsia="Calibri"/>
        </w:rPr>
        <w:t>konstatēt, ka šie aizsardzības pasākumi ir ievēroti</w:t>
      </w:r>
      <w:r>
        <w:rPr>
          <w:rFonts w:eastAsia="Calibri"/>
        </w:rPr>
        <w:t xml:space="preserve"> (piemēram, p</w:t>
      </w:r>
      <w:r w:rsidRPr="00F47748">
        <w:rPr>
          <w:rFonts w:eastAsia="Calibri"/>
        </w:rPr>
        <w:t xml:space="preserve">irms uzaicinājumu izsludināšanas dalībvalstīm būs jāiesniedz </w:t>
      </w:r>
      <w:r>
        <w:rPr>
          <w:rFonts w:eastAsia="Calibri"/>
        </w:rPr>
        <w:t>EK</w:t>
      </w:r>
      <w:r w:rsidRPr="00F47748">
        <w:rPr>
          <w:rFonts w:eastAsia="Calibri"/>
        </w:rPr>
        <w:t xml:space="preserve"> darba uzdevuma projekts, tostarp atbilstības nosacījumi un atlases kritēriji, norādot, kā tie integrē attiecīgos ar ‘’nenodarīt būtisku kaitējumu’’</w:t>
      </w:r>
      <w:r>
        <w:rPr>
          <w:rFonts w:eastAsia="Calibri"/>
        </w:rPr>
        <w:t xml:space="preserve"> </w:t>
      </w:r>
      <w:r w:rsidRPr="00F47748">
        <w:rPr>
          <w:rFonts w:eastAsia="Calibri"/>
        </w:rPr>
        <w:t>saistītos drošības pasākumus</w:t>
      </w:r>
      <w:r w:rsidR="006F2FEC">
        <w:rPr>
          <w:rFonts w:eastAsia="Calibri"/>
        </w:rPr>
        <w:t>,</w:t>
      </w:r>
      <w:r w:rsidRPr="00F47748">
        <w:rPr>
          <w:rFonts w:eastAsia="Calibri"/>
        </w:rPr>
        <w:t xml:space="preserve"> paskaidrojums par metodoloģiju un procesu, kas tiks ievērots, lai nodrošinātu, ka atlasītie projekti atbilst </w:t>
      </w:r>
      <w:r w:rsidR="00E5073A" w:rsidRPr="00E5073A">
        <w:rPr>
          <w:rFonts w:eastAsia="Calibri"/>
        </w:rPr>
        <w:t>“</w:t>
      </w:r>
      <w:r w:rsidRPr="00F47748">
        <w:rPr>
          <w:rFonts w:eastAsia="Calibri"/>
        </w:rPr>
        <w:t>nenodarīt būtisku kaitējumu</w:t>
      </w:r>
      <w:r w:rsidR="00E5073A" w:rsidRPr="00E5073A">
        <w:rPr>
          <w:rFonts w:eastAsia="Calibri"/>
        </w:rPr>
        <w:t>”</w:t>
      </w:r>
      <w:r>
        <w:rPr>
          <w:rFonts w:eastAsia="Calibri"/>
        </w:rPr>
        <w:t xml:space="preserve"> </w:t>
      </w:r>
      <w:r w:rsidRPr="00F47748">
        <w:rPr>
          <w:rFonts w:eastAsia="Calibri"/>
        </w:rPr>
        <w:t>noteikumiem</w:t>
      </w:r>
      <w:r w:rsidR="009B6C78">
        <w:rPr>
          <w:rFonts w:eastAsia="Calibri"/>
        </w:rPr>
        <w:t>)</w:t>
      </w:r>
      <w:r w:rsidRPr="00F47748">
        <w:rPr>
          <w:rFonts w:eastAsia="Calibri"/>
        </w:rPr>
        <w:t>. Lai dotu pietiekami daudz laika dokumentu apspriešanai un grozīšanai, ja nepieciešams, šī informācija</w:t>
      </w:r>
      <w:r>
        <w:rPr>
          <w:rFonts w:eastAsia="Calibri"/>
        </w:rPr>
        <w:t xml:space="preserve"> EK</w:t>
      </w:r>
      <w:r w:rsidRPr="00F47748">
        <w:rPr>
          <w:rFonts w:eastAsia="Calibri"/>
        </w:rPr>
        <w:t xml:space="preserve"> būtu jāsniedz savlaicīgi (piemēram 6 mēnešus) pirms projekta izsludināšan</w:t>
      </w:r>
      <w:r w:rsidR="00C207E6">
        <w:rPr>
          <w:rFonts w:eastAsia="Calibri"/>
        </w:rPr>
        <w:t>as</w:t>
      </w:r>
      <w:r w:rsidRPr="00F47748">
        <w:rPr>
          <w:rFonts w:eastAsia="Calibri"/>
        </w:rPr>
        <w:t>.</w:t>
      </w:r>
    </w:p>
    <w:p w14:paraId="5903ABB0" w14:textId="670CFA47" w:rsidR="00E739F4" w:rsidRDefault="00A36344" w:rsidP="00E739F4">
      <w:pPr>
        <w:spacing w:after="0" w:line="276" w:lineRule="auto"/>
        <w:ind w:firstLine="720"/>
        <w:jc w:val="both"/>
        <w:rPr>
          <w:rFonts w:eastAsia="Calibri"/>
        </w:rPr>
      </w:pPr>
      <w:r w:rsidRPr="00A36344">
        <w:rPr>
          <w:rFonts w:eastAsia="Calibri"/>
        </w:rPr>
        <w:t xml:space="preserve">Attiecībā uz </w:t>
      </w:r>
      <w:r w:rsidR="007D77D4" w:rsidRPr="007D77D4">
        <w:rPr>
          <w:rFonts w:eastAsia="Calibri"/>
        </w:rPr>
        <w:t>Atveseļošanas fonda</w:t>
      </w:r>
      <w:r>
        <w:rPr>
          <w:rFonts w:eastAsia="Calibri"/>
        </w:rPr>
        <w:t xml:space="preserve"> plānā</w:t>
      </w:r>
      <w:r w:rsidRPr="00A36344">
        <w:rPr>
          <w:rFonts w:eastAsia="Calibri"/>
        </w:rPr>
        <w:t xml:space="preserve"> </w:t>
      </w:r>
      <w:r w:rsidR="00586E10">
        <w:rPr>
          <w:rFonts w:eastAsia="Calibri"/>
        </w:rPr>
        <w:t>ietvertajiem</w:t>
      </w:r>
      <w:r w:rsidRPr="00A36344">
        <w:rPr>
          <w:rFonts w:eastAsia="Calibri"/>
        </w:rPr>
        <w:t xml:space="preserve"> pasākumiem, lai nodrošinātu, ka tiek izpildīti nosacījumi, kas saistīti ar klimat</w:t>
      </w:r>
      <w:r>
        <w:rPr>
          <w:rFonts w:eastAsia="Calibri"/>
        </w:rPr>
        <w:t>a</w:t>
      </w:r>
      <w:r w:rsidRPr="00A36344">
        <w:rPr>
          <w:rFonts w:eastAsia="Calibri"/>
        </w:rPr>
        <w:t xml:space="preserve"> vai digitāl</w:t>
      </w:r>
      <w:r>
        <w:rPr>
          <w:rFonts w:eastAsia="Calibri"/>
        </w:rPr>
        <w:t>ajiem mērķiem</w:t>
      </w:r>
      <w:r w:rsidRPr="00A36344">
        <w:rPr>
          <w:rFonts w:eastAsia="Calibri"/>
        </w:rPr>
        <w:t>, EK paredz nepieciešamību</w:t>
      </w:r>
      <w:r>
        <w:rPr>
          <w:rFonts w:eastAsia="Calibri"/>
        </w:rPr>
        <w:t xml:space="preserve"> iesniegt </w:t>
      </w:r>
      <w:r w:rsidR="00E739F4" w:rsidRPr="00E739F4">
        <w:rPr>
          <w:rFonts w:eastAsia="Calibri"/>
        </w:rPr>
        <w:t>atlases kritēriju projekt</w:t>
      </w:r>
      <w:r>
        <w:rPr>
          <w:rFonts w:eastAsia="Calibri"/>
        </w:rPr>
        <w:t>us</w:t>
      </w:r>
      <w:r w:rsidR="00E739F4" w:rsidRPr="00E739F4">
        <w:rPr>
          <w:rFonts w:eastAsia="Calibri"/>
        </w:rPr>
        <w:t>, kas liecina, ka atbalstīs tikai tos projektus, kurus var iedalīt intervences laukā saskaņā ar 40% vai 100% klimata vai digitālo koeficientu</w:t>
      </w:r>
      <w:r>
        <w:rPr>
          <w:rFonts w:eastAsia="Calibri"/>
        </w:rPr>
        <w:t xml:space="preserve">, </w:t>
      </w:r>
      <w:r w:rsidR="00E739F4" w:rsidRPr="00E739F4">
        <w:rPr>
          <w:rFonts w:eastAsia="Calibri"/>
        </w:rPr>
        <w:t>pierādījumi, ka atbalsta saņēmēju galīgā atlase atbilst atlases kritērijiem</w:t>
      </w:r>
      <w:r>
        <w:rPr>
          <w:rFonts w:eastAsia="Calibri"/>
        </w:rPr>
        <w:t xml:space="preserve"> un citus pierādījumus. </w:t>
      </w:r>
    </w:p>
    <w:p w14:paraId="31DFA820" w14:textId="0556E24E" w:rsidR="00454C47" w:rsidRDefault="00A36344" w:rsidP="004F4227">
      <w:pPr>
        <w:spacing w:after="0" w:line="276" w:lineRule="auto"/>
        <w:ind w:firstLine="720"/>
        <w:jc w:val="both"/>
        <w:rPr>
          <w:rFonts w:eastAsia="Calibri"/>
        </w:rPr>
      </w:pPr>
      <w:r>
        <w:rPr>
          <w:rFonts w:eastAsia="Calibri"/>
        </w:rPr>
        <w:t xml:space="preserve">Visiem </w:t>
      </w:r>
      <w:r w:rsidR="00C9232A" w:rsidRPr="00C9232A">
        <w:rPr>
          <w:rFonts w:eastAsia="Calibri"/>
        </w:rPr>
        <w:t xml:space="preserve">dokumentiem, kas ir maksājuma pieprasījuma pamatā, </w:t>
      </w:r>
      <w:r>
        <w:rPr>
          <w:rFonts w:eastAsia="Calibri"/>
        </w:rPr>
        <w:t>nepieciešams</w:t>
      </w:r>
      <w:r w:rsidR="00C9232A" w:rsidRPr="00C9232A">
        <w:rPr>
          <w:rFonts w:eastAsia="Calibri"/>
        </w:rPr>
        <w:t xml:space="preserve"> būt pietiekami detalizētiem, lai </w:t>
      </w:r>
      <w:r>
        <w:rPr>
          <w:rFonts w:eastAsia="Calibri"/>
        </w:rPr>
        <w:t>EK</w:t>
      </w:r>
      <w:r w:rsidR="00C9232A" w:rsidRPr="00C9232A">
        <w:rPr>
          <w:rFonts w:eastAsia="Calibri"/>
        </w:rPr>
        <w:t xml:space="preserve"> varētu novērtēt, vai ir ievēroti visi elementi, kas izklāstīti Padomes </w:t>
      </w:r>
      <w:r w:rsidR="00F131BC">
        <w:rPr>
          <w:rFonts w:eastAsia="Calibri"/>
        </w:rPr>
        <w:t>Ī</w:t>
      </w:r>
      <w:r w:rsidR="00C9232A" w:rsidRPr="00C9232A">
        <w:rPr>
          <w:rFonts w:eastAsia="Calibri"/>
        </w:rPr>
        <w:t>stenošanas lēmumā.</w:t>
      </w:r>
      <w:r>
        <w:rPr>
          <w:rFonts w:eastAsia="Calibri"/>
        </w:rPr>
        <w:t xml:space="preserve"> </w:t>
      </w:r>
    </w:p>
    <w:p w14:paraId="0CA56F37" w14:textId="6966EF64" w:rsidR="004F4227" w:rsidRDefault="00FE0744" w:rsidP="004F4227">
      <w:pPr>
        <w:spacing w:after="0" w:line="276" w:lineRule="auto"/>
        <w:ind w:firstLine="720"/>
        <w:jc w:val="both"/>
      </w:pPr>
      <w:r>
        <w:rPr>
          <w:rFonts w:eastAsia="Calibri"/>
        </w:rPr>
        <w:t xml:space="preserve"> </w:t>
      </w:r>
      <w:r w:rsidR="004F4227">
        <w:t xml:space="preserve">EK Regulā nav paredzējusi iespēju finansēt </w:t>
      </w:r>
      <w:r w:rsidR="00084A0C" w:rsidRPr="00084A0C">
        <w:t>Atveseļošanas fonda</w:t>
      </w:r>
      <w:r w:rsidR="00D949DB">
        <w:t xml:space="preserve"> </w:t>
      </w:r>
      <w:r w:rsidR="004F4227">
        <w:t>plāna administrēšanas, kontroles un uzraudzības izmaksas, kā tas ir ES fondos tehniskā</w:t>
      </w:r>
      <w:r w:rsidR="005F07EE">
        <w:t>s</w:t>
      </w:r>
      <w:r w:rsidR="004F4227">
        <w:t xml:space="preserve"> palīdzības veidā, kas paredz no kopējā ES fondu finansējuma apmēra novirzīt zināmu </w:t>
      </w:r>
      <w:r w:rsidR="004F4227">
        <w:lastRenderedPageBreak/>
        <w:t>daļu ES fondu līdzekļu uzraudzības funkcijas veikšanai un attiecīgo regulāro izmaksu segšanai. Tomēr administrēšanas, kontroles un uzraudzības funkcijas atbilstoša veikšana ir būtiska</w:t>
      </w:r>
      <w:r w:rsidR="00E96AF9">
        <w:t xml:space="preserve"> un nepieciešama</w:t>
      </w:r>
      <w:r w:rsidR="004F4227">
        <w:t xml:space="preserve"> </w:t>
      </w:r>
      <w:r w:rsidR="00084A0C" w:rsidRPr="00084A0C">
        <w:t>Atveseļošanas fonda</w:t>
      </w:r>
      <w:r w:rsidR="004F4227">
        <w:t xml:space="preserve"> plāna </w:t>
      </w:r>
      <w:r w:rsidR="002E7CB7">
        <w:t>kvalitatīvas ieviešanas nodrošināšanai</w:t>
      </w:r>
      <w:r w:rsidR="005F07EE">
        <w:t xml:space="preserve"> un maksājumu no EK saņemšanai</w:t>
      </w:r>
      <w:r w:rsidR="004F4227">
        <w:t xml:space="preserve">, jo nepilnīga </w:t>
      </w:r>
      <w:r w:rsidR="000439EB">
        <w:t>VKS</w:t>
      </w:r>
      <w:r w:rsidR="004F4227">
        <w:t xml:space="preserve"> rada risku valsts budžetam, nesaņemot no EK </w:t>
      </w:r>
      <w:r w:rsidR="00C14053" w:rsidRPr="00C14053">
        <w:t>Atveseļošanas fonda</w:t>
      </w:r>
      <w:r w:rsidR="004F4227">
        <w:t xml:space="preserve"> plānā noteikto finansējumu, līdz ar to ir </w:t>
      </w:r>
      <w:r w:rsidR="002E7CB7">
        <w:t xml:space="preserve">nepieciešama </w:t>
      </w:r>
      <w:r w:rsidR="004F4227">
        <w:t xml:space="preserve">šo izmaksu segšana no valsts budžeta līdzekļiem. </w:t>
      </w:r>
    </w:p>
    <w:p w14:paraId="23E71622" w14:textId="2210D67C" w:rsidR="00A00F98" w:rsidRDefault="004222BE" w:rsidP="00E158E8">
      <w:pPr>
        <w:spacing w:after="0" w:line="276" w:lineRule="auto"/>
        <w:ind w:firstLine="720"/>
        <w:jc w:val="both"/>
      </w:pPr>
      <w:r>
        <w:t xml:space="preserve">Vērtējot nepieciešamos </w:t>
      </w:r>
      <w:r w:rsidR="00547223">
        <w:t xml:space="preserve">papildus </w:t>
      </w:r>
      <w:r w:rsidR="00B258AE">
        <w:t xml:space="preserve">finanšu </w:t>
      </w:r>
      <w:r>
        <w:t xml:space="preserve">resursus, aprēķinos iekļautas tikai tās papildus pamatfunkcijas, kuras nepieciešamas, lai nodrošinātu pilnvērtīgu </w:t>
      </w:r>
      <w:r w:rsidR="00290A3C" w:rsidRPr="00290A3C">
        <w:rPr>
          <w:rFonts w:eastAsia="Calibri"/>
        </w:rPr>
        <w:t>Atveseļošanas fonda</w:t>
      </w:r>
      <w:r w:rsidDel="00621D50">
        <w:t xml:space="preserve"> </w:t>
      </w:r>
      <w:r>
        <w:t xml:space="preserve">VKS funkcionēšanu un </w:t>
      </w:r>
      <w:r w:rsidR="00290A3C" w:rsidRPr="00290A3C">
        <w:t>Atveseļošanas fonda</w:t>
      </w:r>
      <w:r w:rsidRPr="0018160B">
        <w:t xml:space="preserve"> plāna</w:t>
      </w:r>
      <w:r>
        <w:t xml:space="preserve"> administrēšanu</w:t>
      </w:r>
      <w:r w:rsidR="00BE5F99">
        <w:t xml:space="preserve"> atbilstoši Regulas</w:t>
      </w:r>
      <w:r w:rsidR="00547223">
        <w:t xml:space="preserve"> un EK</w:t>
      </w:r>
      <w:r w:rsidR="00BE5F99">
        <w:t xml:space="preserve"> prasībām</w:t>
      </w:r>
      <w:r>
        <w:t xml:space="preserve">. </w:t>
      </w:r>
      <w:r w:rsidR="00B258AE">
        <w:t>Finanšu r</w:t>
      </w:r>
      <w:r>
        <w:t xml:space="preserve">esursu aprēķinos netiek paredzēta </w:t>
      </w:r>
      <w:r w:rsidR="00290A3C" w:rsidRPr="00290A3C">
        <w:t>Atveseļošanas fonda</w:t>
      </w:r>
      <w:r w:rsidRPr="0018160B">
        <w:t xml:space="preserve"> plāna</w:t>
      </w:r>
      <w:r>
        <w:t xml:space="preserve"> investīciju </w:t>
      </w:r>
      <w:r w:rsidR="005816F4">
        <w:t xml:space="preserve">un reformu </w:t>
      </w:r>
      <w:r w:rsidR="00B34AC5">
        <w:t xml:space="preserve">īstenošanas </w:t>
      </w:r>
      <w:r>
        <w:t>funkcija un tās izmaksas.</w:t>
      </w:r>
    </w:p>
    <w:p w14:paraId="58ADB1C5" w14:textId="71C8AFD3" w:rsidR="006A6A8B" w:rsidRDefault="002B6667" w:rsidP="005B5000">
      <w:pPr>
        <w:spacing w:after="0" w:line="276" w:lineRule="auto"/>
        <w:ind w:firstLine="720"/>
        <w:jc w:val="both"/>
      </w:pPr>
      <w:r>
        <w:t>Ņemot vērā institūciju pieprasījumus</w:t>
      </w:r>
      <w:r w:rsidR="0059607C">
        <w:t xml:space="preserve"> </w:t>
      </w:r>
      <w:bookmarkStart w:id="9" w:name="_Hlk79066363"/>
      <w:r w:rsidR="0059607C" w:rsidRPr="0059607C">
        <w:t>(skatīt Tabulā Nr.</w:t>
      </w:r>
      <w:r w:rsidR="0059607C">
        <w:t>3</w:t>
      </w:r>
      <w:r w:rsidR="0059607C" w:rsidRPr="0059607C">
        <w:t>)</w:t>
      </w:r>
      <w:r>
        <w:t xml:space="preserve"> </w:t>
      </w:r>
      <w:bookmarkEnd w:id="9"/>
      <w:r>
        <w:t>un sniegtos</w:t>
      </w:r>
      <w:r w:rsidR="005605DF">
        <w:t xml:space="preserve"> papildus</w:t>
      </w:r>
      <w:r>
        <w:t xml:space="preserve"> argumentus par papildus nepieciešamajiem finanšu resursiem, jau šobrīd esošo noslodzi, </w:t>
      </w:r>
      <w:r w:rsidR="006566F6">
        <w:t>kā ar</w:t>
      </w:r>
      <w:r w:rsidR="0017760D">
        <w:t>ī</w:t>
      </w:r>
      <w:r w:rsidR="006566F6">
        <w:t xml:space="preserve"> turpmāk </w:t>
      </w:r>
      <w:r>
        <w:t xml:space="preserve">veicamās darbības un uzdevumus, </w:t>
      </w:r>
      <w:r w:rsidR="00D5161F">
        <w:t>tai skaitā</w:t>
      </w:r>
      <w:r w:rsidR="002E1AC7">
        <w:t xml:space="preserve"> ievērojot kopējo cilvēkresursu attīstības politiku valstī, </w:t>
      </w:r>
      <w:r w:rsidR="00A65E89">
        <w:t xml:space="preserve">FM piedāvā virzīt apstiprināšanai </w:t>
      </w:r>
      <w:r w:rsidR="0059607C" w:rsidRPr="0059607C">
        <w:t>(skatīt Tabulā Nr.2)</w:t>
      </w:r>
      <w:r w:rsidR="0059607C">
        <w:t xml:space="preserve"> </w:t>
      </w:r>
      <w:r w:rsidR="00B3561D">
        <w:t>sekojošu pieeju</w:t>
      </w:r>
      <w:r w:rsidR="00A65E89">
        <w:t xml:space="preserve">, proti, ka </w:t>
      </w:r>
      <w:r w:rsidR="00A65E89" w:rsidRPr="00784E94">
        <w:rPr>
          <w:b/>
          <w:bCs/>
        </w:rPr>
        <w:t>v</w:t>
      </w:r>
      <w:r w:rsidR="002472F2" w:rsidRPr="00784E94">
        <w:rPr>
          <w:b/>
          <w:bCs/>
        </w:rPr>
        <w:t xml:space="preserve">isi nepieciešamie finanšu resursi, papildus funkcijas un VKS pielāgošanas izmaksas </w:t>
      </w:r>
      <w:r w:rsidR="00290A3C" w:rsidRPr="00290A3C">
        <w:rPr>
          <w:b/>
          <w:bCs/>
        </w:rPr>
        <w:t>Atveseļošanas fonda</w:t>
      </w:r>
      <w:r w:rsidR="002472F2" w:rsidRPr="00784E94">
        <w:rPr>
          <w:b/>
          <w:bCs/>
        </w:rPr>
        <w:t xml:space="preserve"> plāna ieviešanai ir </w:t>
      </w:r>
      <w:r w:rsidR="00B3561D" w:rsidRPr="00784E94">
        <w:rPr>
          <w:b/>
          <w:bCs/>
        </w:rPr>
        <w:t xml:space="preserve">plānotas kā </w:t>
      </w:r>
      <w:r w:rsidR="002472F2" w:rsidRPr="00784E94">
        <w:rPr>
          <w:b/>
          <w:bCs/>
        </w:rPr>
        <w:t xml:space="preserve">terminētas uz noteiktu laiku – līdz </w:t>
      </w:r>
      <w:r w:rsidR="00290A3C" w:rsidRPr="00290A3C">
        <w:rPr>
          <w:b/>
          <w:bCs/>
        </w:rPr>
        <w:t>Atveseļošanas fonda</w:t>
      </w:r>
      <w:r w:rsidR="002472F2" w:rsidRPr="00784E94">
        <w:rPr>
          <w:b/>
          <w:bCs/>
        </w:rPr>
        <w:t xml:space="preserve"> plāna ieviešanas </w:t>
      </w:r>
      <w:r w:rsidR="00AB6CB4">
        <w:rPr>
          <w:b/>
          <w:bCs/>
        </w:rPr>
        <w:t xml:space="preserve">pilnīgam </w:t>
      </w:r>
      <w:r w:rsidR="002472F2" w:rsidRPr="00784E94">
        <w:rPr>
          <w:b/>
          <w:bCs/>
        </w:rPr>
        <w:t>noslēgumam</w:t>
      </w:r>
      <w:r w:rsidR="002472F2" w:rsidRPr="002472F2">
        <w:t xml:space="preserve"> un </w:t>
      </w:r>
      <w:r w:rsidR="002E1AC7">
        <w:t>finansējam</w:t>
      </w:r>
      <w:r w:rsidR="00373EFF">
        <w:t>as</w:t>
      </w:r>
      <w:r w:rsidR="002E1AC7">
        <w:t xml:space="preserve"> </w:t>
      </w:r>
      <w:r w:rsidR="002472F2" w:rsidRPr="002472F2">
        <w:t>no valsts budžeta</w:t>
      </w:r>
      <w:r w:rsidR="00784E94" w:rsidRPr="00784E94">
        <w:t xml:space="preserve">, ievērojot, ka administrēšana tiks nodrošināta esošo amata vietu ietvaros, nepalielinot kopējo amata vietu skaitu katrā </w:t>
      </w:r>
      <w:r w:rsidR="00AC53CB">
        <w:t>resorā</w:t>
      </w:r>
      <w:r w:rsidR="00784E94">
        <w:t>.</w:t>
      </w:r>
    </w:p>
    <w:p w14:paraId="30058E73" w14:textId="5B9FEAA3" w:rsidR="0011363F" w:rsidRPr="00AC34C3" w:rsidRDefault="00403CBA" w:rsidP="006A6A8B">
      <w:pPr>
        <w:spacing w:after="0" w:line="276" w:lineRule="auto"/>
        <w:ind w:firstLine="720"/>
        <w:jc w:val="right"/>
        <w:rPr>
          <w:sz w:val="22"/>
          <w:szCs w:val="22"/>
        </w:rPr>
      </w:pPr>
      <w:r>
        <w:t xml:space="preserve"> </w:t>
      </w:r>
      <w:r w:rsidR="006A6A8B" w:rsidRPr="00AC34C3">
        <w:rPr>
          <w:sz w:val="22"/>
          <w:szCs w:val="22"/>
        </w:rPr>
        <w:t>Tabula Nr.</w:t>
      </w:r>
      <w:r w:rsidR="001E75E5">
        <w:rPr>
          <w:sz w:val="22"/>
          <w:szCs w:val="22"/>
        </w:rPr>
        <w:t>2</w:t>
      </w:r>
    </w:p>
    <w:tbl>
      <w:tblPr>
        <w:tblpPr w:leftFromText="180" w:rightFromText="180" w:vertAnchor="text" w:horzAnchor="margin" w:tblpY="117"/>
        <w:tblW w:w="8221" w:type="dxa"/>
        <w:tblCellMar>
          <w:left w:w="10" w:type="dxa"/>
          <w:right w:w="10" w:type="dxa"/>
        </w:tblCellMar>
        <w:tblLook w:val="04A0" w:firstRow="1" w:lastRow="0" w:firstColumn="1" w:lastColumn="0" w:noHBand="0" w:noVBand="1"/>
      </w:tblPr>
      <w:tblGrid>
        <w:gridCol w:w="5807"/>
        <w:gridCol w:w="2414"/>
      </w:tblGrid>
      <w:tr w:rsidR="0011363F" w:rsidRPr="007E2BBC" w14:paraId="08236BCC" w14:textId="77777777" w:rsidTr="0011363F">
        <w:trPr>
          <w:trHeight w:val="411"/>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D08066" w14:textId="3B0E1455" w:rsidR="0011363F" w:rsidRPr="007E2BBC" w:rsidRDefault="004E5298" w:rsidP="00500EDD">
            <w:pPr>
              <w:suppressAutoHyphens/>
              <w:autoSpaceDN w:val="0"/>
              <w:spacing w:after="0" w:line="240" w:lineRule="auto"/>
              <w:jc w:val="center"/>
              <w:rPr>
                <w:rFonts w:eastAsia="Times New Roman"/>
                <w:b/>
                <w:bCs/>
                <w:color w:val="000000"/>
                <w:sz w:val="22"/>
                <w:szCs w:val="22"/>
                <w:lang w:eastAsia="lv-LV"/>
              </w:rPr>
            </w:pPr>
            <w:r w:rsidRPr="004E5298">
              <w:rPr>
                <w:rFonts w:eastAsia="Times New Roman"/>
                <w:b/>
                <w:bCs/>
                <w:color w:val="000000"/>
                <w:sz w:val="22"/>
                <w:szCs w:val="22"/>
                <w:lang w:eastAsia="lv-LV"/>
              </w:rPr>
              <w:t>Atveseļošanas fonda</w:t>
            </w:r>
            <w:r w:rsidR="0011363F" w:rsidRPr="007E2BBC">
              <w:rPr>
                <w:rFonts w:eastAsia="Times New Roman"/>
                <w:b/>
                <w:bCs/>
                <w:color w:val="000000"/>
                <w:sz w:val="22"/>
                <w:szCs w:val="22"/>
                <w:lang w:eastAsia="lv-LV"/>
              </w:rPr>
              <w:t xml:space="preserve"> plāns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AACC9" w14:textId="77777777" w:rsidR="0011363F" w:rsidRPr="007E2BBC" w:rsidRDefault="0011363F" w:rsidP="00500EDD">
            <w:pPr>
              <w:suppressAutoHyphens/>
              <w:autoSpaceDN w:val="0"/>
              <w:spacing w:after="0" w:line="240" w:lineRule="auto"/>
              <w:jc w:val="center"/>
              <w:rPr>
                <w:rFonts w:eastAsia="Times New Roman"/>
                <w:b/>
                <w:bCs/>
                <w:color w:val="000000"/>
                <w:sz w:val="22"/>
                <w:szCs w:val="22"/>
                <w:lang w:eastAsia="lv-LV"/>
              </w:rPr>
            </w:pPr>
            <w:r w:rsidRPr="007E2BBC">
              <w:rPr>
                <w:rFonts w:eastAsia="Times New Roman"/>
                <w:b/>
                <w:bCs/>
                <w:color w:val="000000"/>
                <w:sz w:val="22"/>
                <w:szCs w:val="22"/>
                <w:lang w:eastAsia="lv-LV"/>
              </w:rPr>
              <w:t>Izmaksas</w:t>
            </w:r>
          </w:p>
        </w:tc>
      </w:tr>
      <w:tr w:rsidR="0011363F" w:rsidRPr="007E2BBC" w14:paraId="446C7B5D" w14:textId="77777777" w:rsidTr="007E2BBC">
        <w:trPr>
          <w:trHeight w:val="290"/>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EB1D3E" w14:textId="77C7D8F6" w:rsidR="0011363F" w:rsidRPr="007E2BBC" w:rsidRDefault="00411B77" w:rsidP="005857BB">
            <w:pPr>
              <w:suppressAutoHyphens/>
              <w:autoSpaceDN w:val="0"/>
              <w:spacing w:after="0" w:line="240" w:lineRule="auto"/>
              <w:jc w:val="both"/>
              <w:rPr>
                <w:rFonts w:eastAsia="Times New Roman"/>
                <w:color w:val="000000"/>
                <w:sz w:val="22"/>
                <w:szCs w:val="22"/>
                <w:lang w:eastAsia="lv-LV"/>
              </w:rPr>
            </w:pPr>
            <w:r>
              <w:rPr>
                <w:rFonts w:eastAsia="Times New Roman"/>
                <w:color w:val="000000"/>
                <w:sz w:val="22"/>
                <w:szCs w:val="22"/>
                <w:lang w:eastAsia="lv-LV"/>
              </w:rPr>
              <w:t>Kopējais i</w:t>
            </w:r>
            <w:r w:rsidR="0011363F" w:rsidRPr="007E2BBC">
              <w:rPr>
                <w:rFonts w:eastAsia="Times New Roman"/>
                <w:color w:val="000000"/>
                <w:sz w:val="22"/>
                <w:szCs w:val="22"/>
                <w:lang w:eastAsia="lv-LV"/>
              </w:rPr>
              <w:t>nvestīciju apjoms</w:t>
            </w:r>
            <w:r w:rsidR="00A25E72">
              <w:rPr>
                <w:rFonts w:eastAsia="Times New Roman"/>
                <w:color w:val="000000"/>
                <w:sz w:val="22"/>
                <w:szCs w:val="22"/>
                <w:lang w:eastAsia="lv-LV"/>
              </w:rPr>
              <w:t xml:space="preserve"> EUR</w:t>
            </w: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CDACD7" w14:textId="3F44753B" w:rsidR="0011363F" w:rsidRPr="0057777B" w:rsidRDefault="0011363F" w:rsidP="007E2BBC">
            <w:pPr>
              <w:suppressAutoHyphens/>
              <w:autoSpaceDN w:val="0"/>
              <w:spacing w:after="0" w:line="240" w:lineRule="auto"/>
              <w:jc w:val="center"/>
              <w:rPr>
                <w:rFonts w:eastAsia="Times New Roman"/>
                <w:b/>
                <w:bCs/>
                <w:color w:val="000000"/>
                <w:sz w:val="22"/>
                <w:szCs w:val="22"/>
                <w:lang w:eastAsia="lv-LV"/>
              </w:rPr>
            </w:pPr>
            <w:r w:rsidRPr="0057777B">
              <w:rPr>
                <w:rFonts w:eastAsia="Times New Roman"/>
                <w:b/>
                <w:bCs/>
                <w:color w:val="000000"/>
                <w:sz w:val="22"/>
                <w:szCs w:val="22"/>
                <w:lang w:eastAsia="lv-LV"/>
              </w:rPr>
              <w:t xml:space="preserve">1 826 000 000 </w:t>
            </w:r>
          </w:p>
        </w:tc>
      </w:tr>
      <w:tr w:rsidR="0011363F" w:rsidRPr="007E2BBC" w14:paraId="1FB95F0B" w14:textId="77777777" w:rsidTr="007E2BBC">
        <w:trPr>
          <w:trHeight w:val="290"/>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C56EA9" w14:textId="1E9C2D70" w:rsidR="0011363F" w:rsidRPr="007E2BBC" w:rsidRDefault="0011363F" w:rsidP="005857BB">
            <w:pPr>
              <w:suppressAutoHyphens/>
              <w:autoSpaceDN w:val="0"/>
              <w:spacing w:after="0" w:line="240" w:lineRule="auto"/>
              <w:jc w:val="both"/>
              <w:rPr>
                <w:rFonts w:eastAsia="Times New Roman"/>
                <w:color w:val="000000"/>
                <w:sz w:val="22"/>
                <w:szCs w:val="22"/>
                <w:lang w:eastAsia="lv-LV"/>
              </w:rPr>
            </w:pPr>
            <w:r w:rsidRPr="007E2BBC">
              <w:rPr>
                <w:rFonts w:eastAsia="Times New Roman"/>
                <w:color w:val="000000"/>
                <w:sz w:val="22"/>
                <w:szCs w:val="22"/>
                <w:lang w:eastAsia="lv-LV"/>
              </w:rPr>
              <w:t>Administrēšanas un VKS pielāgošanas izmaksas</w:t>
            </w:r>
            <w:r w:rsidR="00A25E72">
              <w:rPr>
                <w:rFonts w:eastAsia="Times New Roman"/>
                <w:color w:val="000000"/>
                <w:sz w:val="22"/>
                <w:szCs w:val="22"/>
                <w:lang w:eastAsia="lv-LV"/>
              </w:rPr>
              <w:t xml:space="preserve"> EUR</w:t>
            </w: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331500" w14:textId="405231D3" w:rsidR="0011363F" w:rsidRPr="0057777B" w:rsidRDefault="0072006F" w:rsidP="007E2BBC">
            <w:pPr>
              <w:suppressAutoHyphens/>
              <w:autoSpaceDN w:val="0"/>
              <w:spacing w:after="0" w:line="240" w:lineRule="auto"/>
              <w:jc w:val="center"/>
              <w:rPr>
                <w:rFonts w:eastAsia="Times New Roman"/>
                <w:b/>
                <w:bCs/>
                <w:color w:val="000000"/>
                <w:sz w:val="22"/>
                <w:szCs w:val="22"/>
                <w:lang w:eastAsia="lv-LV"/>
              </w:rPr>
            </w:pPr>
            <w:r w:rsidRPr="0072006F">
              <w:rPr>
                <w:rFonts w:eastAsia="Times New Roman"/>
                <w:b/>
                <w:bCs/>
                <w:color w:val="000000"/>
                <w:sz w:val="22"/>
                <w:szCs w:val="22"/>
                <w:lang w:eastAsia="lv-LV"/>
              </w:rPr>
              <w:t>32</w:t>
            </w:r>
            <w:r>
              <w:rPr>
                <w:rFonts w:eastAsia="Times New Roman"/>
                <w:b/>
                <w:bCs/>
                <w:color w:val="000000"/>
                <w:sz w:val="22"/>
                <w:szCs w:val="22"/>
                <w:lang w:eastAsia="lv-LV"/>
              </w:rPr>
              <w:t> </w:t>
            </w:r>
            <w:r w:rsidRPr="0072006F">
              <w:rPr>
                <w:rFonts w:eastAsia="Times New Roman"/>
                <w:b/>
                <w:bCs/>
                <w:color w:val="000000"/>
                <w:sz w:val="22"/>
                <w:szCs w:val="22"/>
                <w:lang w:eastAsia="lv-LV"/>
              </w:rPr>
              <w:t>302</w:t>
            </w:r>
            <w:r w:rsidR="00BF7280">
              <w:rPr>
                <w:rFonts w:eastAsia="Times New Roman"/>
                <w:b/>
                <w:bCs/>
                <w:color w:val="000000"/>
                <w:sz w:val="22"/>
                <w:szCs w:val="22"/>
                <w:lang w:eastAsia="lv-LV"/>
              </w:rPr>
              <w:t> </w:t>
            </w:r>
            <w:r w:rsidRPr="0072006F">
              <w:rPr>
                <w:rFonts w:eastAsia="Times New Roman"/>
                <w:b/>
                <w:bCs/>
                <w:color w:val="000000"/>
                <w:sz w:val="22"/>
                <w:szCs w:val="22"/>
                <w:lang w:eastAsia="lv-LV"/>
              </w:rPr>
              <w:t>000</w:t>
            </w:r>
            <w:r w:rsidR="00BF7280">
              <w:rPr>
                <w:rFonts w:eastAsia="Times New Roman"/>
                <w:b/>
                <w:bCs/>
                <w:color w:val="000000"/>
                <w:sz w:val="22"/>
                <w:szCs w:val="22"/>
                <w:lang w:eastAsia="lv-LV"/>
              </w:rPr>
              <w:t xml:space="preserve"> </w:t>
            </w:r>
          </w:p>
        </w:tc>
      </w:tr>
      <w:tr w:rsidR="0011363F" w:rsidRPr="007E2BBC" w14:paraId="6A1A9AB8" w14:textId="77777777" w:rsidTr="007E2BBC">
        <w:trPr>
          <w:trHeight w:val="290"/>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7FEBC3" w14:textId="77777777" w:rsidR="0011363F" w:rsidRPr="007E2BBC" w:rsidRDefault="0011363F" w:rsidP="005857BB">
            <w:pPr>
              <w:suppressAutoHyphens/>
              <w:autoSpaceDN w:val="0"/>
              <w:spacing w:after="0" w:line="240" w:lineRule="auto"/>
              <w:jc w:val="both"/>
              <w:rPr>
                <w:rFonts w:eastAsia="Times New Roman"/>
                <w:color w:val="000000"/>
                <w:sz w:val="22"/>
                <w:szCs w:val="22"/>
                <w:lang w:eastAsia="lv-LV"/>
              </w:rPr>
            </w:pPr>
            <w:r w:rsidRPr="007E2BBC">
              <w:rPr>
                <w:rFonts w:eastAsia="Times New Roman"/>
                <w:color w:val="000000"/>
                <w:sz w:val="22"/>
                <w:szCs w:val="22"/>
                <w:lang w:eastAsia="lv-LV"/>
              </w:rPr>
              <w:t>Administrēšanas izmaksas % pret investīciju apjomu</w:t>
            </w: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8450C0" w14:textId="07682A93" w:rsidR="0011363F" w:rsidRPr="007E2BBC" w:rsidRDefault="0011363F" w:rsidP="007E2BBC">
            <w:pPr>
              <w:suppressAutoHyphens/>
              <w:autoSpaceDN w:val="0"/>
              <w:spacing w:after="0" w:line="240" w:lineRule="auto"/>
              <w:jc w:val="center"/>
              <w:rPr>
                <w:rFonts w:eastAsia="Times New Roman"/>
                <w:b/>
                <w:bCs/>
                <w:color w:val="000000"/>
                <w:sz w:val="22"/>
                <w:szCs w:val="22"/>
                <w:lang w:eastAsia="lv-LV"/>
              </w:rPr>
            </w:pPr>
            <w:r w:rsidRPr="007E2BBC">
              <w:rPr>
                <w:rFonts w:eastAsia="Times New Roman"/>
                <w:b/>
                <w:bCs/>
                <w:color w:val="000000"/>
                <w:sz w:val="22"/>
                <w:szCs w:val="22"/>
                <w:lang w:eastAsia="lv-LV"/>
              </w:rPr>
              <w:t>1,</w:t>
            </w:r>
            <w:r w:rsidR="005359BE">
              <w:rPr>
                <w:rFonts w:eastAsia="Times New Roman"/>
                <w:b/>
                <w:bCs/>
                <w:color w:val="000000"/>
                <w:sz w:val="22"/>
                <w:szCs w:val="22"/>
                <w:lang w:eastAsia="lv-LV"/>
              </w:rPr>
              <w:t>7</w:t>
            </w:r>
            <w:r w:rsidR="000E0DB8">
              <w:rPr>
                <w:rFonts w:eastAsia="Times New Roman"/>
                <w:b/>
                <w:bCs/>
                <w:color w:val="000000"/>
                <w:sz w:val="22"/>
                <w:szCs w:val="22"/>
                <w:lang w:eastAsia="lv-LV"/>
              </w:rPr>
              <w:t>7</w:t>
            </w:r>
            <w:r w:rsidRPr="007E2BBC">
              <w:rPr>
                <w:rFonts w:eastAsia="Times New Roman"/>
                <w:b/>
                <w:bCs/>
                <w:color w:val="000000"/>
                <w:sz w:val="22"/>
                <w:szCs w:val="22"/>
                <w:lang w:eastAsia="lv-LV"/>
              </w:rPr>
              <w:t>%</w:t>
            </w:r>
          </w:p>
        </w:tc>
      </w:tr>
      <w:tr w:rsidR="0011363F" w:rsidRPr="007E2BBC" w14:paraId="6FF39606" w14:textId="77777777" w:rsidTr="007E2BBC">
        <w:trPr>
          <w:trHeight w:val="290"/>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AE7996" w14:textId="4C9EACFD" w:rsidR="0011363F" w:rsidRPr="007E2BBC" w:rsidRDefault="0011363F" w:rsidP="005857BB">
            <w:pPr>
              <w:suppressAutoHyphens/>
              <w:autoSpaceDN w:val="0"/>
              <w:spacing w:after="0" w:line="240" w:lineRule="auto"/>
              <w:jc w:val="both"/>
              <w:rPr>
                <w:rFonts w:eastAsia="Times New Roman"/>
                <w:color w:val="000000"/>
                <w:sz w:val="22"/>
                <w:szCs w:val="22"/>
                <w:lang w:eastAsia="lv-LV"/>
              </w:rPr>
            </w:pPr>
            <w:r w:rsidRPr="007E2BBC">
              <w:rPr>
                <w:rFonts w:eastAsia="Times New Roman"/>
                <w:color w:val="000000"/>
                <w:sz w:val="22"/>
                <w:szCs w:val="22"/>
                <w:lang w:eastAsia="lv-LV"/>
              </w:rPr>
              <w:t>ES struktūrfondu administrēšanas izmaksas 14-20</w:t>
            </w:r>
            <w:r w:rsidR="00411B77">
              <w:rPr>
                <w:rFonts w:eastAsia="Times New Roman"/>
                <w:color w:val="000000"/>
                <w:sz w:val="22"/>
                <w:szCs w:val="22"/>
                <w:lang w:eastAsia="lv-LV"/>
              </w:rPr>
              <w:t xml:space="preserve"> </w:t>
            </w:r>
            <w:r w:rsidR="00411B77">
              <w:t xml:space="preserve"> </w:t>
            </w:r>
            <w:r w:rsidR="00411B77" w:rsidRPr="00411B77">
              <w:rPr>
                <w:rFonts w:eastAsia="Times New Roman"/>
                <w:color w:val="000000"/>
                <w:sz w:val="22"/>
                <w:szCs w:val="22"/>
                <w:lang w:eastAsia="lv-LV"/>
              </w:rPr>
              <w:t>pret investīciju apjomu</w:t>
            </w: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7B22D1" w14:textId="77777777" w:rsidR="0011363F" w:rsidRPr="0057777B" w:rsidRDefault="0011363F" w:rsidP="007E2BBC">
            <w:pPr>
              <w:suppressAutoHyphens/>
              <w:autoSpaceDN w:val="0"/>
              <w:spacing w:after="0" w:line="240" w:lineRule="auto"/>
              <w:jc w:val="center"/>
              <w:rPr>
                <w:rFonts w:eastAsia="Times New Roman"/>
                <w:color w:val="000000"/>
                <w:sz w:val="22"/>
                <w:szCs w:val="22"/>
                <w:lang w:eastAsia="lv-LV"/>
              </w:rPr>
            </w:pPr>
            <w:r w:rsidRPr="0057777B">
              <w:rPr>
                <w:rFonts w:eastAsia="Times New Roman"/>
                <w:color w:val="000000"/>
                <w:sz w:val="22"/>
                <w:szCs w:val="22"/>
                <w:lang w:eastAsia="lv-LV"/>
              </w:rPr>
              <w:t>2,25%</w:t>
            </w:r>
          </w:p>
        </w:tc>
      </w:tr>
      <w:tr w:rsidR="0011363F" w:rsidRPr="007E2BBC" w14:paraId="02AED461" w14:textId="77777777" w:rsidTr="007E2BBC">
        <w:trPr>
          <w:trHeight w:val="290"/>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CF45CF" w14:textId="462EA1E2" w:rsidR="0011363F" w:rsidRPr="007E2BBC" w:rsidRDefault="0011363F" w:rsidP="005857BB">
            <w:pPr>
              <w:suppressAutoHyphens/>
              <w:autoSpaceDN w:val="0"/>
              <w:spacing w:after="0" w:line="240" w:lineRule="auto"/>
              <w:jc w:val="both"/>
              <w:rPr>
                <w:rFonts w:eastAsia="Times New Roman"/>
                <w:color w:val="000000"/>
                <w:sz w:val="22"/>
                <w:szCs w:val="22"/>
                <w:lang w:eastAsia="lv-LV"/>
              </w:rPr>
            </w:pPr>
            <w:r w:rsidRPr="007E2BBC">
              <w:rPr>
                <w:rFonts w:eastAsia="Times New Roman"/>
                <w:color w:val="000000"/>
                <w:sz w:val="22"/>
                <w:szCs w:val="22"/>
                <w:lang w:eastAsia="lv-LV"/>
              </w:rPr>
              <w:t>ES struktūrfondu administrēšanas izmaksas kā vienotā likme no EK 21-27</w:t>
            </w:r>
            <w:r w:rsidR="00411B77">
              <w:rPr>
                <w:rFonts w:eastAsia="Times New Roman"/>
                <w:color w:val="000000"/>
                <w:sz w:val="22"/>
                <w:szCs w:val="22"/>
                <w:lang w:eastAsia="lv-LV"/>
              </w:rPr>
              <w:t xml:space="preserve"> </w:t>
            </w:r>
            <w:r w:rsidR="00411B77" w:rsidRPr="00411B77">
              <w:rPr>
                <w:rFonts w:eastAsia="Times New Roman"/>
                <w:color w:val="000000"/>
                <w:sz w:val="22"/>
                <w:szCs w:val="22"/>
                <w:lang w:eastAsia="lv-LV"/>
              </w:rPr>
              <w:t>pret investīciju apjomu</w:t>
            </w:r>
          </w:p>
        </w:tc>
        <w:tc>
          <w:tcPr>
            <w:tcW w:w="2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B60A1E" w14:textId="77777777" w:rsidR="0011363F" w:rsidRPr="007E2BBC" w:rsidRDefault="0011363F" w:rsidP="007E2BBC">
            <w:pPr>
              <w:suppressAutoHyphens/>
              <w:autoSpaceDN w:val="0"/>
              <w:spacing w:after="0" w:line="240" w:lineRule="auto"/>
              <w:jc w:val="center"/>
              <w:rPr>
                <w:rFonts w:eastAsia="Times New Roman"/>
                <w:color w:val="000000"/>
                <w:sz w:val="22"/>
                <w:szCs w:val="22"/>
                <w:lang w:eastAsia="lv-LV"/>
              </w:rPr>
            </w:pPr>
            <w:r w:rsidRPr="007E2BBC">
              <w:rPr>
                <w:rFonts w:eastAsia="Times New Roman"/>
                <w:color w:val="000000"/>
                <w:sz w:val="22"/>
                <w:szCs w:val="22"/>
                <w:lang w:eastAsia="lv-LV"/>
              </w:rPr>
              <w:t>3.33%</w:t>
            </w:r>
            <w:r w:rsidRPr="007E2BBC">
              <w:rPr>
                <w:rFonts w:eastAsia="Times New Roman"/>
                <w:color w:val="000000"/>
                <w:sz w:val="22"/>
                <w:szCs w:val="22"/>
                <w:vertAlign w:val="superscript"/>
                <w:lang w:eastAsia="lv-LV"/>
              </w:rPr>
              <w:footnoteReference w:id="23"/>
            </w:r>
          </w:p>
        </w:tc>
      </w:tr>
    </w:tbl>
    <w:p w14:paraId="65D09DF6" w14:textId="29E53A9A" w:rsidR="005E39D8" w:rsidRDefault="005E39D8" w:rsidP="00EE390C">
      <w:pPr>
        <w:spacing w:after="0" w:line="276" w:lineRule="auto"/>
        <w:jc w:val="both"/>
      </w:pPr>
    </w:p>
    <w:p w14:paraId="5A05FA8A" w14:textId="32695CBF" w:rsidR="00D25624" w:rsidRDefault="00D25624" w:rsidP="00EE390C">
      <w:pPr>
        <w:spacing w:after="0" w:line="276" w:lineRule="auto"/>
        <w:jc w:val="both"/>
      </w:pPr>
    </w:p>
    <w:p w14:paraId="0F17D259" w14:textId="1FED5456" w:rsidR="00D25624" w:rsidRDefault="00D25624" w:rsidP="00EE390C">
      <w:pPr>
        <w:spacing w:after="0" w:line="276" w:lineRule="auto"/>
        <w:jc w:val="both"/>
      </w:pPr>
    </w:p>
    <w:p w14:paraId="6EC91CF7" w14:textId="346912A3" w:rsidR="00D25624" w:rsidRDefault="00D25624" w:rsidP="00EE390C">
      <w:pPr>
        <w:spacing w:after="0" w:line="276" w:lineRule="auto"/>
        <w:jc w:val="both"/>
      </w:pPr>
    </w:p>
    <w:p w14:paraId="3DFCC810" w14:textId="2593E747" w:rsidR="00D25624" w:rsidRDefault="00D25624" w:rsidP="00EE390C">
      <w:pPr>
        <w:spacing w:after="0" w:line="276" w:lineRule="auto"/>
        <w:jc w:val="both"/>
      </w:pPr>
    </w:p>
    <w:p w14:paraId="361C63FD" w14:textId="7A34A88A" w:rsidR="00D25624" w:rsidRDefault="00D25624" w:rsidP="00EE390C">
      <w:pPr>
        <w:spacing w:after="0" w:line="276" w:lineRule="auto"/>
        <w:jc w:val="both"/>
      </w:pPr>
    </w:p>
    <w:p w14:paraId="5132A8D9" w14:textId="1F846A45" w:rsidR="00D25624" w:rsidRDefault="00D25624" w:rsidP="00EE390C">
      <w:pPr>
        <w:spacing w:after="0" w:line="276" w:lineRule="auto"/>
        <w:jc w:val="both"/>
      </w:pPr>
    </w:p>
    <w:p w14:paraId="35ED9FF3" w14:textId="781E00AB" w:rsidR="00D25624" w:rsidRDefault="00D25624" w:rsidP="00EE390C">
      <w:pPr>
        <w:spacing w:after="0" w:line="276" w:lineRule="auto"/>
        <w:jc w:val="both"/>
      </w:pPr>
    </w:p>
    <w:p w14:paraId="320CA6B2" w14:textId="2A63B6D5" w:rsidR="00D25624" w:rsidRDefault="00D25624" w:rsidP="00EE390C">
      <w:pPr>
        <w:spacing w:after="0" w:line="276" w:lineRule="auto"/>
        <w:jc w:val="both"/>
      </w:pPr>
    </w:p>
    <w:p w14:paraId="4E69DDBF" w14:textId="4E6CD675" w:rsidR="00D25624" w:rsidRDefault="00D25624" w:rsidP="00EE390C">
      <w:pPr>
        <w:spacing w:after="0" w:line="276" w:lineRule="auto"/>
        <w:jc w:val="both"/>
      </w:pPr>
    </w:p>
    <w:p w14:paraId="1E54ED7B" w14:textId="3A51A51C" w:rsidR="00D25624" w:rsidRDefault="00D25624" w:rsidP="00EE390C">
      <w:pPr>
        <w:spacing w:after="0" w:line="276" w:lineRule="auto"/>
        <w:jc w:val="both"/>
      </w:pPr>
    </w:p>
    <w:p w14:paraId="6937E63B" w14:textId="77777777" w:rsidR="009D0E03" w:rsidRDefault="009D0E03" w:rsidP="00EE390C">
      <w:pPr>
        <w:spacing w:after="0" w:line="276" w:lineRule="auto"/>
        <w:jc w:val="both"/>
      </w:pPr>
    </w:p>
    <w:p w14:paraId="37F3966C" w14:textId="160CF46B" w:rsidR="006F5BDA" w:rsidRPr="00AC34C3" w:rsidRDefault="00AC34C3" w:rsidP="00AC34C3">
      <w:pPr>
        <w:suppressAutoHyphens/>
        <w:autoSpaceDN w:val="0"/>
        <w:spacing w:after="0" w:line="240" w:lineRule="auto"/>
        <w:jc w:val="right"/>
        <w:textAlignment w:val="baseline"/>
        <w:rPr>
          <w:rFonts w:eastAsia="Calibri"/>
          <w:sz w:val="22"/>
          <w:szCs w:val="22"/>
        </w:rPr>
      </w:pPr>
      <w:r w:rsidRPr="00AC34C3">
        <w:rPr>
          <w:rFonts w:eastAsia="Calibri"/>
          <w:sz w:val="22"/>
          <w:szCs w:val="22"/>
        </w:rPr>
        <w:lastRenderedPageBreak/>
        <w:t>Tabula Nr.</w:t>
      </w:r>
      <w:r w:rsidR="001E75E5">
        <w:rPr>
          <w:rFonts w:eastAsia="Calibri"/>
          <w:sz w:val="22"/>
          <w:szCs w:val="22"/>
        </w:rPr>
        <w:t>3</w:t>
      </w:r>
    </w:p>
    <w:tbl>
      <w:tblPr>
        <w:tblW w:w="9157" w:type="dxa"/>
        <w:tblInd w:w="-294" w:type="dxa"/>
        <w:tblLayout w:type="fixed"/>
        <w:tblLook w:val="04A0" w:firstRow="1" w:lastRow="0" w:firstColumn="1" w:lastColumn="0" w:noHBand="0" w:noVBand="1"/>
      </w:tblPr>
      <w:tblGrid>
        <w:gridCol w:w="1135"/>
        <w:gridCol w:w="1559"/>
        <w:gridCol w:w="1134"/>
        <w:gridCol w:w="1276"/>
        <w:gridCol w:w="1633"/>
        <w:gridCol w:w="1344"/>
        <w:gridCol w:w="1044"/>
        <w:gridCol w:w="32"/>
      </w:tblGrid>
      <w:tr w:rsidR="001306C8" w:rsidRPr="007E5612" w14:paraId="41B57B3F" w14:textId="77777777" w:rsidTr="003502A7">
        <w:trPr>
          <w:trHeight w:val="300"/>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61E37F" w14:textId="77777777" w:rsidR="007E5612" w:rsidRPr="0005751D" w:rsidRDefault="007E5612" w:rsidP="007E5612">
            <w:pPr>
              <w:spacing w:after="0" w:line="240" w:lineRule="auto"/>
              <w:jc w:val="center"/>
              <w:rPr>
                <w:rFonts w:eastAsia="Times New Roman"/>
                <w:b/>
                <w:bCs/>
                <w:color w:val="000000"/>
                <w:sz w:val="20"/>
                <w:szCs w:val="20"/>
                <w:lang w:eastAsia="lv-LV"/>
              </w:rPr>
            </w:pPr>
            <w:r w:rsidRPr="0005751D">
              <w:rPr>
                <w:rFonts w:eastAsia="Times New Roman"/>
                <w:b/>
                <w:bCs/>
                <w:color w:val="000000"/>
                <w:sz w:val="20"/>
                <w:szCs w:val="20"/>
                <w:lang w:eastAsia="lv-LV"/>
              </w:rPr>
              <w:t>Institūcija</w:t>
            </w:r>
          </w:p>
        </w:tc>
        <w:tc>
          <w:tcPr>
            <w:tcW w:w="396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B614041" w14:textId="6FD147C5" w:rsidR="007E5612" w:rsidRPr="0005751D" w:rsidRDefault="00AF1A6C" w:rsidP="007E5612">
            <w:pPr>
              <w:spacing w:after="0" w:line="240" w:lineRule="auto"/>
              <w:jc w:val="center"/>
              <w:rPr>
                <w:rFonts w:eastAsia="Times New Roman"/>
                <w:color w:val="000000"/>
                <w:sz w:val="20"/>
                <w:szCs w:val="20"/>
                <w:lang w:eastAsia="lv-LV"/>
              </w:rPr>
            </w:pPr>
            <w:r w:rsidRPr="00AF1A6C">
              <w:rPr>
                <w:rFonts w:eastAsia="Times New Roman"/>
                <w:color w:val="000000"/>
                <w:sz w:val="20"/>
                <w:szCs w:val="20"/>
                <w:lang w:eastAsia="lv-LV"/>
              </w:rPr>
              <w:t>Atveseļošanas fonda</w:t>
            </w:r>
            <w:r>
              <w:rPr>
                <w:rFonts w:eastAsia="Times New Roman"/>
                <w:color w:val="000000"/>
                <w:sz w:val="20"/>
                <w:szCs w:val="20"/>
                <w:lang w:eastAsia="lv-LV"/>
              </w:rPr>
              <w:t xml:space="preserve"> </w:t>
            </w:r>
            <w:r w:rsidR="007E5612" w:rsidRPr="0005751D">
              <w:rPr>
                <w:rFonts w:eastAsia="Times New Roman"/>
                <w:color w:val="000000"/>
                <w:sz w:val="20"/>
                <w:szCs w:val="20"/>
                <w:lang w:eastAsia="lv-LV"/>
              </w:rPr>
              <w:t>plāns</w:t>
            </w:r>
          </w:p>
        </w:tc>
        <w:tc>
          <w:tcPr>
            <w:tcW w:w="40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CEAAB2C" w14:textId="77777777"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FM piedāvājums</w:t>
            </w:r>
          </w:p>
        </w:tc>
      </w:tr>
      <w:tr w:rsidR="0005751D" w:rsidRPr="007E5612" w14:paraId="71455B59" w14:textId="77777777" w:rsidTr="003502A7">
        <w:trPr>
          <w:gridAfter w:val="1"/>
          <w:wAfter w:w="32" w:type="dxa"/>
          <w:trHeight w:val="1332"/>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6A45E591" w14:textId="77777777" w:rsidR="007E5612" w:rsidRPr="0005751D" w:rsidRDefault="007E5612" w:rsidP="007E5612">
            <w:pPr>
              <w:spacing w:after="0" w:line="240" w:lineRule="auto"/>
              <w:rPr>
                <w:rFonts w:eastAsia="Times New Roman"/>
                <w:b/>
                <w:bCs/>
                <w:color w:val="000000"/>
                <w:sz w:val="20"/>
                <w:szCs w:val="20"/>
                <w:lang w:eastAsia="lv-LV"/>
              </w:rPr>
            </w:pPr>
          </w:p>
        </w:tc>
        <w:tc>
          <w:tcPr>
            <w:tcW w:w="1559" w:type="dxa"/>
            <w:tcBorders>
              <w:top w:val="nil"/>
              <w:left w:val="nil"/>
              <w:bottom w:val="single" w:sz="8" w:space="0" w:color="auto"/>
              <w:right w:val="single" w:sz="8" w:space="0" w:color="auto"/>
            </w:tcBorders>
            <w:shd w:val="clear" w:color="auto" w:fill="auto"/>
            <w:noWrap/>
            <w:vAlign w:val="center"/>
            <w:hideMark/>
          </w:tcPr>
          <w:p w14:paraId="1684E909" w14:textId="77777777"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Piešķīrums</w:t>
            </w:r>
          </w:p>
        </w:tc>
        <w:tc>
          <w:tcPr>
            <w:tcW w:w="1134" w:type="dxa"/>
            <w:tcBorders>
              <w:top w:val="nil"/>
              <w:left w:val="nil"/>
              <w:bottom w:val="single" w:sz="8" w:space="0" w:color="auto"/>
              <w:right w:val="single" w:sz="8" w:space="0" w:color="auto"/>
            </w:tcBorders>
            <w:shd w:val="clear" w:color="auto" w:fill="auto"/>
            <w:noWrap/>
            <w:vAlign w:val="center"/>
            <w:hideMark/>
          </w:tcPr>
          <w:p w14:paraId="03ECAD54" w14:textId="77777777"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Pasākumi</w:t>
            </w:r>
          </w:p>
        </w:tc>
        <w:tc>
          <w:tcPr>
            <w:tcW w:w="1276" w:type="dxa"/>
            <w:tcBorders>
              <w:top w:val="nil"/>
              <w:left w:val="nil"/>
              <w:bottom w:val="single" w:sz="8" w:space="0" w:color="auto"/>
              <w:right w:val="single" w:sz="8" w:space="0" w:color="auto"/>
            </w:tcBorders>
            <w:shd w:val="clear" w:color="auto" w:fill="auto"/>
            <w:vAlign w:val="center"/>
            <w:hideMark/>
          </w:tcPr>
          <w:p w14:paraId="29C225B1" w14:textId="77777777"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Atskaites punkti/mērķi</w:t>
            </w:r>
          </w:p>
        </w:tc>
        <w:tc>
          <w:tcPr>
            <w:tcW w:w="1633" w:type="dxa"/>
            <w:tcBorders>
              <w:top w:val="nil"/>
              <w:left w:val="nil"/>
              <w:bottom w:val="single" w:sz="8" w:space="0" w:color="auto"/>
              <w:right w:val="single" w:sz="8" w:space="0" w:color="auto"/>
            </w:tcBorders>
            <w:shd w:val="clear" w:color="auto" w:fill="auto"/>
            <w:vAlign w:val="center"/>
            <w:hideMark/>
          </w:tcPr>
          <w:p w14:paraId="182CB74B" w14:textId="7CC079BD"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Administrēšanas izmaksas</w:t>
            </w:r>
            <w:r w:rsidR="00AE6B0B" w:rsidRPr="0005751D">
              <w:rPr>
                <w:rFonts w:eastAsia="Times New Roman"/>
                <w:color w:val="000000"/>
                <w:sz w:val="20"/>
                <w:szCs w:val="20"/>
                <w:lang w:eastAsia="lv-LV"/>
              </w:rPr>
              <w:t xml:space="preserve"> kopā</w:t>
            </w:r>
            <w:r w:rsidR="00A33ECD">
              <w:rPr>
                <w:rStyle w:val="FootnoteReference"/>
                <w:rFonts w:eastAsia="Times New Roman"/>
                <w:color w:val="000000"/>
                <w:sz w:val="20"/>
                <w:szCs w:val="20"/>
                <w:lang w:eastAsia="lv-LV"/>
              </w:rPr>
              <w:footnoteReference w:id="24"/>
            </w:r>
          </w:p>
        </w:tc>
        <w:tc>
          <w:tcPr>
            <w:tcW w:w="1344" w:type="dxa"/>
            <w:tcBorders>
              <w:top w:val="nil"/>
              <w:left w:val="nil"/>
              <w:bottom w:val="single" w:sz="8" w:space="0" w:color="auto"/>
              <w:right w:val="single" w:sz="8" w:space="0" w:color="auto"/>
            </w:tcBorders>
            <w:shd w:val="clear" w:color="auto" w:fill="auto"/>
            <w:noWrap/>
            <w:vAlign w:val="center"/>
            <w:hideMark/>
          </w:tcPr>
          <w:p w14:paraId="0680705F" w14:textId="500F387D" w:rsidR="007E5612" w:rsidRPr="0005751D" w:rsidRDefault="001306C8"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 xml:space="preserve">Aprēķins balstīts uz </w:t>
            </w:r>
            <w:r w:rsidR="00FE6854">
              <w:rPr>
                <w:rFonts w:eastAsia="Times New Roman"/>
                <w:color w:val="000000"/>
                <w:sz w:val="20"/>
                <w:szCs w:val="20"/>
                <w:lang w:eastAsia="lv-LV"/>
              </w:rPr>
              <w:t>indikatīvi</w:t>
            </w:r>
            <w:r w:rsidR="00FE6854" w:rsidRPr="0005751D">
              <w:rPr>
                <w:rFonts w:eastAsia="Times New Roman"/>
                <w:color w:val="000000"/>
                <w:sz w:val="20"/>
                <w:szCs w:val="20"/>
                <w:lang w:eastAsia="lv-LV"/>
              </w:rPr>
              <w:t xml:space="preserve"> </w:t>
            </w:r>
            <w:r w:rsidR="003E103D" w:rsidRPr="0005751D">
              <w:rPr>
                <w:rFonts w:eastAsia="Times New Roman"/>
                <w:color w:val="000000"/>
                <w:sz w:val="20"/>
                <w:szCs w:val="20"/>
                <w:lang w:eastAsia="lv-LV"/>
              </w:rPr>
              <w:t>nepieciešamo</w:t>
            </w:r>
            <w:r w:rsidRPr="0005751D">
              <w:rPr>
                <w:rFonts w:eastAsia="Times New Roman"/>
                <w:color w:val="000000"/>
                <w:sz w:val="20"/>
                <w:szCs w:val="20"/>
                <w:lang w:eastAsia="lv-LV"/>
              </w:rPr>
              <w:t xml:space="preserve"> slodžu skaitu</w:t>
            </w:r>
            <w:r w:rsidR="00FE6854">
              <w:rPr>
                <w:rStyle w:val="FootnoteReference"/>
                <w:rFonts w:eastAsia="Times New Roman"/>
                <w:color w:val="000000"/>
                <w:sz w:val="20"/>
                <w:szCs w:val="20"/>
                <w:lang w:eastAsia="lv-LV"/>
              </w:rPr>
              <w:footnoteReference w:id="25"/>
            </w:r>
          </w:p>
        </w:tc>
        <w:tc>
          <w:tcPr>
            <w:tcW w:w="1044" w:type="dxa"/>
            <w:tcBorders>
              <w:top w:val="nil"/>
              <w:left w:val="nil"/>
              <w:bottom w:val="single" w:sz="8" w:space="0" w:color="auto"/>
              <w:right w:val="single" w:sz="8" w:space="0" w:color="auto"/>
            </w:tcBorders>
            <w:shd w:val="clear" w:color="auto" w:fill="auto"/>
            <w:vAlign w:val="center"/>
            <w:hideMark/>
          </w:tcPr>
          <w:p w14:paraId="0863A1DD" w14:textId="6102EEE3" w:rsidR="007E5612" w:rsidRPr="0005751D" w:rsidRDefault="007E5612" w:rsidP="007E5612">
            <w:pPr>
              <w:spacing w:after="0" w:line="240" w:lineRule="auto"/>
              <w:jc w:val="center"/>
              <w:rPr>
                <w:rFonts w:eastAsia="Times New Roman"/>
                <w:color w:val="000000"/>
                <w:sz w:val="20"/>
                <w:szCs w:val="20"/>
                <w:lang w:eastAsia="lv-LV"/>
              </w:rPr>
            </w:pPr>
            <w:r w:rsidRPr="0005751D">
              <w:rPr>
                <w:rFonts w:eastAsia="Times New Roman"/>
                <w:color w:val="000000"/>
                <w:sz w:val="20"/>
                <w:szCs w:val="20"/>
                <w:lang w:eastAsia="lv-LV"/>
              </w:rPr>
              <w:t>Vidējās izmaksas uz 1 slodzi gadā</w:t>
            </w:r>
            <w:r w:rsidR="00F20CF2">
              <w:rPr>
                <w:rStyle w:val="FootnoteReference"/>
                <w:rFonts w:eastAsia="Times New Roman"/>
                <w:color w:val="000000"/>
                <w:sz w:val="20"/>
                <w:szCs w:val="20"/>
                <w:lang w:eastAsia="lv-LV"/>
              </w:rPr>
              <w:footnoteReference w:id="26"/>
            </w:r>
          </w:p>
        </w:tc>
      </w:tr>
      <w:tr w:rsidR="0005751D" w:rsidRPr="007E5612" w14:paraId="1A4D739C"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CCE4ACA"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EM</w:t>
            </w:r>
          </w:p>
        </w:tc>
        <w:tc>
          <w:tcPr>
            <w:tcW w:w="1559" w:type="dxa"/>
            <w:tcBorders>
              <w:top w:val="nil"/>
              <w:left w:val="nil"/>
              <w:bottom w:val="single" w:sz="8" w:space="0" w:color="auto"/>
              <w:right w:val="single" w:sz="8" w:space="0" w:color="auto"/>
            </w:tcBorders>
            <w:shd w:val="clear" w:color="auto" w:fill="auto"/>
            <w:noWrap/>
            <w:vAlign w:val="center"/>
            <w:hideMark/>
          </w:tcPr>
          <w:p w14:paraId="6117D8C2" w14:textId="5CD91CC9" w:rsidR="007E5612" w:rsidRPr="001A6DB3" w:rsidRDefault="00D60548"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577 667 000</w:t>
            </w:r>
          </w:p>
        </w:tc>
        <w:tc>
          <w:tcPr>
            <w:tcW w:w="1134" w:type="dxa"/>
            <w:tcBorders>
              <w:top w:val="nil"/>
              <w:left w:val="nil"/>
              <w:bottom w:val="single" w:sz="8" w:space="0" w:color="auto"/>
              <w:right w:val="single" w:sz="8" w:space="0" w:color="auto"/>
            </w:tcBorders>
            <w:shd w:val="clear" w:color="auto" w:fill="auto"/>
            <w:noWrap/>
            <w:vAlign w:val="center"/>
            <w:hideMark/>
          </w:tcPr>
          <w:p w14:paraId="6AE37F36" w14:textId="67198AA6"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r w:rsidR="007A486B" w:rsidRPr="00E96831">
              <w:rPr>
                <w:rFonts w:eastAsia="Times New Roman"/>
                <w:color w:val="000000"/>
                <w:sz w:val="20"/>
                <w:szCs w:val="20"/>
                <w:lang w:eastAsia="lv-LV"/>
              </w:rPr>
              <w:t>2</w:t>
            </w:r>
          </w:p>
        </w:tc>
        <w:tc>
          <w:tcPr>
            <w:tcW w:w="1276" w:type="dxa"/>
            <w:tcBorders>
              <w:top w:val="nil"/>
              <w:left w:val="nil"/>
              <w:bottom w:val="single" w:sz="8" w:space="0" w:color="auto"/>
              <w:right w:val="single" w:sz="8" w:space="0" w:color="auto"/>
            </w:tcBorders>
            <w:shd w:val="clear" w:color="auto" w:fill="auto"/>
            <w:noWrap/>
            <w:vAlign w:val="center"/>
            <w:hideMark/>
          </w:tcPr>
          <w:p w14:paraId="34943AAC" w14:textId="6CFE764B" w:rsidR="007E5612" w:rsidRPr="001A6DB3" w:rsidRDefault="00D60548"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38</w:t>
            </w:r>
          </w:p>
        </w:tc>
        <w:tc>
          <w:tcPr>
            <w:tcW w:w="1633" w:type="dxa"/>
            <w:tcBorders>
              <w:top w:val="nil"/>
              <w:left w:val="nil"/>
              <w:bottom w:val="single" w:sz="8" w:space="0" w:color="auto"/>
              <w:right w:val="single" w:sz="8" w:space="0" w:color="auto"/>
            </w:tcBorders>
            <w:shd w:val="clear" w:color="auto" w:fill="auto"/>
            <w:noWrap/>
            <w:vAlign w:val="center"/>
          </w:tcPr>
          <w:p w14:paraId="359B9C4C" w14:textId="43C498FB" w:rsidR="007E5612" w:rsidRPr="001A6DB3" w:rsidRDefault="001D329F"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1</w:t>
            </w:r>
            <w:r w:rsidR="00752CEA" w:rsidRPr="001A6DB3">
              <w:rPr>
                <w:rFonts w:eastAsia="Times New Roman"/>
                <w:color w:val="000000"/>
                <w:sz w:val="20"/>
                <w:szCs w:val="20"/>
                <w:lang w:eastAsia="lv-LV"/>
              </w:rPr>
              <w:t> </w:t>
            </w:r>
            <w:r w:rsidRPr="001A6DB3">
              <w:rPr>
                <w:rFonts w:eastAsia="Times New Roman"/>
                <w:color w:val="000000"/>
                <w:sz w:val="20"/>
                <w:szCs w:val="20"/>
                <w:lang w:eastAsia="lv-LV"/>
              </w:rPr>
              <w:t>836</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2DC7D1D9" w14:textId="0EB46836" w:rsidR="007E5612" w:rsidRPr="00E96831" w:rsidRDefault="001D329F"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9</w:t>
            </w:r>
          </w:p>
        </w:tc>
        <w:tc>
          <w:tcPr>
            <w:tcW w:w="1044" w:type="dxa"/>
            <w:tcBorders>
              <w:top w:val="nil"/>
              <w:left w:val="nil"/>
              <w:bottom w:val="single" w:sz="8" w:space="0" w:color="auto"/>
              <w:right w:val="single" w:sz="8" w:space="0" w:color="auto"/>
            </w:tcBorders>
            <w:shd w:val="clear" w:color="auto" w:fill="auto"/>
            <w:noWrap/>
            <w:vAlign w:val="center"/>
            <w:hideMark/>
          </w:tcPr>
          <w:p w14:paraId="65CA3B2F" w14:textId="44F2E89E"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01F48671"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858F2FA"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VARAM</w:t>
            </w:r>
          </w:p>
        </w:tc>
        <w:tc>
          <w:tcPr>
            <w:tcW w:w="1559" w:type="dxa"/>
            <w:tcBorders>
              <w:top w:val="nil"/>
              <w:left w:val="nil"/>
              <w:bottom w:val="single" w:sz="8" w:space="0" w:color="auto"/>
              <w:right w:val="single" w:sz="8" w:space="0" w:color="auto"/>
            </w:tcBorders>
            <w:shd w:val="clear" w:color="auto" w:fill="auto"/>
            <w:noWrap/>
            <w:vAlign w:val="center"/>
            <w:hideMark/>
          </w:tcPr>
          <w:p w14:paraId="776E2959" w14:textId="762BB9B2" w:rsidR="007E5612" w:rsidRPr="001A6DB3" w:rsidRDefault="007E5612"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351</w:t>
            </w:r>
            <w:r w:rsidR="00D54584" w:rsidRPr="001A6DB3">
              <w:rPr>
                <w:rFonts w:eastAsia="Times New Roman"/>
                <w:color w:val="000000"/>
                <w:sz w:val="20"/>
                <w:szCs w:val="20"/>
                <w:lang w:eastAsia="lv-LV"/>
              </w:rPr>
              <w:t> </w:t>
            </w:r>
            <w:r w:rsidRPr="001A6DB3">
              <w:rPr>
                <w:rFonts w:eastAsia="Times New Roman"/>
                <w:color w:val="000000"/>
                <w:sz w:val="20"/>
                <w:szCs w:val="20"/>
                <w:lang w:eastAsia="lv-LV"/>
              </w:rPr>
              <w:t>216</w:t>
            </w:r>
            <w:r w:rsidR="00D54584"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583534F1"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10</w:t>
            </w:r>
          </w:p>
        </w:tc>
        <w:tc>
          <w:tcPr>
            <w:tcW w:w="1276" w:type="dxa"/>
            <w:tcBorders>
              <w:top w:val="nil"/>
              <w:left w:val="nil"/>
              <w:bottom w:val="single" w:sz="8" w:space="0" w:color="auto"/>
              <w:right w:val="single" w:sz="8" w:space="0" w:color="auto"/>
            </w:tcBorders>
            <w:shd w:val="clear" w:color="auto" w:fill="auto"/>
            <w:noWrap/>
            <w:vAlign w:val="center"/>
            <w:hideMark/>
          </w:tcPr>
          <w:p w14:paraId="0C3CD3E7" w14:textId="76043BD8" w:rsidR="007E5612" w:rsidRPr="001A6DB3" w:rsidRDefault="00D60548"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36</w:t>
            </w:r>
          </w:p>
        </w:tc>
        <w:tc>
          <w:tcPr>
            <w:tcW w:w="1633" w:type="dxa"/>
            <w:tcBorders>
              <w:top w:val="nil"/>
              <w:left w:val="nil"/>
              <w:bottom w:val="single" w:sz="8" w:space="0" w:color="auto"/>
              <w:right w:val="single" w:sz="8" w:space="0" w:color="auto"/>
            </w:tcBorders>
            <w:shd w:val="clear" w:color="auto" w:fill="auto"/>
            <w:noWrap/>
            <w:vAlign w:val="center"/>
          </w:tcPr>
          <w:p w14:paraId="1499E9EF" w14:textId="10849EC6" w:rsidR="007E5612" w:rsidRPr="001A6DB3" w:rsidRDefault="00061A1C"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w:t>
            </w:r>
            <w:r w:rsidR="002C0B21" w:rsidRPr="001A6DB3">
              <w:rPr>
                <w:rFonts w:eastAsia="Times New Roman"/>
                <w:color w:val="000000"/>
                <w:sz w:val="20"/>
                <w:szCs w:val="20"/>
                <w:lang w:eastAsia="lv-LV"/>
              </w:rPr>
              <w:t> </w:t>
            </w:r>
            <w:r w:rsidRPr="001A6DB3">
              <w:rPr>
                <w:rFonts w:eastAsia="Times New Roman"/>
                <w:color w:val="000000"/>
                <w:sz w:val="20"/>
                <w:szCs w:val="20"/>
                <w:lang w:eastAsia="lv-LV"/>
              </w:rPr>
              <w:t>244</w:t>
            </w:r>
            <w:r w:rsidR="002C0B21"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6FB04552" w14:textId="3FDECBFE" w:rsidR="007E5612" w:rsidRPr="00E96831" w:rsidRDefault="001D329F"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r w:rsidR="003D5D8F" w:rsidRPr="00E96831">
              <w:rPr>
                <w:rFonts w:eastAsia="Times New Roman"/>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hideMark/>
          </w:tcPr>
          <w:p w14:paraId="58605047" w14:textId="35D2D169"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0B7696FF"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CD65DF1"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SM</w:t>
            </w:r>
          </w:p>
        </w:tc>
        <w:tc>
          <w:tcPr>
            <w:tcW w:w="1559" w:type="dxa"/>
            <w:tcBorders>
              <w:top w:val="nil"/>
              <w:left w:val="nil"/>
              <w:bottom w:val="single" w:sz="8" w:space="0" w:color="auto"/>
              <w:right w:val="single" w:sz="8" w:space="0" w:color="auto"/>
            </w:tcBorders>
            <w:shd w:val="clear" w:color="auto" w:fill="auto"/>
            <w:noWrap/>
            <w:vAlign w:val="center"/>
            <w:hideMark/>
          </w:tcPr>
          <w:p w14:paraId="66DEA591" w14:textId="6F377F5D"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311</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98</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2000</w:t>
            </w:r>
          </w:p>
        </w:tc>
        <w:tc>
          <w:tcPr>
            <w:tcW w:w="1134" w:type="dxa"/>
            <w:tcBorders>
              <w:top w:val="nil"/>
              <w:left w:val="nil"/>
              <w:bottom w:val="single" w:sz="8" w:space="0" w:color="auto"/>
              <w:right w:val="single" w:sz="8" w:space="0" w:color="auto"/>
            </w:tcBorders>
            <w:shd w:val="clear" w:color="auto" w:fill="auto"/>
            <w:noWrap/>
            <w:vAlign w:val="center"/>
            <w:hideMark/>
          </w:tcPr>
          <w:p w14:paraId="0682934E"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5</w:t>
            </w:r>
          </w:p>
        </w:tc>
        <w:tc>
          <w:tcPr>
            <w:tcW w:w="1276" w:type="dxa"/>
            <w:tcBorders>
              <w:top w:val="nil"/>
              <w:left w:val="nil"/>
              <w:bottom w:val="single" w:sz="8" w:space="0" w:color="auto"/>
              <w:right w:val="single" w:sz="8" w:space="0" w:color="auto"/>
            </w:tcBorders>
            <w:shd w:val="clear" w:color="auto" w:fill="auto"/>
            <w:noWrap/>
            <w:vAlign w:val="center"/>
            <w:hideMark/>
          </w:tcPr>
          <w:p w14:paraId="5A59D2D4" w14:textId="71989894" w:rsidR="007E5612" w:rsidRPr="001A6DB3" w:rsidRDefault="00D60548"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9</w:t>
            </w:r>
          </w:p>
        </w:tc>
        <w:tc>
          <w:tcPr>
            <w:tcW w:w="1633" w:type="dxa"/>
            <w:tcBorders>
              <w:top w:val="nil"/>
              <w:left w:val="nil"/>
              <w:bottom w:val="single" w:sz="8" w:space="0" w:color="auto"/>
              <w:right w:val="single" w:sz="8" w:space="0" w:color="auto"/>
            </w:tcBorders>
            <w:shd w:val="clear" w:color="auto" w:fill="auto"/>
            <w:noWrap/>
            <w:vAlign w:val="center"/>
          </w:tcPr>
          <w:p w14:paraId="42F9F166" w14:textId="1BF17B85" w:rsidR="007E5612" w:rsidRPr="001A6DB3" w:rsidRDefault="001D329F"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1</w:t>
            </w:r>
            <w:r w:rsidR="00752CEA" w:rsidRPr="001A6DB3">
              <w:rPr>
                <w:rFonts w:eastAsia="Times New Roman"/>
                <w:color w:val="000000"/>
                <w:sz w:val="20"/>
                <w:szCs w:val="20"/>
                <w:lang w:eastAsia="lv-LV"/>
              </w:rPr>
              <w:t> </w:t>
            </w:r>
            <w:r w:rsidRPr="001A6DB3">
              <w:rPr>
                <w:rFonts w:eastAsia="Times New Roman"/>
                <w:color w:val="000000"/>
                <w:sz w:val="20"/>
                <w:szCs w:val="20"/>
                <w:lang w:eastAsia="lv-LV"/>
              </w:rPr>
              <w:t>428</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09AE9C7E" w14:textId="7BB263FB" w:rsidR="007E5612" w:rsidRPr="00E96831" w:rsidRDefault="001D329F"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7</w:t>
            </w:r>
          </w:p>
        </w:tc>
        <w:tc>
          <w:tcPr>
            <w:tcW w:w="1044" w:type="dxa"/>
            <w:tcBorders>
              <w:top w:val="nil"/>
              <w:left w:val="nil"/>
              <w:bottom w:val="single" w:sz="8" w:space="0" w:color="auto"/>
              <w:right w:val="single" w:sz="8" w:space="0" w:color="auto"/>
            </w:tcBorders>
            <w:shd w:val="clear" w:color="auto" w:fill="auto"/>
            <w:noWrap/>
            <w:vAlign w:val="center"/>
            <w:hideMark/>
          </w:tcPr>
          <w:p w14:paraId="0AB6375D" w14:textId="73B88514"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14C8F06D"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F8B6E8E"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VM</w:t>
            </w:r>
          </w:p>
        </w:tc>
        <w:tc>
          <w:tcPr>
            <w:tcW w:w="1559" w:type="dxa"/>
            <w:tcBorders>
              <w:top w:val="nil"/>
              <w:left w:val="nil"/>
              <w:bottom w:val="single" w:sz="8" w:space="0" w:color="auto"/>
              <w:right w:val="single" w:sz="8" w:space="0" w:color="auto"/>
            </w:tcBorders>
            <w:shd w:val="clear" w:color="auto" w:fill="auto"/>
            <w:noWrap/>
            <w:vAlign w:val="center"/>
            <w:hideMark/>
          </w:tcPr>
          <w:p w14:paraId="031D2717" w14:textId="7E07FA08"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181</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500</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1071473E"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8</w:t>
            </w:r>
          </w:p>
        </w:tc>
        <w:tc>
          <w:tcPr>
            <w:tcW w:w="1276" w:type="dxa"/>
            <w:tcBorders>
              <w:top w:val="nil"/>
              <w:left w:val="nil"/>
              <w:bottom w:val="single" w:sz="8" w:space="0" w:color="auto"/>
              <w:right w:val="single" w:sz="8" w:space="0" w:color="auto"/>
            </w:tcBorders>
            <w:shd w:val="clear" w:color="auto" w:fill="auto"/>
            <w:noWrap/>
            <w:vAlign w:val="center"/>
            <w:hideMark/>
          </w:tcPr>
          <w:p w14:paraId="64C6DD9B" w14:textId="3BDDBD36" w:rsidR="007E5612" w:rsidRPr="001A6DB3" w:rsidRDefault="007E5612"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w:t>
            </w:r>
            <w:r w:rsidR="00E96831" w:rsidRPr="001A6DB3">
              <w:rPr>
                <w:rFonts w:eastAsia="Times New Roman"/>
                <w:color w:val="000000"/>
                <w:sz w:val="20"/>
                <w:szCs w:val="20"/>
                <w:lang w:eastAsia="lv-LV"/>
              </w:rPr>
              <w:t>3</w:t>
            </w:r>
          </w:p>
        </w:tc>
        <w:tc>
          <w:tcPr>
            <w:tcW w:w="1633" w:type="dxa"/>
            <w:tcBorders>
              <w:top w:val="nil"/>
              <w:left w:val="nil"/>
              <w:bottom w:val="single" w:sz="8" w:space="0" w:color="auto"/>
              <w:right w:val="single" w:sz="8" w:space="0" w:color="auto"/>
            </w:tcBorders>
            <w:shd w:val="clear" w:color="auto" w:fill="auto"/>
            <w:noWrap/>
            <w:vAlign w:val="center"/>
          </w:tcPr>
          <w:p w14:paraId="3C306A1C" w14:textId="3A67B8AC" w:rsidR="007E5612" w:rsidRPr="001A6DB3" w:rsidRDefault="001D329F"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1</w:t>
            </w:r>
            <w:r w:rsidR="00752CEA" w:rsidRPr="001A6DB3">
              <w:rPr>
                <w:rFonts w:eastAsia="Times New Roman"/>
                <w:color w:val="000000"/>
                <w:sz w:val="20"/>
                <w:szCs w:val="20"/>
                <w:lang w:eastAsia="lv-LV"/>
              </w:rPr>
              <w:t> </w:t>
            </w:r>
            <w:r w:rsidRPr="001A6DB3">
              <w:rPr>
                <w:rFonts w:eastAsia="Times New Roman"/>
                <w:color w:val="000000"/>
                <w:sz w:val="20"/>
                <w:szCs w:val="20"/>
                <w:lang w:eastAsia="lv-LV"/>
              </w:rPr>
              <w:t>224</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2863961B" w14:textId="72CF2625" w:rsidR="007E5612" w:rsidRPr="00E96831" w:rsidRDefault="001D329F"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6</w:t>
            </w:r>
          </w:p>
        </w:tc>
        <w:tc>
          <w:tcPr>
            <w:tcW w:w="1044" w:type="dxa"/>
            <w:tcBorders>
              <w:top w:val="nil"/>
              <w:left w:val="nil"/>
              <w:bottom w:val="single" w:sz="8" w:space="0" w:color="auto"/>
              <w:right w:val="single" w:sz="8" w:space="0" w:color="auto"/>
            </w:tcBorders>
            <w:shd w:val="clear" w:color="auto" w:fill="auto"/>
            <w:noWrap/>
            <w:vAlign w:val="center"/>
            <w:hideMark/>
          </w:tcPr>
          <w:p w14:paraId="0F824CCC" w14:textId="08D64B9A"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3CC0E9E0"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BBC2F8E"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IZM</w:t>
            </w:r>
          </w:p>
        </w:tc>
        <w:tc>
          <w:tcPr>
            <w:tcW w:w="1559" w:type="dxa"/>
            <w:tcBorders>
              <w:top w:val="nil"/>
              <w:left w:val="nil"/>
              <w:bottom w:val="single" w:sz="8" w:space="0" w:color="auto"/>
              <w:right w:val="single" w:sz="8" w:space="0" w:color="auto"/>
            </w:tcBorders>
            <w:shd w:val="clear" w:color="auto" w:fill="auto"/>
            <w:noWrap/>
            <w:vAlign w:val="center"/>
            <w:hideMark/>
          </w:tcPr>
          <w:p w14:paraId="7D794FFF" w14:textId="0A32CF70"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179</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728</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31FEDBC1"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7</w:t>
            </w:r>
          </w:p>
        </w:tc>
        <w:tc>
          <w:tcPr>
            <w:tcW w:w="1276" w:type="dxa"/>
            <w:tcBorders>
              <w:top w:val="nil"/>
              <w:left w:val="nil"/>
              <w:bottom w:val="single" w:sz="8" w:space="0" w:color="auto"/>
              <w:right w:val="single" w:sz="8" w:space="0" w:color="auto"/>
            </w:tcBorders>
            <w:shd w:val="clear" w:color="auto" w:fill="auto"/>
            <w:noWrap/>
            <w:vAlign w:val="center"/>
            <w:hideMark/>
          </w:tcPr>
          <w:p w14:paraId="1941472B" w14:textId="77777777" w:rsidR="007E5612" w:rsidRPr="001A6DB3" w:rsidRDefault="007E5612"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30</w:t>
            </w:r>
          </w:p>
        </w:tc>
        <w:tc>
          <w:tcPr>
            <w:tcW w:w="1633" w:type="dxa"/>
            <w:tcBorders>
              <w:top w:val="nil"/>
              <w:left w:val="nil"/>
              <w:bottom w:val="single" w:sz="8" w:space="0" w:color="auto"/>
              <w:right w:val="single" w:sz="8" w:space="0" w:color="auto"/>
            </w:tcBorders>
            <w:shd w:val="clear" w:color="auto" w:fill="auto"/>
            <w:noWrap/>
            <w:vAlign w:val="center"/>
          </w:tcPr>
          <w:p w14:paraId="7853FE1B" w14:textId="0952CE0A" w:rsidR="007E5612" w:rsidRPr="001A6DB3" w:rsidRDefault="007A486B"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w:t>
            </w:r>
            <w:r w:rsidR="00752CEA" w:rsidRPr="001A6DB3">
              <w:rPr>
                <w:rFonts w:eastAsia="Times New Roman"/>
                <w:color w:val="000000"/>
                <w:sz w:val="20"/>
                <w:szCs w:val="20"/>
                <w:lang w:eastAsia="lv-LV"/>
              </w:rPr>
              <w:t> </w:t>
            </w:r>
            <w:r w:rsidRPr="001A6DB3">
              <w:rPr>
                <w:rFonts w:eastAsia="Times New Roman"/>
                <w:color w:val="000000"/>
                <w:sz w:val="20"/>
                <w:szCs w:val="20"/>
                <w:lang w:eastAsia="lv-LV"/>
              </w:rPr>
              <w:t>040</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49484892" w14:textId="5DBF260B"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10</w:t>
            </w:r>
          </w:p>
        </w:tc>
        <w:tc>
          <w:tcPr>
            <w:tcW w:w="1044" w:type="dxa"/>
            <w:tcBorders>
              <w:top w:val="nil"/>
              <w:left w:val="nil"/>
              <w:bottom w:val="single" w:sz="8" w:space="0" w:color="auto"/>
              <w:right w:val="single" w:sz="8" w:space="0" w:color="auto"/>
            </w:tcBorders>
            <w:shd w:val="clear" w:color="auto" w:fill="auto"/>
            <w:noWrap/>
            <w:vAlign w:val="center"/>
            <w:hideMark/>
          </w:tcPr>
          <w:p w14:paraId="7514DF21" w14:textId="201F05D3"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4083C4C5"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FD91E00"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LM</w:t>
            </w:r>
          </w:p>
        </w:tc>
        <w:tc>
          <w:tcPr>
            <w:tcW w:w="1559" w:type="dxa"/>
            <w:tcBorders>
              <w:top w:val="nil"/>
              <w:left w:val="nil"/>
              <w:bottom w:val="single" w:sz="8" w:space="0" w:color="auto"/>
              <w:right w:val="single" w:sz="8" w:space="0" w:color="auto"/>
            </w:tcBorders>
            <w:shd w:val="clear" w:color="auto" w:fill="auto"/>
            <w:noWrap/>
            <w:vAlign w:val="center"/>
            <w:hideMark/>
          </w:tcPr>
          <w:p w14:paraId="5760C7DB" w14:textId="4D91F14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111</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610</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36DFFEF1"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5</w:t>
            </w:r>
          </w:p>
        </w:tc>
        <w:tc>
          <w:tcPr>
            <w:tcW w:w="1276" w:type="dxa"/>
            <w:tcBorders>
              <w:top w:val="nil"/>
              <w:left w:val="nil"/>
              <w:bottom w:val="single" w:sz="8" w:space="0" w:color="auto"/>
              <w:right w:val="single" w:sz="8" w:space="0" w:color="auto"/>
            </w:tcBorders>
            <w:shd w:val="clear" w:color="auto" w:fill="auto"/>
            <w:noWrap/>
            <w:vAlign w:val="center"/>
            <w:hideMark/>
          </w:tcPr>
          <w:p w14:paraId="4A4429FC" w14:textId="77777777" w:rsidR="007E5612" w:rsidRPr="001A6DB3" w:rsidRDefault="007E5612"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21</w:t>
            </w:r>
          </w:p>
        </w:tc>
        <w:tc>
          <w:tcPr>
            <w:tcW w:w="1633" w:type="dxa"/>
            <w:tcBorders>
              <w:top w:val="nil"/>
              <w:left w:val="nil"/>
              <w:bottom w:val="single" w:sz="8" w:space="0" w:color="auto"/>
              <w:right w:val="single" w:sz="8" w:space="0" w:color="auto"/>
            </w:tcBorders>
            <w:shd w:val="clear" w:color="auto" w:fill="auto"/>
            <w:noWrap/>
            <w:vAlign w:val="center"/>
          </w:tcPr>
          <w:p w14:paraId="340B787F" w14:textId="04555FDC" w:rsidR="007E5612" w:rsidRPr="001A6DB3" w:rsidRDefault="007A486B"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1</w:t>
            </w:r>
            <w:r w:rsidR="00752CEA" w:rsidRPr="001A6DB3">
              <w:rPr>
                <w:rFonts w:eastAsia="Times New Roman"/>
                <w:color w:val="000000"/>
                <w:sz w:val="20"/>
                <w:szCs w:val="20"/>
                <w:lang w:eastAsia="lv-LV"/>
              </w:rPr>
              <w:t> </w:t>
            </w:r>
            <w:r w:rsidRPr="001A6DB3">
              <w:rPr>
                <w:rFonts w:eastAsia="Times New Roman"/>
                <w:color w:val="000000"/>
                <w:sz w:val="20"/>
                <w:szCs w:val="20"/>
                <w:lang w:eastAsia="lv-LV"/>
              </w:rPr>
              <w:t>836</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371A72B5" w14:textId="5675C787"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9</w:t>
            </w:r>
          </w:p>
        </w:tc>
        <w:tc>
          <w:tcPr>
            <w:tcW w:w="1044" w:type="dxa"/>
            <w:tcBorders>
              <w:top w:val="nil"/>
              <w:left w:val="nil"/>
              <w:bottom w:val="single" w:sz="8" w:space="0" w:color="auto"/>
              <w:right w:val="single" w:sz="8" w:space="0" w:color="auto"/>
            </w:tcBorders>
            <w:shd w:val="clear" w:color="auto" w:fill="auto"/>
            <w:noWrap/>
            <w:vAlign w:val="center"/>
            <w:hideMark/>
          </w:tcPr>
          <w:p w14:paraId="0CAF6A0A" w14:textId="612F2FF0"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66E3BE26"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A2089D1" w14:textId="30C8592B"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I</w:t>
            </w:r>
            <w:r w:rsidR="007A486B" w:rsidRPr="00E96831">
              <w:rPr>
                <w:rFonts w:eastAsia="Times New Roman"/>
                <w:b/>
                <w:bCs/>
                <w:color w:val="000000"/>
                <w:sz w:val="20"/>
                <w:szCs w:val="20"/>
                <w:lang w:eastAsia="lv-LV"/>
              </w:rPr>
              <w:t>e</w:t>
            </w:r>
            <w:r w:rsidRPr="00E96831">
              <w:rPr>
                <w:rFonts w:eastAsia="Times New Roman"/>
                <w:b/>
                <w:bCs/>
                <w:color w:val="000000"/>
                <w:sz w:val="20"/>
                <w:szCs w:val="20"/>
                <w:lang w:eastAsia="lv-LV"/>
              </w:rPr>
              <w:t>M</w:t>
            </w:r>
          </w:p>
        </w:tc>
        <w:tc>
          <w:tcPr>
            <w:tcW w:w="1559" w:type="dxa"/>
            <w:tcBorders>
              <w:top w:val="nil"/>
              <w:left w:val="nil"/>
              <w:bottom w:val="single" w:sz="8" w:space="0" w:color="auto"/>
              <w:right w:val="single" w:sz="8" w:space="0" w:color="auto"/>
            </w:tcBorders>
            <w:shd w:val="clear" w:color="auto" w:fill="auto"/>
            <w:noWrap/>
            <w:vAlign w:val="center"/>
            <w:hideMark/>
          </w:tcPr>
          <w:p w14:paraId="6D53DF01" w14:textId="67C9B779"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39</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154</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010</w:t>
            </w:r>
          </w:p>
        </w:tc>
        <w:tc>
          <w:tcPr>
            <w:tcW w:w="1134" w:type="dxa"/>
            <w:tcBorders>
              <w:top w:val="nil"/>
              <w:left w:val="nil"/>
              <w:bottom w:val="single" w:sz="8" w:space="0" w:color="auto"/>
              <w:right w:val="single" w:sz="8" w:space="0" w:color="auto"/>
            </w:tcBorders>
            <w:shd w:val="clear" w:color="auto" w:fill="auto"/>
            <w:noWrap/>
            <w:vAlign w:val="center"/>
            <w:hideMark/>
          </w:tcPr>
          <w:p w14:paraId="459F1F86"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w:t>
            </w:r>
          </w:p>
        </w:tc>
        <w:tc>
          <w:tcPr>
            <w:tcW w:w="1276" w:type="dxa"/>
            <w:tcBorders>
              <w:top w:val="nil"/>
              <w:left w:val="nil"/>
              <w:bottom w:val="single" w:sz="8" w:space="0" w:color="auto"/>
              <w:right w:val="single" w:sz="8" w:space="0" w:color="auto"/>
            </w:tcBorders>
            <w:shd w:val="clear" w:color="auto" w:fill="auto"/>
            <w:noWrap/>
            <w:vAlign w:val="center"/>
            <w:hideMark/>
          </w:tcPr>
          <w:p w14:paraId="048942C2" w14:textId="77777777" w:rsidR="007E5612" w:rsidRPr="001A6DB3" w:rsidRDefault="007E5612"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9</w:t>
            </w:r>
          </w:p>
        </w:tc>
        <w:tc>
          <w:tcPr>
            <w:tcW w:w="1633" w:type="dxa"/>
            <w:tcBorders>
              <w:top w:val="nil"/>
              <w:left w:val="nil"/>
              <w:bottom w:val="single" w:sz="8" w:space="0" w:color="auto"/>
              <w:right w:val="single" w:sz="8" w:space="0" w:color="auto"/>
            </w:tcBorders>
            <w:shd w:val="clear" w:color="auto" w:fill="auto"/>
            <w:noWrap/>
            <w:vAlign w:val="center"/>
          </w:tcPr>
          <w:p w14:paraId="20D2AF3F" w14:textId="5A4B3BE2" w:rsidR="007E5612" w:rsidRPr="001A6DB3" w:rsidRDefault="007A486B"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204</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4D99C227" w14:textId="111195AC"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hideMark/>
          </w:tcPr>
          <w:p w14:paraId="1EBA29D6" w14:textId="6A4F048B"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00D9B7BE"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A02959D"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ZM</w:t>
            </w:r>
          </w:p>
        </w:tc>
        <w:tc>
          <w:tcPr>
            <w:tcW w:w="1559" w:type="dxa"/>
            <w:tcBorders>
              <w:top w:val="nil"/>
              <w:left w:val="nil"/>
              <w:bottom w:val="single" w:sz="8" w:space="0" w:color="auto"/>
              <w:right w:val="single" w:sz="8" w:space="0" w:color="auto"/>
            </w:tcBorders>
            <w:shd w:val="clear" w:color="auto" w:fill="auto"/>
            <w:noWrap/>
            <w:vAlign w:val="center"/>
            <w:hideMark/>
          </w:tcPr>
          <w:p w14:paraId="603291C2" w14:textId="0637C79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32</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967</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0F0EA4A2"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276" w:type="dxa"/>
            <w:tcBorders>
              <w:top w:val="nil"/>
              <w:left w:val="nil"/>
              <w:bottom w:val="single" w:sz="8" w:space="0" w:color="auto"/>
              <w:right w:val="single" w:sz="8" w:space="0" w:color="auto"/>
            </w:tcBorders>
            <w:shd w:val="clear" w:color="auto" w:fill="auto"/>
            <w:noWrap/>
            <w:vAlign w:val="center"/>
            <w:hideMark/>
          </w:tcPr>
          <w:p w14:paraId="3FCE9692" w14:textId="09FD3B46" w:rsidR="007E5612" w:rsidRPr="001A6DB3" w:rsidRDefault="0041554F"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w:t>
            </w:r>
          </w:p>
        </w:tc>
        <w:tc>
          <w:tcPr>
            <w:tcW w:w="1633" w:type="dxa"/>
            <w:tcBorders>
              <w:top w:val="nil"/>
              <w:left w:val="nil"/>
              <w:bottom w:val="single" w:sz="8" w:space="0" w:color="auto"/>
              <w:right w:val="single" w:sz="8" w:space="0" w:color="auto"/>
            </w:tcBorders>
            <w:shd w:val="clear" w:color="auto" w:fill="auto"/>
            <w:noWrap/>
            <w:vAlign w:val="center"/>
          </w:tcPr>
          <w:p w14:paraId="73732FF5" w14:textId="13453973" w:rsidR="007E5612" w:rsidRPr="001A6DB3" w:rsidRDefault="007A486B"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204</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2503D0CD" w14:textId="3EC80D12"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hideMark/>
          </w:tcPr>
          <w:p w14:paraId="1E6E199F" w14:textId="746E3A16"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6DBE1986"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B6A925F" w14:textId="0ED8236D"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FM</w:t>
            </w:r>
            <w:r w:rsidR="00166A0A" w:rsidRPr="00E96831" w:rsidDel="00166A0A">
              <w:rPr>
                <w:rFonts w:eastAsia="Times New Roman"/>
                <w:b/>
                <w:bCs/>
                <w:color w:val="000000"/>
                <w:sz w:val="20"/>
                <w:szCs w:val="20"/>
                <w:lang w:eastAsia="lv-LV"/>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14:paraId="027E0FA6" w14:textId="3C17E8D4"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21</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285</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hideMark/>
          </w:tcPr>
          <w:p w14:paraId="392AF6AC"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7</w:t>
            </w:r>
          </w:p>
        </w:tc>
        <w:tc>
          <w:tcPr>
            <w:tcW w:w="1276" w:type="dxa"/>
            <w:tcBorders>
              <w:top w:val="nil"/>
              <w:left w:val="nil"/>
              <w:bottom w:val="single" w:sz="8" w:space="0" w:color="auto"/>
              <w:right w:val="single" w:sz="8" w:space="0" w:color="auto"/>
            </w:tcBorders>
            <w:shd w:val="clear" w:color="auto" w:fill="auto"/>
            <w:noWrap/>
            <w:vAlign w:val="center"/>
            <w:hideMark/>
          </w:tcPr>
          <w:p w14:paraId="4045F423" w14:textId="58B9BBF5" w:rsidR="007E5612" w:rsidRPr="001A6DB3" w:rsidRDefault="00E96831"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20</w:t>
            </w:r>
          </w:p>
        </w:tc>
        <w:tc>
          <w:tcPr>
            <w:tcW w:w="1633" w:type="dxa"/>
            <w:tcBorders>
              <w:top w:val="nil"/>
              <w:left w:val="nil"/>
              <w:bottom w:val="single" w:sz="8" w:space="0" w:color="auto"/>
              <w:right w:val="single" w:sz="8" w:space="0" w:color="auto"/>
            </w:tcBorders>
            <w:shd w:val="clear" w:color="auto" w:fill="auto"/>
            <w:noWrap/>
            <w:vAlign w:val="center"/>
          </w:tcPr>
          <w:p w14:paraId="56B3B06A" w14:textId="61B9BD47" w:rsidR="007E5612" w:rsidRPr="001A6DB3" w:rsidRDefault="007A486B"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204</w:t>
            </w:r>
            <w:r w:rsidR="00752CEA" w:rsidRPr="001A6DB3">
              <w:rPr>
                <w:rFonts w:eastAsia="Times New Roman"/>
                <w:color w:val="000000"/>
                <w:sz w:val="20"/>
                <w:szCs w:val="20"/>
                <w:lang w:eastAsia="lv-LV"/>
              </w:rPr>
              <w:t xml:space="preserve"> </w:t>
            </w:r>
            <w:r w:rsidRPr="001A6DB3">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4683BA35" w14:textId="1BAA374B"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hideMark/>
          </w:tcPr>
          <w:p w14:paraId="468B6C14" w14:textId="43B745EB"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05751D" w:rsidRPr="007E5612" w14:paraId="08486881"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0E616DA" w14:textId="77777777" w:rsidR="007E5612" w:rsidRPr="00E96831" w:rsidRDefault="007E5612" w:rsidP="007E5612">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TM</w:t>
            </w:r>
          </w:p>
        </w:tc>
        <w:tc>
          <w:tcPr>
            <w:tcW w:w="1559" w:type="dxa"/>
            <w:tcBorders>
              <w:top w:val="nil"/>
              <w:left w:val="nil"/>
              <w:bottom w:val="single" w:sz="8" w:space="0" w:color="auto"/>
              <w:right w:val="single" w:sz="8" w:space="0" w:color="auto"/>
            </w:tcBorders>
            <w:shd w:val="clear" w:color="auto" w:fill="auto"/>
            <w:noWrap/>
            <w:vAlign w:val="center"/>
            <w:hideMark/>
          </w:tcPr>
          <w:p w14:paraId="060775B3" w14:textId="08C15BC4"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7</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572</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030</w:t>
            </w:r>
          </w:p>
        </w:tc>
        <w:tc>
          <w:tcPr>
            <w:tcW w:w="1134" w:type="dxa"/>
            <w:tcBorders>
              <w:top w:val="nil"/>
              <w:left w:val="nil"/>
              <w:bottom w:val="single" w:sz="8" w:space="0" w:color="auto"/>
              <w:right w:val="single" w:sz="8" w:space="0" w:color="auto"/>
            </w:tcBorders>
            <w:shd w:val="clear" w:color="auto" w:fill="auto"/>
            <w:noWrap/>
            <w:vAlign w:val="center"/>
            <w:hideMark/>
          </w:tcPr>
          <w:p w14:paraId="673B18F6" w14:textId="77777777"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276" w:type="dxa"/>
            <w:tcBorders>
              <w:top w:val="nil"/>
              <w:left w:val="nil"/>
              <w:bottom w:val="single" w:sz="8" w:space="0" w:color="auto"/>
              <w:right w:val="single" w:sz="8" w:space="0" w:color="auto"/>
            </w:tcBorders>
            <w:shd w:val="clear" w:color="auto" w:fill="auto"/>
            <w:noWrap/>
            <w:vAlign w:val="center"/>
            <w:hideMark/>
          </w:tcPr>
          <w:p w14:paraId="61397367" w14:textId="5F2ADE8A" w:rsidR="007E5612" w:rsidRPr="001A6DB3" w:rsidRDefault="00F307C3" w:rsidP="007E5612">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4</w:t>
            </w:r>
          </w:p>
        </w:tc>
        <w:tc>
          <w:tcPr>
            <w:tcW w:w="1633" w:type="dxa"/>
            <w:tcBorders>
              <w:top w:val="nil"/>
              <w:left w:val="nil"/>
              <w:bottom w:val="single" w:sz="8" w:space="0" w:color="auto"/>
              <w:right w:val="single" w:sz="8" w:space="0" w:color="auto"/>
            </w:tcBorders>
            <w:shd w:val="clear" w:color="auto" w:fill="auto"/>
            <w:noWrap/>
            <w:vAlign w:val="center"/>
          </w:tcPr>
          <w:p w14:paraId="740D0EAE" w14:textId="2D9F3817"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612</w:t>
            </w:r>
            <w:r w:rsidR="00752CEA"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33F9285E" w14:textId="484A511E" w:rsidR="007E5612" w:rsidRPr="00E96831" w:rsidRDefault="007A486B"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w:t>
            </w:r>
          </w:p>
        </w:tc>
        <w:tc>
          <w:tcPr>
            <w:tcW w:w="1044" w:type="dxa"/>
            <w:tcBorders>
              <w:top w:val="nil"/>
              <w:left w:val="nil"/>
              <w:bottom w:val="single" w:sz="8" w:space="0" w:color="auto"/>
              <w:right w:val="single" w:sz="8" w:space="0" w:color="auto"/>
            </w:tcBorders>
            <w:shd w:val="clear" w:color="auto" w:fill="auto"/>
            <w:noWrap/>
            <w:vAlign w:val="center"/>
            <w:hideMark/>
          </w:tcPr>
          <w:p w14:paraId="788E5B10" w14:textId="69021FCF" w:rsidR="007E5612" w:rsidRPr="00E96831" w:rsidRDefault="007E5612" w:rsidP="007E5612">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7A486B" w:rsidRPr="007E5612" w14:paraId="0C21D3B5"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tcPr>
          <w:p w14:paraId="5CDDE1B9" w14:textId="27436290" w:rsidR="007A486B" w:rsidRPr="00E96831" w:rsidRDefault="007A486B" w:rsidP="007A486B">
            <w:pPr>
              <w:spacing w:after="0" w:line="240" w:lineRule="auto"/>
              <w:jc w:val="center"/>
              <w:rPr>
                <w:rFonts w:eastAsia="Times New Roman"/>
                <w:b/>
                <w:bCs/>
                <w:color w:val="000000"/>
                <w:sz w:val="20"/>
                <w:szCs w:val="20"/>
                <w:lang w:eastAsia="lv-LV"/>
              </w:rPr>
            </w:pPr>
            <w:r w:rsidRPr="00E96831">
              <w:rPr>
                <w:rFonts w:eastAsia="Times New Roman"/>
                <w:b/>
                <w:bCs/>
                <w:color w:val="000000"/>
                <w:sz w:val="20"/>
                <w:szCs w:val="20"/>
                <w:lang w:eastAsia="lv-LV"/>
              </w:rPr>
              <w:t>KM</w:t>
            </w:r>
          </w:p>
        </w:tc>
        <w:tc>
          <w:tcPr>
            <w:tcW w:w="1559" w:type="dxa"/>
            <w:tcBorders>
              <w:top w:val="nil"/>
              <w:left w:val="nil"/>
              <w:bottom w:val="single" w:sz="8" w:space="0" w:color="auto"/>
              <w:right w:val="single" w:sz="8" w:space="0" w:color="auto"/>
            </w:tcBorders>
            <w:shd w:val="clear" w:color="auto" w:fill="auto"/>
            <w:noWrap/>
            <w:vAlign w:val="center"/>
          </w:tcPr>
          <w:p w14:paraId="47294D46" w14:textId="2358A3F7"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5</w:t>
            </w:r>
            <w:r w:rsidR="00D54584" w:rsidRPr="00E96831">
              <w:rPr>
                <w:rFonts w:eastAsia="Times New Roman"/>
                <w:color w:val="000000"/>
                <w:sz w:val="20"/>
                <w:szCs w:val="20"/>
                <w:lang w:eastAsia="lv-LV"/>
              </w:rPr>
              <w:t> </w:t>
            </w:r>
            <w:r w:rsidRPr="00E96831">
              <w:rPr>
                <w:rFonts w:eastAsia="Times New Roman"/>
                <w:color w:val="000000"/>
                <w:sz w:val="20"/>
                <w:szCs w:val="20"/>
                <w:lang w:eastAsia="lv-LV"/>
              </w:rPr>
              <w:t>700</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134" w:type="dxa"/>
            <w:tcBorders>
              <w:top w:val="nil"/>
              <w:left w:val="nil"/>
              <w:bottom w:val="single" w:sz="8" w:space="0" w:color="auto"/>
              <w:right w:val="single" w:sz="8" w:space="0" w:color="auto"/>
            </w:tcBorders>
            <w:shd w:val="clear" w:color="auto" w:fill="auto"/>
            <w:noWrap/>
            <w:vAlign w:val="center"/>
          </w:tcPr>
          <w:p w14:paraId="168652D2" w14:textId="22EDD8FC"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276" w:type="dxa"/>
            <w:tcBorders>
              <w:top w:val="nil"/>
              <w:left w:val="nil"/>
              <w:bottom w:val="single" w:sz="8" w:space="0" w:color="auto"/>
              <w:right w:val="single" w:sz="8" w:space="0" w:color="auto"/>
            </w:tcBorders>
            <w:shd w:val="clear" w:color="auto" w:fill="auto"/>
            <w:noWrap/>
            <w:vAlign w:val="center"/>
          </w:tcPr>
          <w:p w14:paraId="3A23F458" w14:textId="6E6C6136" w:rsidR="007A486B" w:rsidRPr="001A6DB3" w:rsidRDefault="00D60548" w:rsidP="007A486B">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w:t>
            </w:r>
          </w:p>
        </w:tc>
        <w:tc>
          <w:tcPr>
            <w:tcW w:w="1633" w:type="dxa"/>
            <w:tcBorders>
              <w:top w:val="nil"/>
              <w:left w:val="nil"/>
              <w:bottom w:val="single" w:sz="8" w:space="0" w:color="auto"/>
              <w:right w:val="single" w:sz="8" w:space="0" w:color="auto"/>
            </w:tcBorders>
            <w:shd w:val="clear" w:color="auto" w:fill="auto"/>
            <w:noWrap/>
            <w:vAlign w:val="center"/>
          </w:tcPr>
          <w:p w14:paraId="10619456" w14:textId="5037A864"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204</w:t>
            </w:r>
            <w:r w:rsidR="00752CEA"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0A845BD8" w14:textId="2317BC44"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tcPr>
          <w:p w14:paraId="12C43494" w14:textId="118B476E"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7A486B" w:rsidRPr="007E5612" w14:paraId="19131783"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tcPr>
          <w:p w14:paraId="7C3F8D60" w14:textId="155A0CD4" w:rsidR="007A486B" w:rsidRPr="00E96831" w:rsidRDefault="007A486B" w:rsidP="007A486B">
            <w:pPr>
              <w:spacing w:after="0" w:line="240" w:lineRule="auto"/>
              <w:jc w:val="center"/>
              <w:rPr>
                <w:rFonts w:eastAsia="Times New Roman"/>
                <w:b/>
                <w:bCs/>
                <w:color w:val="000000"/>
                <w:sz w:val="20"/>
                <w:szCs w:val="20"/>
                <w:lang w:eastAsia="lv-LV"/>
              </w:rPr>
            </w:pPr>
            <w:proofErr w:type="spellStart"/>
            <w:r w:rsidRPr="00E96831">
              <w:rPr>
                <w:rFonts w:eastAsia="Times New Roman"/>
                <w:b/>
                <w:bCs/>
                <w:color w:val="000000"/>
                <w:sz w:val="20"/>
                <w:szCs w:val="20"/>
                <w:lang w:eastAsia="lv-LV"/>
              </w:rPr>
              <w:t>Vkanc</w:t>
            </w:r>
            <w:proofErr w:type="spellEnd"/>
          </w:p>
        </w:tc>
        <w:tc>
          <w:tcPr>
            <w:tcW w:w="1559" w:type="dxa"/>
            <w:tcBorders>
              <w:top w:val="nil"/>
              <w:left w:val="nil"/>
              <w:bottom w:val="single" w:sz="8" w:space="0" w:color="auto"/>
              <w:right w:val="single" w:sz="8" w:space="0" w:color="auto"/>
            </w:tcBorders>
            <w:shd w:val="clear" w:color="auto" w:fill="auto"/>
            <w:noWrap/>
            <w:vAlign w:val="center"/>
          </w:tcPr>
          <w:p w14:paraId="2D1F85D4" w14:textId="143C3258"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5</w:t>
            </w:r>
            <w:r w:rsidR="00D54584" w:rsidRPr="00E96831">
              <w:rPr>
                <w:rFonts w:eastAsia="Times New Roman"/>
                <w:color w:val="000000"/>
                <w:sz w:val="20"/>
                <w:szCs w:val="20"/>
                <w:lang w:eastAsia="lv-LV"/>
              </w:rPr>
              <w:t> </w:t>
            </w:r>
            <w:r w:rsidRPr="00E96831">
              <w:rPr>
                <w:rFonts w:eastAsia="Times New Roman"/>
                <w:color w:val="000000"/>
                <w:sz w:val="20"/>
                <w:szCs w:val="20"/>
                <w:lang w:eastAsia="lv-LV"/>
              </w:rPr>
              <w:t>618</w:t>
            </w:r>
            <w:r w:rsidR="00D54584" w:rsidRPr="00E96831">
              <w:rPr>
                <w:rFonts w:eastAsia="Times New Roman"/>
                <w:color w:val="000000"/>
                <w:sz w:val="20"/>
                <w:szCs w:val="20"/>
                <w:lang w:eastAsia="lv-LV"/>
              </w:rPr>
              <w:t xml:space="preserve"> </w:t>
            </w:r>
            <w:r w:rsidRPr="00E96831">
              <w:rPr>
                <w:rFonts w:eastAsia="Times New Roman"/>
                <w:color w:val="000000"/>
                <w:sz w:val="20"/>
                <w:szCs w:val="20"/>
                <w:lang w:eastAsia="lv-LV"/>
              </w:rPr>
              <w:t>960</w:t>
            </w:r>
          </w:p>
        </w:tc>
        <w:tc>
          <w:tcPr>
            <w:tcW w:w="1134" w:type="dxa"/>
            <w:tcBorders>
              <w:top w:val="nil"/>
              <w:left w:val="nil"/>
              <w:bottom w:val="single" w:sz="8" w:space="0" w:color="auto"/>
              <w:right w:val="single" w:sz="8" w:space="0" w:color="auto"/>
            </w:tcBorders>
            <w:shd w:val="clear" w:color="auto" w:fill="auto"/>
            <w:noWrap/>
            <w:vAlign w:val="center"/>
          </w:tcPr>
          <w:p w14:paraId="2D5DDA6D" w14:textId="458184A3"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4</w:t>
            </w:r>
          </w:p>
        </w:tc>
        <w:tc>
          <w:tcPr>
            <w:tcW w:w="1276" w:type="dxa"/>
            <w:tcBorders>
              <w:top w:val="nil"/>
              <w:left w:val="nil"/>
              <w:bottom w:val="single" w:sz="8" w:space="0" w:color="auto"/>
              <w:right w:val="single" w:sz="8" w:space="0" w:color="auto"/>
            </w:tcBorders>
            <w:shd w:val="clear" w:color="auto" w:fill="auto"/>
            <w:noWrap/>
            <w:vAlign w:val="center"/>
          </w:tcPr>
          <w:p w14:paraId="04915B39" w14:textId="0B8FD957" w:rsidR="007A486B" w:rsidRPr="001A6DB3" w:rsidRDefault="007A486B" w:rsidP="007A486B">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1</w:t>
            </w:r>
            <w:r w:rsidR="00D60548" w:rsidRPr="001A6DB3">
              <w:rPr>
                <w:rFonts w:eastAsia="Times New Roman"/>
                <w:color w:val="000000"/>
                <w:sz w:val="20"/>
                <w:szCs w:val="20"/>
                <w:lang w:eastAsia="lv-LV"/>
              </w:rPr>
              <w:t>2</w:t>
            </w:r>
          </w:p>
        </w:tc>
        <w:tc>
          <w:tcPr>
            <w:tcW w:w="1633" w:type="dxa"/>
            <w:tcBorders>
              <w:top w:val="nil"/>
              <w:left w:val="nil"/>
              <w:bottom w:val="single" w:sz="8" w:space="0" w:color="auto"/>
              <w:right w:val="single" w:sz="8" w:space="0" w:color="auto"/>
            </w:tcBorders>
            <w:shd w:val="clear" w:color="auto" w:fill="auto"/>
            <w:noWrap/>
            <w:vAlign w:val="center"/>
          </w:tcPr>
          <w:p w14:paraId="57654218" w14:textId="0243DC99"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408</w:t>
            </w:r>
            <w:r w:rsidR="00752CEA"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c>
          <w:tcPr>
            <w:tcW w:w="1344" w:type="dxa"/>
            <w:tcBorders>
              <w:top w:val="nil"/>
              <w:left w:val="nil"/>
              <w:bottom w:val="single" w:sz="8" w:space="0" w:color="auto"/>
              <w:right w:val="single" w:sz="8" w:space="0" w:color="auto"/>
            </w:tcBorders>
            <w:shd w:val="clear" w:color="auto" w:fill="auto"/>
            <w:noWrap/>
            <w:vAlign w:val="center"/>
          </w:tcPr>
          <w:p w14:paraId="62A568E2" w14:textId="3BF4ABEE"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2</w:t>
            </w:r>
          </w:p>
        </w:tc>
        <w:tc>
          <w:tcPr>
            <w:tcW w:w="1044" w:type="dxa"/>
            <w:tcBorders>
              <w:top w:val="nil"/>
              <w:left w:val="nil"/>
              <w:bottom w:val="single" w:sz="8" w:space="0" w:color="auto"/>
              <w:right w:val="single" w:sz="8" w:space="0" w:color="auto"/>
            </w:tcBorders>
            <w:shd w:val="clear" w:color="auto" w:fill="auto"/>
            <w:noWrap/>
            <w:vAlign w:val="center"/>
          </w:tcPr>
          <w:p w14:paraId="7EB5A1F4" w14:textId="27400AC6" w:rsidR="007A486B" w:rsidRPr="00E96831" w:rsidRDefault="007A486B" w:rsidP="007A486B">
            <w:pPr>
              <w:spacing w:after="0" w:line="240" w:lineRule="auto"/>
              <w:jc w:val="center"/>
              <w:rPr>
                <w:rFonts w:eastAsia="Times New Roman"/>
                <w:color w:val="000000"/>
                <w:sz w:val="20"/>
                <w:szCs w:val="20"/>
                <w:lang w:eastAsia="lv-LV"/>
              </w:rPr>
            </w:pPr>
            <w:r w:rsidRPr="00E96831">
              <w:rPr>
                <w:rFonts w:eastAsia="Times New Roman"/>
                <w:color w:val="000000"/>
                <w:sz w:val="20"/>
                <w:szCs w:val="20"/>
                <w:lang w:eastAsia="lv-LV"/>
              </w:rPr>
              <w:t>34</w:t>
            </w:r>
            <w:r w:rsidR="00C62A70" w:rsidRPr="00E96831">
              <w:rPr>
                <w:rFonts w:eastAsia="Times New Roman"/>
                <w:color w:val="000000"/>
                <w:sz w:val="20"/>
                <w:szCs w:val="20"/>
                <w:lang w:eastAsia="lv-LV"/>
              </w:rPr>
              <w:t xml:space="preserve"> </w:t>
            </w:r>
            <w:r w:rsidRPr="00E96831">
              <w:rPr>
                <w:rFonts w:eastAsia="Times New Roman"/>
                <w:color w:val="000000"/>
                <w:sz w:val="20"/>
                <w:szCs w:val="20"/>
                <w:lang w:eastAsia="lv-LV"/>
              </w:rPr>
              <w:t>000</w:t>
            </w:r>
          </w:p>
        </w:tc>
      </w:tr>
      <w:tr w:rsidR="007A486B" w:rsidRPr="007E5612" w14:paraId="004B5F7A" w14:textId="77777777" w:rsidTr="003502A7">
        <w:trPr>
          <w:gridAfter w:val="1"/>
          <w:wAfter w:w="32" w:type="dxa"/>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8C3743D" w14:textId="77777777" w:rsidR="007A486B" w:rsidRPr="007E5612" w:rsidRDefault="007A486B" w:rsidP="007A486B">
            <w:pPr>
              <w:spacing w:after="0" w:line="240" w:lineRule="auto"/>
              <w:jc w:val="center"/>
              <w:rPr>
                <w:rFonts w:eastAsia="Times New Roman"/>
                <w:color w:val="000000"/>
                <w:sz w:val="20"/>
                <w:szCs w:val="20"/>
                <w:lang w:eastAsia="lv-LV"/>
              </w:rPr>
            </w:pPr>
            <w:r w:rsidRPr="007E5612">
              <w:rPr>
                <w:rFonts w:eastAsia="Times New Roman"/>
                <w:color w:val="000000"/>
                <w:sz w:val="20"/>
                <w:szCs w:val="20"/>
                <w:lang w:eastAsia="lv-LV"/>
              </w:rPr>
              <w:t> </w:t>
            </w:r>
          </w:p>
        </w:tc>
        <w:tc>
          <w:tcPr>
            <w:tcW w:w="1559" w:type="dxa"/>
            <w:tcBorders>
              <w:top w:val="nil"/>
              <w:left w:val="nil"/>
              <w:bottom w:val="single" w:sz="8" w:space="0" w:color="auto"/>
              <w:right w:val="single" w:sz="8" w:space="0" w:color="auto"/>
            </w:tcBorders>
            <w:shd w:val="clear" w:color="auto" w:fill="auto"/>
            <w:noWrap/>
            <w:vAlign w:val="center"/>
            <w:hideMark/>
          </w:tcPr>
          <w:p w14:paraId="4D4F0573" w14:textId="72F705BF" w:rsidR="007A486B" w:rsidRPr="007E5612" w:rsidRDefault="007A486B" w:rsidP="007A486B">
            <w:pPr>
              <w:spacing w:after="0" w:line="240" w:lineRule="auto"/>
              <w:jc w:val="center"/>
              <w:rPr>
                <w:rFonts w:eastAsia="Times New Roman"/>
                <w:b/>
                <w:bCs/>
                <w:color w:val="000000"/>
                <w:sz w:val="20"/>
                <w:szCs w:val="20"/>
                <w:lang w:eastAsia="lv-LV"/>
              </w:rPr>
            </w:pPr>
            <w:r w:rsidRPr="007E5612">
              <w:rPr>
                <w:rFonts w:eastAsia="Times New Roman"/>
                <w:b/>
                <w:bCs/>
                <w:color w:val="000000"/>
                <w:sz w:val="20"/>
                <w:szCs w:val="20"/>
                <w:lang w:eastAsia="lv-LV"/>
              </w:rPr>
              <w:t>1</w:t>
            </w:r>
            <w:r w:rsidR="00752CEA">
              <w:rPr>
                <w:rFonts w:eastAsia="Times New Roman"/>
                <w:b/>
                <w:bCs/>
                <w:color w:val="000000"/>
                <w:sz w:val="20"/>
                <w:szCs w:val="20"/>
                <w:lang w:eastAsia="lv-LV"/>
              </w:rPr>
              <w:t> </w:t>
            </w:r>
            <w:r w:rsidRPr="007E5612">
              <w:rPr>
                <w:rFonts w:eastAsia="Times New Roman"/>
                <w:b/>
                <w:bCs/>
                <w:color w:val="000000"/>
                <w:sz w:val="20"/>
                <w:szCs w:val="20"/>
                <w:lang w:eastAsia="lv-LV"/>
              </w:rPr>
              <w:t>826</w:t>
            </w:r>
            <w:r w:rsidR="00752CEA">
              <w:rPr>
                <w:rFonts w:eastAsia="Times New Roman"/>
                <w:b/>
                <w:bCs/>
                <w:color w:val="000000"/>
                <w:sz w:val="20"/>
                <w:szCs w:val="20"/>
                <w:lang w:eastAsia="lv-LV"/>
              </w:rPr>
              <w:t xml:space="preserve"> </w:t>
            </w:r>
            <w:r w:rsidRPr="007E5612">
              <w:rPr>
                <w:rFonts w:eastAsia="Times New Roman"/>
                <w:b/>
                <w:bCs/>
                <w:color w:val="000000"/>
                <w:sz w:val="20"/>
                <w:szCs w:val="20"/>
                <w:lang w:eastAsia="lv-LV"/>
              </w:rPr>
              <w:t>000</w:t>
            </w:r>
            <w:r w:rsidR="003502A7">
              <w:rPr>
                <w:rFonts w:eastAsia="Times New Roman"/>
                <w:b/>
                <w:bCs/>
                <w:color w:val="000000"/>
                <w:sz w:val="20"/>
                <w:szCs w:val="20"/>
                <w:lang w:eastAsia="lv-LV"/>
              </w:rPr>
              <w:t> </w:t>
            </w:r>
            <w:r w:rsidRPr="007E5612">
              <w:rPr>
                <w:rFonts w:eastAsia="Times New Roman"/>
                <w:b/>
                <w:bCs/>
                <w:color w:val="000000"/>
                <w:sz w:val="20"/>
                <w:szCs w:val="20"/>
                <w:lang w:eastAsia="lv-LV"/>
              </w:rPr>
              <w:t>000</w:t>
            </w:r>
            <w:r w:rsidR="003502A7">
              <w:rPr>
                <w:rFonts w:eastAsia="Times New Roman"/>
                <w:b/>
                <w:bCs/>
                <w:color w:val="000000"/>
                <w:sz w:val="20"/>
                <w:szCs w:val="20"/>
                <w:lang w:eastAsia="lv-LV"/>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14:paraId="6B90FCF1" w14:textId="77777777" w:rsidR="007A486B" w:rsidRPr="007E5612" w:rsidRDefault="007A486B" w:rsidP="007A486B">
            <w:pPr>
              <w:spacing w:after="0" w:line="240" w:lineRule="auto"/>
              <w:jc w:val="center"/>
              <w:rPr>
                <w:rFonts w:eastAsia="Times New Roman"/>
                <w:b/>
                <w:bCs/>
                <w:color w:val="000000"/>
                <w:sz w:val="20"/>
                <w:szCs w:val="20"/>
                <w:lang w:eastAsia="lv-LV"/>
              </w:rPr>
            </w:pPr>
            <w:r w:rsidRPr="007E5612">
              <w:rPr>
                <w:rFonts w:eastAsia="Times New Roman"/>
                <w:b/>
                <w:bCs/>
                <w:color w:val="000000"/>
                <w:sz w:val="20"/>
                <w:szCs w:val="20"/>
                <w:lang w:eastAsia="lv-LV"/>
              </w:rPr>
              <w:t>64</w:t>
            </w:r>
          </w:p>
        </w:tc>
        <w:tc>
          <w:tcPr>
            <w:tcW w:w="1276" w:type="dxa"/>
            <w:tcBorders>
              <w:top w:val="nil"/>
              <w:left w:val="nil"/>
              <w:bottom w:val="single" w:sz="8" w:space="0" w:color="auto"/>
              <w:right w:val="single" w:sz="8" w:space="0" w:color="auto"/>
            </w:tcBorders>
            <w:shd w:val="clear" w:color="auto" w:fill="auto"/>
            <w:noWrap/>
            <w:vAlign w:val="center"/>
            <w:hideMark/>
          </w:tcPr>
          <w:p w14:paraId="3444A688" w14:textId="0AA84760" w:rsidR="007A486B" w:rsidRPr="001A6DB3" w:rsidRDefault="00F307C3" w:rsidP="007A486B">
            <w:pPr>
              <w:spacing w:after="0" w:line="240" w:lineRule="auto"/>
              <w:jc w:val="center"/>
              <w:rPr>
                <w:rFonts w:eastAsia="Times New Roman"/>
                <w:color w:val="000000"/>
                <w:sz w:val="20"/>
                <w:szCs w:val="20"/>
                <w:lang w:eastAsia="lv-LV"/>
              </w:rPr>
            </w:pPr>
            <w:r w:rsidRPr="001A6DB3">
              <w:rPr>
                <w:rFonts w:eastAsia="Times New Roman"/>
                <w:color w:val="000000"/>
                <w:sz w:val="20"/>
                <w:szCs w:val="20"/>
                <w:lang w:eastAsia="lv-LV"/>
              </w:rPr>
              <w:t>206</w:t>
            </w:r>
          </w:p>
        </w:tc>
        <w:tc>
          <w:tcPr>
            <w:tcW w:w="1633" w:type="dxa"/>
            <w:tcBorders>
              <w:top w:val="nil"/>
              <w:left w:val="nil"/>
              <w:bottom w:val="single" w:sz="8" w:space="0" w:color="auto"/>
              <w:right w:val="single" w:sz="8" w:space="0" w:color="auto"/>
            </w:tcBorders>
            <w:shd w:val="clear" w:color="auto" w:fill="auto"/>
            <w:noWrap/>
            <w:vAlign w:val="center"/>
          </w:tcPr>
          <w:p w14:paraId="48B58859" w14:textId="09A477A3" w:rsidR="007A486B" w:rsidRPr="007E5612" w:rsidRDefault="0016107F" w:rsidP="007A486B">
            <w:pPr>
              <w:spacing w:after="0" w:line="240" w:lineRule="auto"/>
              <w:jc w:val="center"/>
              <w:rPr>
                <w:rFonts w:eastAsia="Times New Roman"/>
                <w:b/>
                <w:bCs/>
                <w:color w:val="000000"/>
                <w:sz w:val="20"/>
                <w:szCs w:val="20"/>
                <w:lang w:eastAsia="lv-LV"/>
              </w:rPr>
            </w:pPr>
            <w:r w:rsidRPr="0016107F">
              <w:rPr>
                <w:rFonts w:eastAsia="Times New Roman"/>
                <w:b/>
                <w:bCs/>
                <w:color w:val="000000"/>
                <w:sz w:val="20"/>
                <w:szCs w:val="20"/>
                <w:lang w:eastAsia="lv-LV"/>
              </w:rPr>
              <w:t>12</w:t>
            </w:r>
            <w:r>
              <w:rPr>
                <w:rFonts w:eastAsia="Times New Roman"/>
                <w:b/>
                <w:bCs/>
                <w:color w:val="000000"/>
                <w:sz w:val="20"/>
                <w:szCs w:val="20"/>
                <w:lang w:eastAsia="lv-LV"/>
              </w:rPr>
              <w:t> </w:t>
            </w:r>
            <w:r w:rsidRPr="0016107F">
              <w:rPr>
                <w:rFonts w:eastAsia="Times New Roman"/>
                <w:b/>
                <w:bCs/>
                <w:color w:val="000000"/>
                <w:sz w:val="20"/>
                <w:szCs w:val="20"/>
                <w:lang w:eastAsia="lv-LV"/>
              </w:rPr>
              <w:t>444</w:t>
            </w:r>
            <w:r>
              <w:rPr>
                <w:rFonts w:eastAsia="Times New Roman"/>
                <w:b/>
                <w:bCs/>
                <w:color w:val="000000"/>
                <w:sz w:val="20"/>
                <w:szCs w:val="20"/>
                <w:lang w:eastAsia="lv-LV"/>
              </w:rPr>
              <w:t xml:space="preserve"> </w:t>
            </w:r>
            <w:r w:rsidRPr="0016107F">
              <w:rPr>
                <w:rFonts w:eastAsia="Times New Roman"/>
                <w:b/>
                <w:bCs/>
                <w:color w:val="000000"/>
                <w:sz w:val="20"/>
                <w:szCs w:val="20"/>
                <w:lang w:eastAsia="lv-LV"/>
              </w:rPr>
              <w:t xml:space="preserve">000 </w:t>
            </w:r>
          </w:p>
        </w:tc>
        <w:tc>
          <w:tcPr>
            <w:tcW w:w="1344" w:type="dxa"/>
            <w:tcBorders>
              <w:top w:val="nil"/>
              <w:left w:val="nil"/>
              <w:bottom w:val="single" w:sz="8" w:space="0" w:color="auto"/>
              <w:right w:val="single" w:sz="8" w:space="0" w:color="auto"/>
            </w:tcBorders>
            <w:shd w:val="clear" w:color="auto" w:fill="auto"/>
            <w:noWrap/>
            <w:vAlign w:val="center"/>
          </w:tcPr>
          <w:p w14:paraId="773C891C" w14:textId="2B9761F6" w:rsidR="007A486B" w:rsidRPr="007E5612" w:rsidRDefault="00752CEA" w:rsidP="007A486B">
            <w:pPr>
              <w:spacing w:after="0" w:line="240" w:lineRule="auto"/>
              <w:jc w:val="center"/>
              <w:rPr>
                <w:rFonts w:eastAsia="Times New Roman"/>
                <w:b/>
                <w:bCs/>
                <w:color w:val="000000"/>
                <w:sz w:val="20"/>
                <w:szCs w:val="20"/>
                <w:lang w:eastAsia="lv-LV"/>
              </w:rPr>
            </w:pPr>
            <w:r>
              <w:rPr>
                <w:rFonts w:eastAsia="Times New Roman"/>
                <w:b/>
                <w:bCs/>
                <w:color w:val="000000"/>
                <w:sz w:val="20"/>
                <w:szCs w:val="20"/>
                <w:lang w:eastAsia="lv-LV"/>
              </w:rPr>
              <w:t>6</w:t>
            </w:r>
            <w:r w:rsidR="0016107F">
              <w:rPr>
                <w:rFonts w:eastAsia="Times New Roman"/>
                <w:b/>
                <w:bCs/>
                <w:color w:val="000000"/>
                <w:sz w:val="20"/>
                <w:szCs w:val="20"/>
                <w:lang w:eastAsia="lv-LV"/>
              </w:rPr>
              <w:t>1</w:t>
            </w:r>
          </w:p>
        </w:tc>
        <w:tc>
          <w:tcPr>
            <w:tcW w:w="1044" w:type="dxa"/>
            <w:tcBorders>
              <w:top w:val="nil"/>
              <w:left w:val="nil"/>
              <w:bottom w:val="single" w:sz="8" w:space="0" w:color="auto"/>
              <w:right w:val="single" w:sz="8" w:space="0" w:color="auto"/>
            </w:tcBorders>
            <w:shd w:val="clear" w:color="auto" w:fill="auto"/>
            <w:noWrap/>
            <w:vAlign w:val="center"/>
            <w:hideMark/>
          </w:tcPr>
          <w:p w14:paraId="6864DBA6" w14:textId="77777777" w:rsidR="007A486B" w:rsidRPr="007E5612" w:rsidRDefault="007A486B" w:rsidP="007A486B">
            <w:pPr>
              <w:spacing w:after="0" w:line="240" w:lineRule="auto"/>
              <w:jc w:val="center"/>
              <w:rPr>
                <w:rFonts w:eastAsia="Times New Roman"/>
                <w:b/>
                <w:bCs/>
                <w:color w:val="000000"/>
                <w:sz w:val="20"/>
                <w:szCs w:val="20"/>
                <w:lang w:eastAsia="lv-LV"/>
              </w:rPr>
            </w:pPr>
            <w:r w:rsidRPr="007E5612">
              <w:rPr>
                <w:rFonts w:eastAsia="Times New Roman"/>
                <w:b/>
                <w:bCs/>
                <w:color w:val="000000"/>
                <w:sz w:val="20"/>
                <w:szCs w:val="20"/>
                <w:lang w:eastAsia="lv-LV"/>
              </w:rPr>
              <w:t> </w:t>
            </w:r>
          </w:p>
        </w:tc>
      </w:tr>
    </w:tbl>
    <w:p w14:paraId="2A087494" w14:textId="216D156E" w:rsidR="006F5BDA" w:rsidRDefault="006F5BDA" w:rsidP="008140D2">
      <w:pPr>
        <w:suppressAutoHyphens/>
        <w:autoSpaceDN w:val="0"/>
        <w:spacing w:after="0" w:line="240" w:lineRule="auto"/>
        <w:jc w:val="both"/>
        <w:textAlignment w:val="baseline"/>
        <w:rPr>
          <w:rFonts w:eastAsia="Calibri"/>
          <w:sz w:val="20"/>
          <w:szCs w:val="20"/>
        </w:rPr>
      </w:pPr>
    </w:p>
    <w:p w14:paraId="3301FC8A" w14:textId="77777777" w:rsidR="00D25624" w:rsidRDefault="00D25624" w:rsidP="003B43A6">
      <w:pPr>
        <w:suppressAutoHyphens/>
        <w:autoSpaceDN w:val="0"/>
        <w:spacing w:after="0" w:line="276" w:lineRule="auto"/>
        <w:ind w:firstLine="720"/>
        <w:jc w:val="both"/>
        <w:textAlignment w:val="baseline"/>
        <w:rPr>
          <w:rFonts w:eastAsia="Calibri"/>
        </w:rPr>
      </w:pPr>
    </w:p>
    <w:p w14:paraId="6CB52C14" w14:textId="0D37AEDB" w:rsidR="00454928" w:rsidRPr="00454928" w:rsidRDefault="006F1279" w:rsidP="003B43A6">
      <w:pPr>
        <w:suppressAutoHyphens/>
        <w:autoSpaceDN w:val="0"/>
        <w:spacing w:after="0" w:line="276" w:lineRule="auto"/>
        <w:ind w:firstLine="720"/>
        <w:jc w:val="both"/>
        <w:textAlignment w:val="baseline"/>
        <w:rPr>
          <w:rFonts w:eastAsia="Calibri"/>
        </w:rPr>
      </w:pPr>
      <w:r>
        <w:rPr>
          <w:rFonts w:eastAsia="Calibri"/>
        </w:rPr>
        <w:t xml:space="preserve">Lai noteiktu katrai </w:t>
      </w:r>
      <w:r w:rsidR="001879E7">
        <w:rPr>
          <w:rFonts w:eastAsia="Calibri"/>
        </w:rPr>
        <w:t>institūcijai</w:t>
      </w:r>
      <w:r w:rsidR="00AF1A6C">
        <w:rPr>
          <w:rStyle w:val="FootnoteReference"/>
          <w:rFonts w:eastAsia="Calibri"/>
        </w:rPr>
        <w:footnoteReference w:id="27"/>
      </w:r>
      <w:r w:rsidR="001879E7">
        <w:rPr>
          <w:rFonts w:eastAsia="Calibri"/>
        </w:rPr>
        <w:t xml:space="preserve"> </w:t>
      </w:r>
      <w:r>
        <w:rPr>
          <w:rFonts w:eastAsia="Calibri"/>
        </w:rPr>
        <w:t xml:space="preserve">piešķiramo finanšu apjomu, </w:t>
      </w:r>
      <w:r w:rsidR="00454928" w:rsidRPr="00454928">
        <w:rPr>
          <w:rFonts w:eastAsia="Calibri"/>
        </w:rPr>
        <w:t xml:space="preserve">1 slodzes vidējo izmaksu apjoms balstīts uz </w:t>
      </w:r>
      <w:r w:rsidR="00A04506">
        <w:rPr>
          <w:rFonts w:eastAsia="Calibri"/>
        </w:rPr>
        <w:t>FM</w:t>
      </w:r>
      <w:r w:rsidR="00454928" w:rsidRPr="00454928">
        <w:rPr>
          <w:rFonts w:eastAsia="Calibri"/>
        </w:rPr>
        <w:t xml:space="preserve"> izmaksu datiem</w:t>
      </w:r>
      <w:r w:rsidR="00781A1B">
        <w:rPr>
          <w:rStyle w:val="FootnoteReference"/>
          <w:rFonts w:eastAsia="Calibri"/>
        </w:rPr>
        <w:footnoteReference w:id="28"/>
      </w:r>
      <w:r w:rsidR="00454928" w:rsidRPr="00454928">
        <w:rPr>
          <w:rFonts w:eastAsia="Calibri"/>
        </w:rPr>
        <w:t xml:space="preserve">, kur tiek nodrošinātas </w:t>
      </w:r>
      <w:r w:rsidR="00373EFF">
        <w:rPr>
          <w:rFonts w:eastAsia="Calibri"/>
        </w:rPr>
        <w:t>līdzīgas, salīdzināmas</w:t>
      </w:r>
      <w:r w:rsidR="00454928" w:rsidRPr="00454928">
        <w:rPr>
          <w:rFonts w:eastAsia="Calibri"/>
        </w:rPr>
        <w:t xml:space="preserve"> funkcijas un uzdevumi, kas būs veicami </w:t>
      </w:r>
      <w:r w:rsidR="00B4349E" w:rsidRPr="00B4349E">
        <w:rPr>
          <w:rFonts w:eastAsia="Calibri"/>
        </w:rPr>
        <w:t>Atveseļošanas fonda</w:t>
      </w:r>
      <w:r w:rsidR="00454928" w:rsidRPr="00454928">
        <w:rPr>
          <w:rFonts w:eastAsia="Calibri"/>
        </w:rPr>
        <w:t xml:space="preserve"> plāna ieviešanas periodā. </w:t>
      </w:r>
      <w:r w:rsidR="000257B9">
        <w:rPr>
          <w:rFonts w:eastAsia="Calibri"/>
        </w:rPr>
        <w:t>Indikatīvais p</w:t>
      </w:r>
      <w:r w:rsidR="00585276" w:rsidRPr="00585276">
        <w:rPr>
          <w:rFonts w:eastAsia="Calibri"/>
        </w:rPr>
        <w:t>iedāvājums veidots</w:t>
      </w:r>
      <w:r w:rsidR="00EC775D">
        <w:rPr>
          <w:rFonts w:eastAsia="Calibri"/>
        </w:rPr>
        <w:t xml:space="preserve"> balstoties uz institūciju pieprasījumiem</w:t>
      </w:r>
      <w:r w:rsidR="00585276" w:rsidRPr="00585276">
        <w:rPr>
          <w:rFonts w:eastAsia="Calibri"/>
        </w:rPr>
        <w:t xml:space="preserve">, lai ar minimāliem </w:t>
      </w:r>
      <w:r w:rsidR="008919D2">
        <w:rPr>
          <w:rFonts w:eastAsia="Calibri"/>
        </w:rPr>
        <w:t xml:space="preserve">finanšu </w:t>
      </w:r>
      <w:r w:rsidR="00585276" w:rsidRPr="00585276">
        <w:rPr>
          <w:rFonts w:eastAsia="Calibri"/>
        </w:rPr>
        <w:t xml:space="preserve">resursiem nodrošinātu </w:t>
      </w:r>
      <w:r w:rsidR="007C37AC">
        <w:rPr>
          <w:rFonts w:eastAsia="Calibri"/>
        </w:rPr>
        <w:t xml:space="preserve">Regulas un </w:t>
      </w:r>
      <w:r w:rsidR="00585276" w:rsidRPr="00585276">
        <w:rPr>
          <w:rFonts w:eastAsia="Calibri"/>
        </w:rPr>
        <w:t xml:space="preserve">EK prasības </w:t>
      </w:r>
      <w:r w:rsidR="00B4349E" w:rsidRPr="00B4349E">
        <w:rPr>
          <w:rFonts w:eastAsia="Calibri"/>
        </w:rPr>
        <w:t>Atveseļošanas fonda</w:t>
      </w:r>
      <w:r w:rsidR="00585276" w:rsidRPr="00585276">
        <w:rPr>
          <w:rFonts w:eastAsia="Calibri"/>
        </w:rPr>
        <w:t xml:space="preserve"> plāna atbilstošam ieviešanas un kontroļu mehānismam, </w:t>
      </w:r>
      <w:r w:rsidR="007C37AC">
        <w:rPr>
          <w:rFonts w:eastAsia="Calibri"/>
        </w:rPr>
        <w:t>tai skaitā</w:t>
      </w:r>
      <w:r w:rsidR="00585276" w:rsidRPr="00585276">
        <w:rPr>
          <w:rFonts w:eastAsia="Calibri"/>
        </w:rPr>
        <w:t xml:space="preserve"> ņemot vērā </w:t>
      </w:r>
      <w:r w:rsidR="00D70175">
        <w:rPr>
          <w:rFonts w:eastAsia="Calibri"/>
        </w:rPr>
        <w:t>pa</w:t>
      </w:r>
      <w:r w:rsidR="00585276" w:rsidRPr="00585276">
        <w:rPr>
          <w:rFonts w:eastAsia="Calibri"/>
        </w:rPr>
        <w:t>stiprināto IUB lomu un iesaisti</w:t>
      </w:r>
      <w:r w:rsidR="00585276">
        <w:rPr>
          <w:rFonts w:eastAsia="Calibri"/>
        </w:rPr>
        <w:t xml:space="preserve">. </w:t>
      </w:r>
      <w:r w:rsidR="00C13226">
        <w:rPr>
          <w:rFonts w:eastAsia="Calibri"/>
        </w:rPr>
        <w:t xml:space="preserve">Papildus ņemts vērā, ka pamatā plānota </w:t>
      </w:r>
      <w:r w:rsidR="00B4349E" w:rsidRPr="00B4349E">
        <w:rPr>
          <w:rFonts w:eastAsia="Calibri"/>
        </w:rPr>
        <w:t>Atveseļošanas fonda</w:t>
      </w:r>
      <w:r w:rsidR="00C13226" w:rsidRPr="00C13226">
        <w:rPr>
          <w:rFonts w:eastAsia="Calibri"/>
        </w:rPr>
        <w:t xml:space="preserve"> plāna</w:t>
      </w:r>
      <w:r w:rsidR="00C13226">
        <w:rPr>
          <w:rFonts w:eastAsia="Calibri"/>
        </w:rPr>
        <w:t xml:space="preserve"> un 21-27 secīga īstenošanas </w:t>
      </w:r>
      <w:r w:rsidR="00237E34">
        <w:rPr>
          <w:rFonts w:eastAsia="Calibri"/>
        </w:rPr>
        <w:t>uzsākšana</w:t>
      </w:r>
      <w:r w:rsidR="00C13226">
        <w:rPr>
          <w:rFonts w:eastAsia="Calibri"/>
        </w:rPr>
        <w:t>.</w:t>
      </w:r>
      <w:r w:rsidR="006C0BE3">
        <w:rPr>
          <w:rFonts w:eastAsia="Calibri"/>
        </w:rPr>
        <w:t xml:space="preserve">  </w:t>
      </w:r>
    </w:p>
    <w:p w14:paraId="4A5D1F53" w14:textId="27FE9C16" w:rsidR="00454928" w:rsidRDefault="00454928" w:rsidP="008140D2">
      <w:pPr>
        <w:suppressAutoHyphens/>
        <w:autoSpaceDN w:val="0"/>
        <w:spacing w:after="0" w:line="240" w:lineRule="auto"/>
        <w:jc w:val="both"/>
        <w:textAlignment w:val="baseline"/>
        <w:rPr>
          <w:rFonts w:eastAsia="Calibri"/>
          <w:sz w:val="20"/>
          <w:szCs w:val="20"/>
        </w:rPr>
      </w:pPr>
    </w:p>
    <w:p w14:paraId="6DB6B7FA" w14:textId="15BCF6AC" w:rsidR="00D25624" w:rsidRDefault="00D25624" w:rsidP="008140D2">
      <w:pPr>
        <w:suppressAutoHyphens/>
        <w:autoSpaceDN w:val="0"/>
        <w:spacing w:after="0" w:line="240" w:lineRule="auto"/>
        <w:jc w:val="both"/>
        <w:textAlignment w:val="baseline"/>
        <w:rPr>
          <w:rFonts w:eastAsia="Calibri"/>
          <w:sz w:val="20"/>
          <w:szCs w:val="20"/>
        </w:rPr>
      </w:pPr>
    </w:p>
    <w:p w14:paraId="0D4FD9E9" w14:textId="4B6786AD" w:rsidR="00D25624" w:rsidRDefault="00D25624" w:rsidP="008140D2">
      <w:pPr>
        <w:suppressAutoHyphens/>
        <w:autoSpaceDN w:val="0"/>
        <w:spacing w:after="0" w:line="240" w:lineRule="auto"/>
        <w:jc w:val="both"/>
        <w:textAlignment w:val="baseline"/>
        <w:rPr>
          <w:rFonts w:eastAsia="Calibri"/>
          <w:sz w:val="20"/>
          <w:szCs w:val="20"/>
        </w:rPr>
      </w:pPr>
    </w:p>
    <w:p w14:paraId="5DA67C2E" w14:textId="56F6C8AD" w:rsidR="00D25624" w:rsidRDefault="00D25624" w:rsidP="008140D2">
      <w:pPr>
        <w:suppressAutoHyphens/>
        <w:autoSpaceDN w:val="0"/>
        <w:spacing w:after="0" w:line="240" w:lineRule="auto"/>
        <w:jc w:val="both"/>
        <w:textAlignment w:val="baseline"/>
        <w:rPr>
          <w:rFonts w:eastAsia="Calibri"/>
          <w:sz w:val="20"/>
          <w:szCs w:val="20"/>
        </w:rPr>
      </w:pPr>
    </w:p>
    <w:p w14:paraId="547D7820" w14:textId="6C765750" w:rsidR="00D25624" w:rsidRDefault="00D25624" w:rsidP="008140D2">
      <w:pPr>
        <w:suppressAutoHyphens/>
        <w:autoSpaceDN w:val="0"/>
        <w:spacing w:after="0" w:line="240" w:lineRule="auto"/>
        <w:jc w:val="both"/>
        <w:textAlignment w:val="baseline"/>
        <w:rPr>
          <w:rFonts w:eastAsia="Calibri"/>
          <w:sz w:val="20"/>
          <w:szCs w:val="20"/>
        </w:rPr>
      </w:pPr>
    </w:p>
    <w:p w14:paraId="1300834A" w14:textId="15B95EAA" w:rsidR="00D25624" w:rsidRDefault="00D25624" w:rsidP="008140D2">
      <w:pPr>
        <w:suppressAutoHyphens/>
        <w:autoSpaceDN w:val="0"/>
        <w:spacing w:after="0" w:line="240" w:lineRule="auto"/>
        <w:jc w:val="both"/>
        <w:textAlignment w:val="baseline"/>
        <w:rPr>
          <w:rFonts w:eastAsia="Calibri"/>
          <w:sz w:val="20"/>
          <w:szCs w:val="20"/>
        </w:rPr>
      </w:pPr>
    </w:p>
    <w:p w14:paraId="03715CC1" w14:textId="2F00060C" w:rsidR="00D25624" w:rsidRDefault="00D25624" w:rsidP="008140D2">
      <w:pPr>
        <w:suppressAutoHyphens/>
        <w:autoSpaceDN w:val="0"/>
        <w:spacing w:after="0" w:line="240" w:lineRule="auto"/>
        <w:jc w:val="both"/>
        <w:textAlignment w:val="baseline"/>
        <w:rPr>
          <w:rFonts w:eastAsia="Calibri"/>
          <w:sz w:val="20"/>
          <w:szCs w:val="20"/>
        </w:rPr>
      </w:pPr>
    </w:p>
    <w:p w14:paraId="2EF4BB19" w14:textId="7DBA8585" w:rsidR="00D25624" w:rsidRDefault="00D25624" w:rsidP="008140D2">
      <w:pPr>
        <w:suppressAutoHyphens/>
        <w:autoSpaceDN w:val="0"/>
        <w:spacing w:after="0" w:line="240" w:lineRule="auto"/>
        <w:jc w:val="both"/>
        <w:textAlignment w:val="baseline"/>
        <w:rPr>
          <w:rFonts w:eastAsia="Calibri"/>
          <w:sz w:val="20"/>
          <w:szCs w:val="20"/>
        </w:rPr>
      </w:pPr>
    </w:p>
    <w:p w14:paraId="77A13E8B" w14:textId="77777777" w:rsidR="00D25624" w:rsidRDefault="00D25624" w:rsidP="008140D2">
      <w:pPr>
        <w:suppressAutoHyphens/>
        <w:autoSpaceDN w:val="0"/>
        <w:spacing w:after="0" w:line="240" w:lineRule="auto"/>
        <w:jc w:val="both"/>
        <w:textAlignment w:val="baseline"/>
        <w:rPr>
          <w:rFonts w:eastAsia="Calibri"/>
          <w:sz w:val="20"/>
          <w:szCs w:val="20"/>
        </w:rPr>
      </w:pPr>
    </w:p>
    <w:p w14:paraId="40CF2ED8" w14:textId="700AADEC" w:rsidR="00AD3BC6" w:rsidRDefault="005E492E" w:rsidP="00AD3BC6">
      <w:pPr>
        <w:spacing w:after="0" w:line="276" w:lineRule="auto"/>
        <w:jc w:val="both"/>
      </w:pPr>
      <w:r>
        <w:t>FM sagatavotais i</w:t>
      </w:r>
      <w:r w:rsidR="002E6E6B">
        <w:t>ndikatīv</w:t>
      </w:r>
      <w:r w:rsidR="00DD2BDA">
        <w:t>ais</w:t>
      </w:r>
      <w:r w:rsidR="00AD3BC6">
        <w:t xml:space="preserve"> </w:t>
      </w:r>
      <w:r w:rsidR="00B603E3">
        <w:t xml:space="preserve">papildus nepieciešamo resursu </w:t>
      </w:r>
      <w:r w:rsidR="001E7553">
        <w:t>piedāvājums</w:t>
      </w:r>
      <w:r w:rsidR="003C3BB9">
        <w:t xml:space="preserve"> </w:t>
      </w:r>
      <w:r w:rsidR="005C59EE" w:rsidRPr="005C59EE">
        <w:t>(skatīt Tabulā Nr.</w:t>
      </w:r>
      <w:r w:rsidR="005C59EE">
        <w:t>4</w:t>
      </w:r>
      <w:r w:rsidR="005C59EE" w:rsidRPr="005C59EE">
        <w:t>)</w:t>
      </w:r>
      <w:r w:rsidR="00AD3BC6">
        <w:t>:</w:t>
      </w:r>
    </w:p>
    <w:p w14:paraId="3B254C42" w14:textId="7CED7655" w:rsidR="00AC34C3" w:rsidRDefault="00AC34C3" w:rsidP="00AC34C3">
      <w:pPr>
        <w:spacing w:after="0" w:line="276" w:lineRule="auto"/>
        <w:jc w:val="right"/>
        <w:rPr>
          <w:sz w:val="22"/>
          <w:szCs w:val="22"/>
        </w:rPr>
      </w:pPr>
      <w:r w:rsidRPr="00AC34C3">
        <w:rPr>
          <w:sz w:val="22"/>
          <w:szCs w:val="22"/>
        </w:rPr>
        <w:t>Tabula Nr.</w:t>
      </w:r>
      <w:r w:rsidR="001E75E5">
        <w:rPr>
          <w:sz w:val="22"/>
          <w:szCs w:val="22"/>
        </w:rPr>
        <w:t>4</w:t>
      </w:r>
    </w:p>
    <w:tbl>
      <w:tblPr>
        <w:tblW w:w="597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791"/>
        <w:gridCol w:w="1070"/>
        <w:gridCol w:w="793"/>
        <w:gridCol w:w="1221"/>
        <w:gridCol w:w="776"/>
        <w:gridCol w:w="1167"/>
        <w:gridCol w:w="776"/>
        <w:gridCol w:w="1203"/>
        <w:gridCol w:w="787"/>
      </w:tblGrid>
      <w:tr w:rsidR="00BC4843" w:rsidRPr="006E2BC2" w14:paraId="373E4E2D" w14:textId="77777777" w:rsidTr="00BC4843">
        <w:trPr>
          <w:trHeight w:val="288"/>
        </w:trPr>
        <w:tc>
          <w:tcPr>
            <w:tcW w:w="725" w:type="pct"/>
            <w:shd w:val="clear" w:color="auto" w:fill="auto"/>
            <w:noWrap/>
            <w:vAlign w:val="center"/>
            <w:hideMark/>
          </w:tcPr>
          <w:p w14:paraId="28677CB7" w14:textId="77777777"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FM</w:t>
            </w:r>
          </w:p>
        </w:tc>
        <w:tc>
          <w:tcPr>
            <w:tcW w:w="394" w:type="pct"/>
            <w:vMerge w:val="restart"/>
            <w:shd w:val="clear" w:color="auto" w:fill="auto"/>
            <w:noWrap/>
            <w:vAlign w:val="center"/>
            <w:hideMark/>
          </w:tcPr>
          <w:p w14:paraId="252839AC" w14:textId="77777777" w:rsidR="00DD2BDA" w:rsidRPr="006E2BC2" w:rsidRDefault="00DD2BDA" w:rsidP="00B94E6D">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33" w:type="pct"/>
            <w:vMerge w:val="restart"/>
            <w:shd w:val="clear" w:color="auto" w:fill="auto"/>
            <w:noWrap/>
            <w:vAlign w:val="center"/>
            <w:hideMark/>
          </w:tcPr>
          <w:p w14:paraId="13393003" w14:textId="77777777"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IUB</w:t>
            </w:r>
          </w:p>
        </w:tc>
        <w:tc>
          <w:tcPr>
            <w:tcW w:w="395" w:type="pct"/>
            <w:vMerge w:val="restart"/>
            <w:shd w:val="clear" w:color="auto" w:fill="auto"/>
            <w:noWrap/>
            <w:vAlign w:val="center"/>
            <w:hideMark/>
          </w:tcPr>
          <w:p w14:paraId="13F3A33B" w14:textId="77777777" w:rsidR="00DD2BDA" w:rsidRPr="006E2BC2" w:rsidRDefault="00DD2BDA" w:rsidP="00B94E6D">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608" w:type="pct"/>
            <w:vMerge w:val="restart"/>
            <w:shd w:val="clear" w:color="auto" w:fill="auto"/>
            <w:noWrap/>
            <w:vAlign w:val="center"/>
            <w:hideMark/>
          </w:tcPr>
          <w:p w14:paraId="04C9D47F" w14:textId="1687866C"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CFLA</w:t>
            </w:r>
            <w:r>
              <w:rPr>
                <w:rStyle w:val="FootnoteReference"/>
                <w:rFonts w:eastAsia="Times New Roman"/>
                <w:b/>
                <w:bCs/>
                <w:color w:val="000000"/>
                <w:sz w:val="18"/>
                <w:szCs w:val="18"/>
                <w:lang w:eastAsia="lv-LV"/>
              </w:rPr>
              <w:footnoteReference w:id="29"/>
            </w:r>
          </w:p>
        </w:tc>
        <w:tc>
          <w:tcPr>
            <w:tcW w:w="386" w:type="pct"/>
            <w:vMerge w:val="restart"/>
            <w:shd w:val="clear" w:color="auto" w:fill="auto"/>
            <w:noWrap/>
            <w:vAlign w:val="center"/>
            <w:hideMark/>
          </w:tcPr>
          <w:p w14:paraId="4DE9B93E" w14:textId="77777777" w:rsidR="00DD2BDA" w:rsidRPr="006E2BC2" w:rsidRDefault="00DD2BDA" w:rsidP="00B94E6D">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81" w:type="pct"/>
            <w:vMerge w:val="restart"/>
            <w:shd w:val="clear" w:color="auto" w:fill="auto"/>
            <w:noWrap/>
            <w:vAlign w:val="center"/>
            <w:hideMark/>
          </w:tcPr>
          <w:p w14:paraId="1A7466B4" w14:textId="3430F299"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I</w:t>
            </w:r>
            <w:r>
              <w:rPr>
                <w:rFonts w:eastAsia="Times New Roman"/>
                <w:b/>
                <w:bCs/>
                <w:color w:val="000000"/>
                <w:sz w:val="18"/>
                <w:szCs w:val="18"/>
                <w:lang w:eastAsia="lv-LV"/>
              </w:rPr>
              <w:t>nstitūcijas</w:t>
            </w:r>
          </w:p>
        </w:tc>
        <w:tc>
          <w:tcPr>
            <w:tcW w:w="386" w:type="pct"/>
            <w:vMerge w:val="restart"/>
            <w:shd w:val="clear" w:color="auto" w:fill="auto"/>
            <w:noWrap/>
            <w:vAlign w:val="center"/>
            <w:hideMark/>
          </w:tcPr>
          <w:p w14:paraId="7E94BF6F" w14:textId="77777777" w:rsidR="00DD2BDA" w:rsidRPr="006E2BC2" w:rsidRDefault="00DD2BDA" w:rsidP="00B94E6D">
            <w:pPr>
              <w:spacing w:after="0"/>
              <w:jc w:val="center"/>
              <w:rPr>
                <w:rFonts w:eastAsia="Times New Roman"/>
                <w:color w:val="000000"/>
                <w:sz w:val="18"/>
                <w:szCs w:val="18"/>
                <w:lang w:eastAsia="lv-LV"/>
              </w:rPr>
            </w:pPr>
            <w:r w:rsidRPr="006E2BC2">
              <w:rPr>
                <w:rFonts w:eastAsia="Times New Roman"/>
                <w:color w:val="000000"/>
                <w:sz w:val="18"/>
                <w:szCs w:val="18"/>
                <w:lang w:eastAsia="lv-LV"/>
              </w:rPr>
              <w:t>Slodzes</w:t>
            </w:r>
          </w:p>
        </w:tc>
        <w:tc>
          <w:tcPr>
            <w:tcW w:w="599" w:type="pct"/>
            <w:vMerge w:val="restart"/>
            <w:shd w:val="clear" w:color="auto" w:fill="auto"/>
            <w:noWrap/>
            <w:vAlign w:val="center"/>
            <w:hideMark/>
          </w:tcPr>
          <w:p w14:paraId="2B81006F" w14:textId="77777777"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Kopā</w:t>
            </w:r>
          </w:p>
        </w:tc>
        <w:tc>
          <w:tcPr>
            <w:tcW w:w="392" w:type="pct"/>
            <w:vMerge w:val="restart"/>
            <w:shd w:val="clear" w:color="auto" w:fill="auto"/>
            <w:vAlign w:val="center"/>
          </w:tcPr>
          <w:p w14:paraId="0EFA6696" w14:textId="77777777" w:rsidR="00DD2BDA" w:rsidRPr="006E2BC2" w:rsidRDefault="00DD2BDA" w:rsidP="00B94E6D">
            <w:pPr>
              <w:spacing w:after="0"/>
              <w:jc w:val="center"/>
              <w:rPr>
                <w:rFonts w:eastAsia="Times New Roman"/>
                <w:b/>
                <w:bCs/>
                <w:color w:val="000000"/>
                <w:sz w:val="18"/>
                <w:szCs w:val="18"/>
                <w:lang w:eastAsia="lv-LV"/>
              </w:rPr>
            </w:pPr>
            <w:r>
              <w:rPr>
                <w:rFonts w:eastAsia="Times New Roman"/>
                <w:b/>
                <w:bCs/>
                <w:color w:val="000000"/>
                <w:sz w:val="18"/>
                <w:szCs w:val="18"/>
                <w:lang w:eastAsia="lv-LV"/>
              </w:rPr>
              <w:t>Slodzes kopā</w:t>
            </w:r>
          </w:p>
        </w:tc>
      </w:tr>
      <w:tr w:rsidR="00BC4843" w:rsidRPr="006E2BC2" w14:paraId="10CE2408" w14:textId="77777777" w:rsidTr="00BC4843">
        <w:trPr>
          <w:trHeight w:val="288"/>
        </w:trPr>
        <w:tc>
          <w:tcPr>
            <w:tcW w:w="725" w:type="pct"/>
            <w:shd w:val="clear" w:color="auto" w:fill="auto"/>
            <w:noWrap/>
            <w:vAlign w:val="center"/>
            <w:hideMark/>
          </w:tcPr>
          <w:p w14:paraId="10A74625" w14:textId="77777777" w:rsidR="00E62944"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 xml:space="preserve">(VI, RI, </w:t>
            </w:r>
          </w:p>
          <w:p w14:paraId="6AD63E05" w14:textId="2864597C" w:rsidR="00DD2BDA" w:rsidRPr="006E2BC2" w:rsidRDefault="00DD2BDA" w:rsidP="00B94E6D">
            <w:pPr>
              <w:spacing w:after="0"/>
              <w:jc w:val="center"/>
              <w:rPr>
                <w:rFonts w:eastAsia="Times New Roman"/>
                <w:b/>
                <w:bCs/>
                <w:color w:val="000000"/>
                <w:sz w:val="18"/>
                <w:szCs w:val="18"/>
                <w:lang w:eastAsia="lv-LV"/>
              </w:rPr>
            </w:pPr>
            <w:r w:rsidRPr="006E2BC2">
              <w:rPr>
                <w:rFonts w:eastAsia="Times New Roman"/>
                <w:b/>
                <w:bCs/>
                <w:color w:val="000000"/>
                <w:sz w:val="18"/>
                <w:szCs w:val="18"/>
                <w:lang w:eastAsia="lv-LV"/>
              </w:rPr>
              <w:t>KAKD</w:t>
            </w:r>
            <w:r w:rsidR="00E62944">
              <w:rPr>
                <w:rFonts w:eastAsia="Times New Roman"/>
                <w:b/>
                <w:bCs/>
                <w:color w:val="000000"/>
                <w:sz w:val="18"/>
                <w:szCs w:val="18"/>
                <w:lang w:eastAsia="lv-LV"/>
              </w:rPr>
              <w:t>, KD</w:t>
            </w:r>
            <w:r w:rsidRPr="006E2BC2">
              <w:rPr>
                <w:rFonts w:eastAsia="Times New Roman"/>
                <w:b/>
                <w:bCs/>
                <w:color w:val="000000"/>
                <w:sz w:val="18"/>
                <w:szCs w:val="18"/>
                <w:lang w:eastAsia="lv-LV"/>
              </w:rPr>
              <w:t>)</w:t>
            </w:r>
          </w:p>
        </w:tc>
        <w:tc>
          <w:tcPr>
            <w:tcW w:w="394" w:type="pct"/>
            <w:vMerge/>
            <w:vAlign w:val="center"/>
            <w:hideMark/>
          </w:tcPr>
          <w:p w14:paraId="381648B8" w14:textId="77777777" w:rsidR="00DD2BDA" w:rsidRPr="006E2BC2" w:rsidRDefault="00DD2BDA" w:rsidP="00B94E6D">
            <w:pPr>
              <w:spacing w:after="0"/>
              <w:jc w:val="center"/>
              <w:rPr>
                <w:rFonts w:eastAsia="Times New Roman"/>
                <w:color w:val="000000"/>
                <w:sz w:val="18"/>
                <w:szCs w:val="18"/>
                <w:lang w:eastAsia="lv-LV"/>
              </w:rPr>
            </w:pPr>
          </w:p>
        </w:tc>
        <w:tc>
          <w:tcPr>
            <w:tcW w:w="533" w:type="pct"/>
            <w:vMerge/>
            <w:vAlign w:val="center"/>
            <w:hideMark/>
          </w:tcPr>
          <w:p w14:paraId="49F07AE8" w14:textId="77777777" w:rsidR="00DD2BDA" w:rsidRPr="006E2BC2" w:rsidRDefault="00DD2BDA" w:rsidP="00B94E6D">
            <w:pPr>
              <w:spacing w:after="0"/>
              <w:jc w:val="center"/>
              <w:rPr>
                <w:rFonts w:eastAsia="Times New Roman"/>
                <w:b/>
                <w:bCs/>
                <w:color w:val="000000"/>
                <w:sz w:val="18"/>
                <w:szCs w:val="18"/>
                <w:lang w:eastAsia="lv-LV"/>
              </w:rPr>
            </w:pPr>
          </w:p>
        </w:tc>
        <w:tc>
          <w:tcPr>
            <w:tcW w:w="395" w:type="pct"/>
            <w:vMerge/>
            <w:vAlign w:val="center"/>
            <w:hideMark/>
          </w:tcPr>
          <w:p w14:paraId="29A7FBBC" w14:textId="77777777" w:rsidR="00DD2BDA" w:rsidRPr="006E2BC2" w:rsidRDefault="00DD2BDA" w:rsidP="00B94E6D">
            <w:pPr>
              <w:spacing w:after="0"/>
              <w:jc w:val="center"/>
              <w:rPr>
                <w:rFonts w:eastAsia="Times New Roman"/>
                <w:color w:val="000000"/>
                <w:sz w:val="18"/>
                <w:szCs w:val="18"/>
                <w:lang w:eastAsia="lv-LV"/>
              </w:rPr>
            </w:pPr>
          </w:p>
        </w:tc>
        <w:tc>
          <w:tcPr>
            <w:tcW w:w="608" w:type="pct"/>
            <w:vMerge/>
            <w:shd w:val="clear" w:color="auto" w:fill="auto"/>
            <w:noWrap/>
            <w:vAlign w:val="center"/>
            <w:hideMark/>
          </w:tcPr>
          <w:p w14:paraId="2C7132E4" w14:textId="77777777" w:rsidR="00DD2BDA" w:rsidRPr="006E2BC2" w:rsidRDefault="00DD2BDA" w:rsidP="00B94E6D">
            <w:pPr>
              <w:spacing w:after="0"/>
              <w:jc w:val="center"/>
              <w:rPr>
                <w:rFonts w:eastAsia="Times New Roman"/>
                <w:b/>
                <w:bCs/>
                <w:color w:val="000000"/>
                <w:sz w:val="18"/>
                <w:szCs w:val="18"/>
                <w:lang w:eastAsia="lv-LV"/>
              </w:rPr>
            </w:pPr>
          </w:p>
        </w:tc>
        <w:tc>
          <w:tcPr>
            <w:tcW w:w="386" w:type="pct"/>
            <w:vMerge/>
            <w:vAlign w:val="center"/>
            <w:hideMark/>
          </w:tcPr>
          <w:p w14:paraId="0DBA1545" w14:textId="77777777" w:rsidR="00DD2BDA" w:rsidRPr="006E2BC2" w:rsidRDefault="00DD2BDA" w:rsidP="00B94E6D">
            <w:pPr>
              <w:spacing w:after="0"/>
              <w:jc w:val="center"/>
              <w:rPr>
                <w:rFonts w:eastAsia="Times New Roman"/>
                <w:color w:val="000000"/>
                <w:sz w:val="18"/>
                <w:szCs w:val="18"/>
                <w:lang w:eastAsia="lv-LV"/>
              </w:rPr>
            </w:pPr>
          </w:p>
        </w:tc>
        <w:tc>
          <w:tcPr>
            <w:tcW w:w="581" w:type="pct"/>
            <w:vMerge/>
            <w:vAlign w:val="center"/>
            <w:hideMark/>
          </w:tcPr>
          <w:p w14:paraId="36CEB3A3" w14:textId="77777777" w:rsidR="00DD2BDA" w:rsidRPr="006E2BC2" w:rsidRDefault="00DD2BDA" w:rsidP="00B94E6D">
            <w:pPr>
              <w:spacing w:after="0"/>
              <w:jc w:val="center"/>
              <w:rPr>
                <w:rFonts w:eastAsia="Times New Roman"/>
                <w:b/>
                <w:bCs/>
                <w:color w:val="000000"/>
                <w:sz w:val="18"/>
                <w:szCs w:val="18"/>
                <w:lang w:eastAsia="lv-LV"/>
              </w:rPr>
            </w:pPr>
          </w:p>
        </w:tc>
        <w:tc>
          <w:tcPr>
            <w:tcW w:w="386" w:type="pct"/>
            <w:vMerge/>
            <w:vAlign w:val="center"/>
            <w:hideMark/>
          </w:tcPr>
          <w:p w14:paraId="32CE3734" w14:textId="77777777" w:rsidR="00DD2BDA" w:rsidRPr="006E2BC2" w:rsidRDefault="00DD2BDA" w:rsidP="00B94E6D">
            <w:pPr>
              <w:spacing w:after="0"/>
              <w:jc w:val="center"/>
              <w:rPr>
                <w:rFonts w:eastAsia="Times New Roman"/>
                <w:color w:val="000000"/>
                <w:sz w:val="18"/>
                <w:szCs w:val="18"/>
                <w:lang w:eastAsia="lv-LV"/>
              </w:rPr>
            </w:pPr>
          </w:p>
        </w:tc>
        <w:tc>
          <w:tcPr>
            <w:tcW w:w="599" w:type="pct"/>
            <w:vMerge/>
            <w:vAlign w:val="center"/>
            <w:hideMark/>
          </w:tcPr>
          <w:p w14:paraId="2C288834" w14:textId="77777777" w:rsidR="00DD2BDA" w:rsidRPr="006E2BC2" w:rsidRDefault="00DD2BDA" w:rsidP="00B94E6D">
            <w:pPr>
              <w:spacing w:after="0"/>
              <w:jc w:val="center"/>
              <w:rPr>
                <w:rFonts w:eastAsia="Times New Roman"/>
                <w:b/>
                <w:bCs/>
                <w:color w:val="000000"/>
                <w:sz w:val="18"/>
                <w:szCs w:val="18"/>
                <w:lang w:eastAsia="lv-LV"/>
              </w:rPr>
            </w:pPr>
          </w:p>
        </w:tc>
        <w:tc>
          <w:tcPr>
            <w:tcW w:w="392" w:type="pct"/>
            <w:vMerge/>
            <w:vAlign w:val="center"/>
          </w:tcPr>
          <w:p w14:paraId="29FE0337" w14:textId="77777777" w:rsidR="00DD2BDA" w:rsidRPr="006E2BC2" w:rsidRDefault="00DD2BDA" w:rsidP="00B94E6D">
            <w:pPr>
              <w:spacing w:after="0"/>
              <w:jc w:val="center"/>
              <w:rPr>
                <w:rFonts w:eastAsia="Times New Roman"/>
                <w:b/>
                <w:bCs/>
                <w:color w:val="000000"/>
                <w:sz w:val="18"/>
                <w:szCs w:val="18"/>
                <w:lang w:eastAsia="lv-LV"/>
              </w:rPr>
            </w:pPr>
          </w:p>
        </w:tc>
      </w:tr>
      <w:tr w:rsidR="00BC4843" w:rsidRPr="006E2BC2" w14:paraId="59E06291" w14:textId="77777777" w:rsidTr="00BC4843">
        <w:trPr>
          <w:trHeight w:val="288"/>
        </w:trPr>
        <w:tc>
          <w:tcPr>
            <w:tcW w:w="725" w:type="pct"/>
            <w:shd w:val="clear" w:color="auto" w:fill="auto"/>
            <w:vAlign w:val="center"/>
          </w:tcPr>
          <w:p w14:paraId="5A2F08EF" w14:textId="058E5673" w:rsidR="00DD2BDA" w:rsidRPr="006E2BC2" w:rsidRDefault="00DD2BDA" w:rsidP="00B94E6D">
            <w:pPr>
              <w:spacing w:after="0"/>
              <w:jc w:val="center"/>
              <w:rPr>
                <w:rFonts w:eastAsia="Times New Roman"/>
                <w:b/>
                <w:bCs/>
                <w:color w:val="000000"/>
                <w:sz w:val="18"/>
                <w:szCs w:val="18"/>
                <w:lang w:eastAsia="lv-LV"/>
              </w:rPr>
            </w:pPr>
            <w:r>
              <w:rPr>
                <w:b/>
                <w:bCs/>
                <w:color w:val="000000"/>
                <w:sz w:val="18"/>
                <w:szCs w:val="18"/>
              </w:rPr>
              <w:t>2 448</w:t>
            </w:r>
            <w:r w:rsidR="00B33F6C">
              <w:rPr>
                <w:b/>
                <w:bCs/>
                <w:color w:val="000000"/>
                <w:sz w:val="18"/>
                <w:szCs w:val="18"/>
              </w:rPr>
              <w:t> </w:t>
            </w:r>
            <w:r>
              <w:rPr>
                <w:b/>
                <w:bCs/>
                <w:color w:val="000000"/>
                <w:sz w:val="18"/>
                <w:szCs w:val="18"/>
              </w:rPr>
              <w:t>000</w:t>
            </w:r>
            <w:r w:rsidR="00B33F6C">
              <w:rPr>
                <w:b/>
                <w:bCs/>
                <w:color w:val="000000"/>
                <w:sz w:val="18"/>
                <w:szCs w:val="18"/>
              </w:rPr>
              <w:t xml:space="preserve"> </w:t>
            </w:r>
          </w:p>
        </w:tc>
        <w:tc>
          <w:tcPr>
            <w:tcW w:w="394" w:type="pct"/>
            <w:shd w:val="clear" w:color="auto" w:fill="auto"/>
            <w:noWrap/>
            <w:vAlign w:val="center"/>
          </w:tcPr>
          <w:p w14:paraId="5976A911" w14:textId="77777777" w:rsidR="00DD2BDA" w:rsidRPr="006E2BC2" w:rsidRDefault="00DD2BDA" w:rsidP="00B94E6D">
            <w:pPr>
              <w:spacing w:after="0"/>
              <w:jc w:val="center"/>
              <w:rPr>
                <w:rFonts w:eastAsia="Times New Roman"/>
                <w:color w:val="000000"/>
                <w:sz w:val="18"/>
                <w:szCs w:val="18"/>
                <w:lang w:eastAsia="lv-LV"/>
              </w:rPr>
            </w:pPr>
            <w:r>
              <w:rPr>
                <w:color w:val="000000"/>
                <w:sz w:val="18"/>
                <w:szCs w:val="18"/>
              </w:rPr>
              <w:t>12</w:t>
            </w:r>
          </w:p>
        </w:tc>
        <w:tc>
          <w:tcPr>
            <w:tcW w:w="533" w:type="pct"/>
            <w:shd w:val="clear" w:color="auto" w:fill="auto"/>
            <w:noWrap/>
            <w:vAlign w:val="center"/>
          </w:tcPr>
          <w:p w14:paraId="3840CEC3" w14:textId="40973007" w:rsidR="00DD2BDA" w:rsidRPr="006E2BC2" w:rsidRDefault="00DD2BDA" w:rsidP="00B94E6D">
            <w:pPr>
              <w:spacing w:after="0"/>
              <w:jc w:val="center"/>
              <w:rPr>
                <w:rFonts w:eastAsia="Times New Roman"/>
                <w:b/>
                <w:bCs/>
                <w:color w:val="000000"/>
                <w:sz w:val="18"/>
                <w:szCs w:val="18"/>
                <w:lang w:eastAsia="lv-LV"/>
              </w:rPr>
            </w:pPr>
            <w:r>
              <w:rPr>
                <w:b/>
                <w:bCs/>
                <w:color w:val="000000"/>
                <w:sz w:val="18"/>
                <w:szCs w:val="18"/>
              </w:rPr>
              <w:t xml:space="preserve">2 840 000 </w:t>
            </w:r>
          </w:p>
        </w:tc>
        <w:tc>
          <w:tcPr>
            <w:tcW w:w="395" w:type="pct"/>
            <w:shd w:val="clear" w:color="auto" w:fill="auto"/>
            <w:noWrap/>
            <w:vAlign w:val="center"/>
          </w:tcPr>
          <w:p w14:paraId="2948E3A9" w14:textId="77777777" w:rsidR="00DD2BDA" w:rsidRPr="006E2BC2" w:rsidRDefault="00DD2BDA" w:rsidP="00B94E6D">
            <w:pPr>
              <w:spacing w:after="0"/>
              <w:jc w:val="center"/>
              <w:rPr>
                <w:rFonts w:eastAsia="Times New Roman"/>
                <w:color w:val="000000"/>
                <w:sz w:val="18"/>
                <w:szCs w:val="18"/>
                <w:lang w:eastAsia="lv-LV"/>
              </w:rPr>
            </w:pPr>
            <w:r>
              <w:rPr>
                <w:color w:val="000000"/>
                <w:sz w:val="18"/>
                <w:szCs w:val="18"/>
              </w:rPr>
              <w:t>16</w:t>
            </w:r>
          </w:p>
        </w:tc>
        <w:tc>
          <w:tcPr>
            <w:tcW w:w="608" w:type="pct"/>
            <w:shd w:val="clear" w:color="auto" w:fill="auto"/>
            <w:vAlign w:val="center"/>
          </w:tcPr>
          <w:p w14:paraId="6C52958C" w14:textId="031A4381" w:rsidR="00DD2BDA" w:rsidRDefault="00DD2BDA" w:rsidP="00B94E6D">
            <w:pPr>
              <w:spacing w:after="0"/>
              <w:jc w:val="center"/>
              <w:rPr>
                <w:rFonts w:eastAsia="Times New Roman"/>
                <w:b/>
                <w:bCs/>
                <w:color w:val="000000"/>
                <w:sz w:val="18"/>
                <w:szCs w:val="18"/>
                <w:lang w:eastAsia="lv-LV"/>
              </w:rPr>
            </w:pPr>
            <w:r>
              <w:rPr>
                <w:b/>
                <w:bCs/>
                <w:color w:val="000000"/>
                <w:sz w:val="18"/>
                <w:szCs w:val="18"/>
              </w:rPr>
              <w:t xml:space="preserve">14 570 000 </w:t>
            </w:r>
          </w:p>
        </w:tc>
        <w:tc>
          <w:tcPr>
            <w:tcW w:w="386" w:type="pct"/>
            <w:shd w:val="clear" w:color="auto" w:fill="auto"/>
            <w:noWrap/>
            <w:vAlign w:val="center"/>
          </w:tcPr>
          <w:p w14:paraId="373FFCD1" w14:textId="77777777" w:rsidR="00DD2BDA" w:rsidRPr="006E2BC2" w:rsidRDefault="00DD2BDA" w:rsidP="00B94E6D">
            <w:pPr>
              <w:spacing w:after="0"/>
              <w:jc w:val="center"/>
              <w:rPr>
                <w:rFonts w:eastAsia="Times New Roman"/>
                <w:color w:val="000000"/>
                <w:sz w:val="18"/>
                <w:szCs w:val="18"/>
                <w:lang w:eastAsia="lv-LV"/>
              </w:rPr>
            </w:pPr>
            <w:r>
              <w:rPr>
                <w:color w:val="000000"/>
                <w:sz w:val="18"/>
                <w:szCs w:val="18"/>
              </w:rPr>
              <w:t>90</w:t>
            </w:r>
          </w:p>
        </w:tc>
        <w:tc>
          <w:tcPr>
            <w:tcW w:w="581" w:type="pct"/>
            <w:shd w:val="clear" w:color="auto" w:fill="auto"/>
            <w:vAlign w:val="center"/>
          </w:tcPr>
          <w:p w14:paraId="2CD2B991" w14:textId="219C5FDE" w:rsidR="00DD2BDA" w:rsidRPr="006E2BC2" w:rsidRDefault="00FA3859" w:rsidP="00B94E6D">
            <w:pPr>
              <w:spacing w:after="0"/>
              <w:jc w:val="center"/>
              <w:rPr>
                <w:rFonts w:eastAsia="Times New Roman"/>
                <w:b/>
                <w:bCs/>
                <w:color w:val="000000"/>
                <w:sz w:val="18"/>
                <w:szCs w:val="18"/>
                <w:lang w:eastAsia="lv-LV"/>
              </w:rPr>
            </w:pPr>
            <w:r w:rsidRPr="00FA3859">
              <w:rPr>
                <w:b/>
                <w:bCs/>
                <w:color w:val="000000"/>
                <w:sz w:val="18"/>
                <w:szCs w:val="18"/>
              </w:rPr>
              <w:t xml:space="preserve">12 444 000 </w:t>
            </w:r>
          </w:p>
        </w:tc>
        <w:tc>
          <w:tcPr>
            <w:tcW w:w="386" w:type="pct"/>
            <w:shd w:val="clear" w:color="auto" w:fill="auto"/>
            <w:noWrap/>
            <w:vAlign w:val="center"/>
          </w:tcPr>
          <w:p w14:paraId="2B25A8C6" w14:textId="2CA82DE9" w:rsidR="00DD2BDA" w:rsidRPr="006E2BC2" w:rsidRDefault="00AE26C4" w:rsidP="00B94E6D">
            <w:pPr>
              <w:spacing w:after="0"/>
              <w:jc w:val="center"/>
              <w:rPr>
                <w:rFonts w:eastAsia="Times New Roman"/>
                <w:color w:val="000000"/>
                <w:sz w:val="18"/>
                <w:szCs w:val="18"/>
                <w:lang w:eastAsia="lv-LV"/>
              </w:rPr>
            </w:pPr>
            <w:r>
              <w:rPr>
                <w:color w:val="000000"/>
                <w:sz w:val="18"/>
                <w:szCs w:val="18"/>
              </w:rPr>
              <w:t>6</w:t>
            </w:r>
            <w:r w:rsidR="00FA3859">
              <w:rPr>
                <w:color w:val="000000"/>
                <w:sz w:val="18"/>
                <w:szCs w:val="18"/>
              </w:rPr>
              <w:t>1</w:t>
            </w:r>
          </w:p>
        </w:tc>
        <w:tc>
          <w:tcPr>
            <w:tcW w:w="599" w:type="pct"/>
            <w:shd w:val="clear" w:color="auto" w:fill="auto"/>
            <w:noWrap/>
            <w:vAlign w:val="center"/>
          </w:tcPr>
          <w:p w14:paraId="5EC87724" w14:textId="07167D61" w:rsidR="00DD2BDA" w:rsidRDefault="0072006F" w:rsidP="00B94E6D">
            <w:pPr>
              <w:spacing w:after="0"/>
              <w:jc w:val="center"/>
              <w:rPr>
                <w:rFonts w:eastAsia="Times New Roman"/>
                <w:b/>
                <w:bCs/>
                <w:color w:val="000000"/>
                <w:sz w:val="18"/>
                <w:szCs w:val="18"/>
                <w:lang w:eastAsia="lv-LV"/>
              </w:rPr>
            </w:pPr>
            <w:r w:rsidRPr="0072006F">
              <w:rPr>
                <w:b/>
                <w:bCs/>
                <w:color w:val="000000"/>
                <w:sz w:val="18"/>
                <w:szCs w:val="18"/>
              </w:rPr>
              <w:t>32</w:t>
            </w:r>
            <w:r>
              <w:rPr>
                <w:b/>
                <w:bCs/>
                <w:color w:val="000000"/>
                <w:sz w:val="18"/>
                <w:szCs w:val="18"/>
              </w:rPr>
              <w:t> </w:t>
            </w:r>
            <w:r w:rsidRPr="0072006F">
              <w:rPr>
                <w:b/>
                <w:bCs/>
                <w:color w:val="000000"/>
                <w:sz w:val="18"/>
                <w:szCs w:val="18"/>
              </w:rPr>
              <w:t>302</w:t>
            </w:r>
            <w:r>
              <w:rPr>
                <w:b/>
                <w:bCs/>
                <w:color w:val="000000"/>
                <w:sz w:val="18"/>
                <w:szCs w:val="18"/>
              </w:rPr>
              <w:t xml:space="preserve"> </w:t>
            </w:r>
            <w:r w:rsidRPr="0072006F">
              <w:rPr>
                <w:b/>
                <w:bCs/>
                <w:color w:val="000000"/>
                <w:sz w:val="18"/>
                <w:szCs w:val="18"/>
              </w:rPr>
              <w:t>000</w:t>
            </w:r>
          </w:p>
        </w:tc>
        <w:tc>
          <w:tcPr>
            <w:tcW w:w="392" w:type="pct"/>
            <w:shd w:val="clear" w:color="auto" w:fill="auto"/>
            <w:noWrap/>
            <w:vAlign w:val="center"/>
          </w:tcPr>
          <w:p w14:paraId="4B8F774B" w14:textId="5A0D66CF" w:rsidR="00DD2BDA" w:rsidRPr="006E2BC2" w:rsidRDefault="00AE26C4" w:rsidP="00B94E6D">
            <w:pPr>
              <w:spacing w:after="0"/>
              <w:jc w:val="center"/>
              <w:rPr>
                <w:rFonts w:eastAsia="Times New Roman"/>
                <w:color w:val="000000"/>
                <w:sz w:val="18"/>
                <w:szCs w:val="18"/>
                <w:lang w:eastAsia="lv-LV"/>
              </w:rPr>
            </w:pPr>
            <w:r>
              <w:rPr>
                <w:color w:val="000000"/>
                <w:sz w:val="18"/>
                <w:szCs w:val="18"/>
              </w:rPr>
              <w:t>17</w:t>
            </w:r>
            <w:r w:rsidR="00FA3859">
              <w:rPr>
                <w:color w:val="000000"/>
                <w:sz w:val="18"/>
                <w:szCs w:val="18"/>
              </w:rPr>
              <w:t>9</w:t>
            </w:r>
          </w:p>
        </w:tc>
      </w:tr>
    </w:tbl>
    <w:p w14:paraId="255D5C20" w14:textId="09A3F18D" w:rsidR="006F5BDA" w:rsidRDefault="006F5BDA" w:rsidP="008140D2">
      <w:pPr>
        <w:suppressAutoHyphens/>
        <w:autoSpaceDN w:val="0"/>
        <w:spacing w:after="0" w:line="240" w:lineRule="auto"/>
        <w:jc w:val="both"/>
        <w:textAlignment w:val="baseline"/>
        <w:rPr>
          <w:rFonts w:eastAsia="Calibri"/>
          <w:sz w:val="20"/>
          <w:szCs w:val="20"/>
        </w:rPr>
      </w:pPr>
    </w:p>
    <w:p w14:paraId="5AE0BA0C" w14:textId="0C3DC607" w:rsidR="004C5284" w:rsidRDefault="004C5284" w:rsidP="00E20B01">
      <w:pPr>
        <w:pStyle w:val="ListParagraph"/>
        <w:suppressAutoHyphens/>
        <w:autoSpaceDN w:val="0"/>
        <w:spacing w:after="0" w:line="276" w:lineRule="auto"/>
        <w:ind w:left="0"/>
        <w:jc w:val="both"/>
        <w:textAlignment w:val="baseline"/>
      </w:pPr>
      <w:r>
        <w:t xml:space="preserve">Katras </w:t>
      </w:r>
      <w:r w:rsidR="001879E7">
        <w:t xml:space="preserve">institūcijas </w:t>
      </w:r>
      <w:r>
        <w:t>atbildīb</w:t>
      </w:r>
      <w:r w:rsidR="006870F4">
        <w:t>ā</w:t>
      </w:r>
      <w:r>
        <w:t xml:space="preserve"> ir nodrošināt nepieciešamo cilvēkresursu apjomu un veicamo funkciju izpildi piešķirtā finansējuma ietvaros</w:t>
      </w:r>
      <w:r w:rsidR="00DE73D2">
        <w:t xml:space="preserve"> </w:t>
      </w:r>
      <w:r w:rsidR="009B0273" w:rsidRPr="009B0273">
        <w:t>Atveseļošanas fonda</w:t>
      </w:r>
      <w:r w:rsidR="00DE73D2">
        <w:t xml:space="preserve"> plāna ieviešanai</w:t>
      </w:r>
      <w:r>
        <w:t xml:space="preserve">. </w:t>
      </w:r>
      <w:r w:rsidR="001879E7">
        <w:t>Institūcija</w:t>
      </w:r>
      <w:r w:rsidR="001879E7" w:rsidRPr="004C5284">
        <w:t xml:space="preserve"> </w:t>
      </w:r>
      <w:r w:rsidRPr="004C5284">
        <w:t>ir pati tiesīga noteikt</w:t>
      </w:r>
      <w:r w:rsidR="007A4AAC">
        <w:t xml:space="preserve"> un izvērtēt</w:t>
      </w:r>
      <w:r w:rsidRPr="004C5284">
        <w:t>, kādi</w:t>
      </w:r>
      <w:r w:rsidR="000A1AC2">
        <w:t xml:space="preserve"> risinājumi piemērojami, lai to veiktu</w:t>
      </w:r>
      <w:r w:rsidR="007A4AAC">
        <w:t xml:space="preserve">, ņemot vērā </w:t>
      </w:r>
      <w:r w:rsidR="007A4AAC" w:rsidRPr="007A4AAC">
        <w:t>Valsts pārvaldes reformu</w:t>
      </w:r>
      <w:r w:rsidR="007A4AAC">
        <w:t xml:space="preserve"> plānā</w:t>
      </w:r>
      <w:r w:rsidR="007A4AAC">
        <w:rPr>
          <w:rStyle w:val="FootnoteReference"/>
        </w:rPr>
        <w:footnoteReference w:id="30"/>
      </w:r>
      <w:r w:rsidR="007A4AAC">
        <w:t xml:space="preserve"> noteikto, ka ir nepieciešams palielināt publisko pakalpojumu sniegšanas efektivitāti un lietderību un </w:t>
      </w:r>
      <w:r w:rsidR="00DE73D2">
        <w:t xml:space="preserve">mazināt </w:t>
      </w:r>
      <w:r w:rsidR="007A4AAC">
        <w:t>administratīvo slogu</w:t>
      </w:r>
      <w:r w:rsidR="00880F63">
        <w:rPr>
          <w:rStyle w:val="FootnoteReference"/>
        </w:rPr>
        <w:footnoteReference w:id="31"/>
      </w:r>
      <w:r w:rsidR="007A4AAC">
        <w:t xml:space="preserve">. </w:t>
      </w:r>
      <w:r w:rsidR="00101557">
        <w:t xml:space="preserve">Līdz ar to katra </w:t>
      </w:r>
      <w:r w:rsidR="001879E7">
        <w:t xml:space="preserve">institūcija </w:t>
      </w:r>
      <w:r w:rsidR="00101557">
        <w:t xml:space="preserve">izvērtē sev piemērotāko risinājuma nodrošināšanu, ņemot vērā </w:t>
      </w:r>
      <w:r w:rsidR="009B0273" w:rsidRPr="009B0273">
        <w:t>Atveseļošanas fonda</w:t>
      </w:r>
      <w:r w:rsidR="00101557" w:rsidRPr="00101557">
        <w:t xml:space="preserve"> plān</w:t>
      </w:r>
      <w:r w:rsidR="00101557">
        <w:t xml:space="preserve">ā paredzētās reformas un investīcijas. </w:t>
      </w:r>
    </w:p>
    <w:p w14:paraId="5467BCC8" w14:textId="77777777" w:rsidR="00212EEE" w:rsidRDefault="00212EEE" w:rsidP="00827CC8">
      <w:pPr>
        <w:suppressAutoHyphens/>
        <w:autoSpaceDN w:val="0"/>
        <w:spacing w:after="0" w:line="240" w:lineRule="auto"/>
        <w:jc w:val="both"/>
        <w:textAlignment w:val="baseline"/>
        <w:rPr>
          <w:rFonts w:eastAsia="Calibri"/>
        </w:rPr>
      </w:pPr>
    </w:p>
    <w:p w14:paraId="039A75AE" w14:textId="6DCA2A00" w:rsidR="00533637" w:rsidRDefault="009B0273" w:rsidP="00827CC8">
      <w:pPr>
        <w:suppressAutoHyphens/>
        <w:autoSpaceDN w:val="0"/>
        <w:spacing w:after="0" w:line="240" w:lineRule="auto"/>
        <w:jc w:val="both"/>
        <w:textAlignment w:val="baseline"/>
        <w:rPr>
          <w:rFonts w:eastAsia="Calibri"/>
        </w:rPr>
      </w:pPr>
      <w:r w:rsidRPr="009B0273">
        <w:rPr>
          <w:rFonts w:eastAsia="Calibri"/>
        </w:rPr>
        <w:t>Atveseļošanas fonda</w:t>
      </w:r>
      <w:r w:rsidR="00B92CD7" w:rsidRPr="00B92CD7">
        <w:rPr>
          <w:rFonts w:eastAsia="Calibri"/>
        </w:rPr>
        <w:t xml:space="preserve"> plāna </w:t>
      </w:r>
      <w:r w:rsidR="00DE73D2">
        <w:rPr>
          <w:rFonts w:eastAsia="Calibri"/>
        </w:rPr>
        <w:t>VKS</w:t>
      </w:r>
      <w:r w:rsidR="00B92CD7" w:rsidRPr="00B92CD7">
        <w:rPr>
          <w:rFonts w:eastAsia="Calibri"/>
        </w:rPr>
        <w:t xml:space="preserve"> </w:t>
      </w:r>
      <w:r w:rsidR="00F74A34">
        <w:rPr>
          <w:rFonts w:eastAsia="Calibri"/>
        </w:rPr>
        <w:t xml:space="preserve">indikatīvo </w:t>
      </w:r>
      <w:r w:rsidR="00B92CD7" w:rsidRPr="00B92CD7">
        <w:rPr>
          <w:rFonts w:eastAsia="Calibri"/>
        </w:rPr>
        <w:t xml:space="preserve">izmaksu sadalījums uz visu </w:t>
      </w:r>
      <w:r w:rsidRPr="009B0273">
        <w:rPr>
          <w:rFonts w:eastAsia="Calibri"/>
        </w:rPr>
        <w:t>Atveseļošanas fonda</w:t>
      </w:r>
      <w:r w:rsidR="00466AC3">
        <w:rPr>
          <w:rFonts w:eastAsia="Calibri"/>
        </w:rPr>
        <w:t xml:space="preserve"> plāna ieviešanas </w:t>
      </w:r>
      <w:r w:rsidR="00B92CD7" w:rsidRPr="00B92CD7">
        <w:rPr>
          <w:rFonts w:eastAsia="Calibri"/>
        </w:rPr>
        <w:t>periodu</w:t>
      </w:r>
      <w:r>
        <w:rPr>
          <w:rFonts w:eastAsia="Calibri"/>
        </w:rPr>
        <w:t xml:space="preserve"> </w:t>
      </w:r>
      <w:r w:rsidR="005C59EE" w:rsidRPr="005C59EE">
        <w:rPr>
          <w:rFonts w:eastAsia="Calibri"/>
        </w:rPr>
        <w:t>(skatīt Tabulā Nr.</w:t>
      </w:r>
      <w:r w:rsidR="005C59EE">
        <w:rPr>
          <w:rFonts w:eastAsia="Calibri"/>
        </w:rPr>
        <w:t>5</w:t>
      </w:r>
      <w:r w:rsidR="005C59EE" w:rsidRPr="005C59EE">
        <w:rPr>
          <w:rFonts w:eastAsia="Calibri"/>
        </w:rPr>
        <w:t>)</w:t>
      </w:r>
      <w:r w:rsidR="00B92CD7" w:rsidRPr="00B92CD7">
        <w:rPr>
          <w:rFonts w:eastAsia="Calibri"/>
        </w:rPr>
        <w:t>:</w:t>
      </w:r>
    </w:p>
    <w:p w14:paraId="2CB2827F" w14:textId="77777777" w:rsidR="00C062B5" w:rsidRDefault="00C062B5" w:rsidP="00533637">
      <w:pPr>
        <w:suppressAutoHyphens/>
        <w:autoSpaceDN w:val="0"/>
        <w:spacing w:after="0" w:line="240" w:lineRule="auto"/>
        <w:jc w:val="right"/>
        <w:textAlignment w:val="baseline"/>
        <w:rPr>
          <w:rFonts w:eastAsia="Calibri"/>
          <w:sz w:val="22"/>
          <w:szCs w:val="22"/>
        </w:rPr>
      </w:pPr>
    </w:p>
    <w:p w14:paraId="0C1FD176" w14:textId="17157191" w:rsidR="00533637" w:rsidRPr="00533637" w:rsidRDefault="00533637" w:rsidP="00533637">
      <w:pPr>
        <w:suppressAutoHyphens/>
        <w:autoSpaceDN w:val="0"/>
        <w:spacing w:after="0" w:line="240" w:lineRule="auto"/>
        <w:jc w:val="right"/>
        <w:textAlignment w:val="baseline"/>
        <w:rPr>
          <w:rFonts w:eastAsia="Calibri"/>
          <w:sz w:val="22"/>
          <w:szCs w:val="22"/>
        </w:rPr>
      </w:pPr>
      <w:r w:rsidRPr="00533637">
        <w:rPr>
          <w:rFonts w:eastAsia="Calibri"/>
          <w:sz w:val="22"/>
          <w:szCs w:val="22"/>
        </w:rPr>
        <w:t>Tabula Nr.</w:t>
      </w:r>
      <w:r w:rsidR="001E75E5">
        <w:rPr>
          <w:rFonts w:eastAsia="Calibri"/>
          <w:sz w:val="22"/>
          <w:szCs w:val="22"/>
        </w:rPr>
        <w:t>5</w:t>
      </w:r>
    </w:p>
    <w:tbl>
      <w:tblPr>
        <w:tblW w:w="5501" w:type="pct"/>
        <w:tblInd w:w="-10" w:type="dxa"/>
        <w:tblLayout w:type="fixed"/>
        <w:tblLook w:val="04A0" w:firstRow="1" w:lastRow="0" w:firstColumn="1" w:lastColumn="0" w:noHBand="0" w:noVBand="1"/>
      </w:tblPr>
      <w:tblGrid>
        <w:gridCol w:w="1561"/>
        <w:gridCol w:w="1097"/>
        <w:gridCol w:w="1020"/>
        <w:gridCol w:w="1024"/>
        <w:gridCol w:w="1130"/>
        <w:gridCol w:w="1130"/>
        <w:gridCol w:w="1133"/>
        <w:gridCol w:w="1133"/>
      </w:tblGrid>
      <w:tr w:rsidR="007E3F62" w:rsidRPr="008A1227" w14:paraId="3E9A78A4" w14:textId="77777777" w:rsidTr="00951C52">
        <w:trPr>
          <w:trHeight w:val="324"/>
        </w:trPr>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CC6D2" w14:textId="77777777" w:rsidR="00DA2327" w:rsidRPr="008A1227" w:rsidRDefault="00DA2327" w:rsidP="00DA2327">
            <w:pPr>
              <w:spacing w:after="0" w:line="240" w:lineRule="auto"/>
              <w:rPr>
                <w:rFonts w:eastAsia="Times New Roman"/>
                <w:color w:val="000000"/>
                <w:sz w:val="20"/>
                <w:szCs w:val="20"/>
                <w:lang w:eastAsia="lv-LV"/>
              </w:rPr>
            </w:pPr>
            <w:r w:rsidRPr="008A1227">
              <w:rPr>
                <w:rFonts w:eastAsia="Times New Roman"/>
                <w:color w:val="000000"/>
                <w:sz w:val="20"/>
                <w:szCs w:val="20"/>
                <w:lang w:eastAsia="lv-LV"/>
              </w:rPr>
              <w:t> </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65541951" w14:textId="073FE4CA"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2021</w:t>
            </w:r>
            <w:r w:rsidR="008E230C">
              <w:rPr>
                <w:rStyle w:val="FootnoteReference"/>
                <w:rFonts w:eastAsia="Times New Roman"/>
                <w:color w:val="000000"/>
                <w:sz w:val="20"/>
                <w:szCs w:val="20"/>
                <w:lang w:eastAsia="lv-LV"/>
              </w:rPr>
              <w:footnoteReference w:id="32"/>
            </w:r>
          </w:p>
        </w:tc>
        <w:tc>
          <w:tcPr>
            <w:tcW w:w="552" w:type="pct"/>
            <w:tcBorders>
              <w:top w:val="single" w:sz="8" w:space="0" w:color="auto"/>
              <w:left w:val="nil"/>
              <w:bottom w:val="single" w:sz="8" w:space="0" w:color="auto"/>
              <w:right w:val="single" w:sz="8" w:space="0" w:color="auto"/>
            </w:tcBorders>
            <w:shd w:val="clear" w:color="auto" w:fill="auto"/>
            <w:noWrap/>
            <w:vAlign w:val="center"/>
            <w:hideMark/>
          </w:tcPr>
          <w:p w14:paraId="665C1DA7"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2022</w:t>
            </w:r>
          </w:p>
        </w:tc>
        <w:tc>
          <w:tcPr>
            <w:tcW w:w="555" w:type="pct"/>
            <w:tcBorders>
              <w:top w:val="single" w:sz="8" w:space="0" w:color="auto"/>
              <w:left w:val="nil"/>
              <w:bottom w:val="single" w:sz="8" w:space="0" w:color="auto"/>
              <w:right w:val="single" w:sz="8" w:space="0" w:color="auto"/>
            </w:tcBorders>
            <w:shd w:val="clear" w:color="auto" w:fill="auto"/>
            <w:noWrap/>
            <w:vAlign w:val="center"/>
            <w:hideMark/>
          </w:tcPr>
          <w:p w14:paraId="76EA78B7"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2023</w:t>
            </w:r>
          </w:p>
        </w:tc>
        <w:tc>
          <w:tcPr>
            <w:tcW w:w="612" w:type="pct"/>
            <w:tcBorders>
              <w:top w:val="single" w:sz="8" w:space="0" w:color="auto"/>
              <w:left w:val="nil"/>
              <w:bottom w:val="single" w:sz="8" w:space="0" w:color="auto"/>
              <w:right w:val="single" w:sz="8" w:space="0" w:color="auto"/>
            </w:tcBorders>
            <w:shd w:val="clear" w:color="auto" w:fill="auto"/>
            <w:noWrap/>
            <w:vAlign w:val="center"/>
            <w:hideMark/>
          </w:tcPr>
          <w:p w14:paraId="1C25F7A6"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2024</w:t>
            </w:r>
          </w:p>
        </w:tc>
        <w:tc>
          <w:tcPr>
            <w:tcW w:w="612" w:type="pct"/>
            <w:tcBorders>
              <w:top w:val="single" w:sz="8" w:space="0" w:color="auto"/>
              <w:left w:val="nil"/>
              <w:bottom w:val="single" w:sz="8" w:space="0" w:color="auto"/>
              <w:right w:val="single" w:sz="8" w:space="0" w:color="auto"/>
            </w:tcBorders>
            <w:shd w:val="clear" w:color="auto" w:fill="auto"/>
            <w:noWrap/>
            <w:vAlign w:val="center"/>
            <w:hideMark/>
          </w:tcPr>
          <w:p w14:paraId="779A55D2"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2025</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14:paraId="76DB542B"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2026</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14:paraId="5738F1A0"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2027</w:t>
            </w:r>
          </w:p>
        </w:tc>
      </w:tr>
      <w:tr w:rsidR="007E3F62" w:rsidRPr="008A1227" w14:paraId="0F3FBB84" w14:textId="77777777" w:rsidTr="00951C52">
        <w:trPr>
          <w:trHeight w:val="300"/>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47130C89"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IUB</w:t>
            </w:r>
          </w:p>
        </w:tc>
        <w:tc>
          <w:tcPr>
            <w:tcW w:w="594" w:type="pct"/>
            <w:tcBorders>
              <w:top w:val="nil"/>
              <w:left w:val="nil"/>
              <w:bottom w:val="single" w:sz="8" w:space="0" w:color="auto"/>
              <w:right w:val="single" w:sz="8" w:space="0" w:color="auto"/>
            </w:tcBorders>
            <w:shd w:val="clear" w:color="auto" w:fill="auto"/>
            <w:noWrap/>
            <w:vAlign w:val="center"/>
            <w:hideMark/>
          </w:tcPr>
          <w:p w14:paraId="40D4BF42"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0</w:t>
            </w:r>
          </w:p>
        </w:tc>
        <w:tc>
          <w:tcPr>
            <w:tcW w:w="552" w:type="pct"/>
            <w:tcBorders>
              <w:top w:val="nil"/>
              <w:left w:val="nil"/>
              <w:bottom w:val="single" w:sz="8" w:space="0" w:color="auto"/>
              <w:right w:val="single" w:sz="8" w:space="0" w:color="auto"/>
            </w:tcBorders>
            <w:shd w:val="clear" w:color="auto" w:fill="auto"/>
            <w:noWrap/>
            <w:vAlign w:val="center"/>
            <w:hideMark/>
          </w:tcPr>
          <w:p w14:paraId="3CBA1880" w14:textId="17A12086"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500</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555" w:type="pct"/>
            <w:tcBorders>
              <w:top w:val="nil"/>
              <w:left w:val="nil"/>
              <w:bottom w:val="single" w:sz="8" w:space="0" w:color="auto"/>
              <w:right w:val="single" w:sz="8" w:space="0" w:color="auto"/>
            </w:tcBorders>
            <w:shd w:val="clear" w:color="auto" w:fill="auto"/>
            <w:noWrap/>
            <w:vAlign w:val="center"/>
            <w:hideMark/>
          </w:tcPr>
          <w:p w14:paraId="4A4AB1F4" w14:textId="1B697798"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468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2E99B41C" w14:textId="381DBD90"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468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599F612D" w14:textId="67FE11C1"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468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525FCE5E" w14:textId="18FC0E2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468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407CCFE1" w14:textId="18B7BD5F"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468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r>
      <w:tr w:rsidR="007E3F62" w:rsidRPr="008A1227" w14:paraId="5F718B6A" w14:textId="77777777" w:rsidTr="00951C52">
        <w:trPr>
          <w:trHeight w:val="300"/>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289963E5" w14:textId="77777777" w:rsidR="00951C52"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FM</w:t>
            </w:r>
          </w:p>
          <w:p w14:paraId="1B096317" w14:textId="6364AEF9" w:rsidR="00DA2327" w:rsidRPr="00951C52" w:rsidRDefault="00E8565D" w:rsidP="00DA2327">
            <w:pPr>
              <w:spacing w:after="0" w:line="240" w:lineRule="auto"/>
              <w:jc w:val="center"/>
              <w:rPr>
                <w:rFonts w:eastAsia="Times New Roman"/>
                <w:color w:val="000000"/>
                <w:sz w:val="18"/>
                <w:szCs w:val="18"/>
                <w:lang w:eastAsia="lv-LV"/>
              </w:rPr>
            </w:pPr>
            <w:r w:rsidRPr="00951C52">
              <w:rPr>
                <w:rFonts w:eastAsia="Times New Roman"/>
                <w:color w:val="000000"/>
                <w:sz w:val="18"/>
                <w:szCs w:val="18"/>
                <w:lang w:eastAsia="lv-LV"/>
              </w:rPr>
              <w:t xml:space="preserve"> (VI, RI, KAKD)</w:t>
            </w:r>
          </w:p>
        </w:tc>
        <w:tc>
          <w:tcPr>
            <w:tcW w:w="594" w:type="pct"/>
            <w:tcBorders>
              <w:top w:val="nil"/>
              <w:left w:val="nil"/>
              <w:bottom w:val="single" w:sz="8" w:space="0" w:color="auto"/>
              <w:right w:val="single" w:sz="8" w:space="0" w:color="auto"/>
            </w:tcBorders>
            <w:shd w:val="clear" w:color="auto" w:fill="auto"/>
            <w:noWrap/>
            <w:vAlign w:val="center"/>
            <w:hideMark/>
          </w:tcPr>
          <w:p w14:paraId="522B1C4E" w14:textId="2A6B1336"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204</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552" w:type="pct"/>
            <w:tcBorders>
              <w:top w:val="nil"/>
              <w:left w:val="nil"/>
              <w:bottom w:val="single" w:sz="8" w:space="0" w:color="auto"/>
              <w:right w:val="single" w:sz="8" w:space="0" w:color="auto"/>
            </w:tcBorders>
            <w:shd w:val="clear" w:color="auto" w:fill="auto"/>
            <w:noWrap/>
            <w:vAlign w:val="center"/>
            <w:hideMark/>
          </w:tcPr>
          <w:p w14:paraId="5AE9C9F4" w14:textId="08755095"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408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555" w:type="pct"/>
            <w:tcBorders>
              <w:top w:val="nil"/>
              <w:left w:val="nil"/>
              <w:bottom w:val="single" w:sz="8" w:space="0" w:color="auto"/>
              <w:right w:val="single" w:sz="8" w:space="0" w:color="auto"/>
            </w:tcBorders>
            <w:shd w:val="clear" w:color="auto" w:fill="auto"/>
            <w:noWrap/>
            <w:vAlign w:val="center"/>
            <w:hideMark/>
          </w:tcPr>
          <w:p w14:paraId="55F58BE0" w14:textId="01047A25"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408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48040257" w14:textId="23CE9A83"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408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5CDAA802" w14:textId="480A487D"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408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4B6C3DDA" w14:textId="4D8BD1E4"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408</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128DA7F8" w14:textId="5BE898C3"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204</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r>
      <w:tr w:rsidR="007E3F62" w:rsidRPr="008A1227" w14:paraId="520B0E08" w14:textId="77777777" w:rsidTr="00951C52">
        <w:trPr>
          <w:trHeight w:val="300"/>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21FE55CC" w14:textId="77777777"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CFLA</w:t>
            </w:r>
          </w:p>
        </w:tc>
        <w:tc>
          <w:tcPr>
            <w:tcW w:w="594" w:type="pct"/>
            <w:tcBorders>
              <w:top w:val="nil"/>
              <w:left w:val="nil"/>
              <w:bottom w:val="single" w:sz="8" w:space="0" w:color="auto"/>
              <w:right w:val="single" w:sz="8" w:space="0" w:color="auto"/>
            </w:tcBorders>
            <w:shd w:val="clear" w:color="auto" w:fill="auto"/>
            <w:noWrap/>
            <w:vAlign w:val="center"/>
            <w:hideMark/>
          </w:tcPr>
          <w:p w14:paraId="352E495A" w14:textId="68CCD35C"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210</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552" w:type="pct"/>
            <w:tcBorders>
              <w:top w:val="nil"/>
              <w:left w:val="nil"/>
              <w:bottom w:val="single" w:sz="8" w:space="0" w:color="auto"/>
              <w:right w:val="single" w:sz="8" w:space="0" w:color="auto"/>
            </w:tcBorders>
            <w:shd w:val="clear" w:color="auto" w:fill="auto"/>
            <w:noWrap/>
            <w:vAlign w:val="center"/>
            <w:hideMark/>
          </w:tcPr>
          <w:p w14:paraId="4BC0DE28" w14:textId="57F260B8"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3</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412</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555" w:type="pct"/>
            <w:tcBorders>
              <w:top w:val="nil"/>
              <w:left w:val="nil"/>
              <w:bottom w:val="single" w:sz="8" w:space="0" w:color="auto"/>
              <w:right w:val="single" w:sz="8" w:space="0" w:color="auto"/>
            </w:tcBorders>
            <w:shd w:val="clear" w:color="auto" w:fill="auto"/>
            <w:noWrap/>
            <w:vAlign w:val="center"/>
            <w:hideMark/>
          </w:tcPr>
          <w:p w14:paraId="411783EA" w14:textId="544C7E35"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3</w:t>
            </w:r>
            <w:r w:rsidR="00C24388">
              <w:rPr>
                <w:rFonts w:eastAsia="Times New Roman"/>
                <w:color w:val="000000"/>
                <w:sz w:val="20"/>
                <w:szCs w:val="20"/>
                <w:lang w:eastAsia="lv-LV"/>
              </w:rPr>
              <w:t> </w:t>
            </w:r>
            <w:r w:rsidRPr="008A1227">
              <w:rPr>
                <w:rFonts w:eastAsia="Times New Roman"/>
                <w:color w:val="000000"/>
                <w:sz w:val="20"/>
                <w:szCs w:val="20"/>
                <w:lang w:eastAsia="lv-LV"/>
              </w:rPr>
              <w:t>212</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3E2C8A9D" w14:textId="3E1C29F4"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w:t>
            </w:r>
            <w:r w:rsidR="00C24388">
              <w:rPr>
                <w:rFonts w:eastAsia="Times New Roman"/>
                <w:color w:val="000000"/>
                <w:sz w:val="20"/>
                <w:szCs w:val="20"/>
                <w:lang w:eastAsia="lv-LV"/>
              </w:rPr>
              <w:t> </w:t>
            </w:r>
            <w:r w:rsidRPr="008A1227">
              <w:rPr>
                <w:rFonts w:eastAsia="Times New Roman"/>
                <w:color w:val="000000"/>
                <w:sz w:val="20"/>
                <w:szCs w:val="20"/>
                <w:lang w:eastAsia="lv-LV"/>
              </w:rPr>
              <w:t>862</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hideMark/>
          </w:tcPr>
          <w:p w14:paraId="4DCE845F" w14:textId="3CBB527B"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w:t>
            </w:r>
            <w:r w:rsidR="00C24388">
              <w:rPr>
                <w:rFonts w:eastAsia="Times New Roman"/>
                <w:color w:val="000000"/>
                <w:sz w:val="20"/>
                <w:szCs w:val="20"/>
                <w:lang w:eastAsia="lv-LV"/>
              </w:rPr>
              <w:t> </w:t>
            </w:r>
            <w:r w:rsidRPr="008A1227">
              <w:rPr>
                <w:rFonts w:eastAsia="Times New Roman"/>
                <w:color w:val="000000"/>
                <w:sz w:val="20"/>
                <w:szCs w:val="20"/>
                <w:lang w:eastAsia="lv-LV"/>
              </w:rPr>
              <w:t>712</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06B91A77" w14:textId="01569895"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2</w:t>
            </w:r>
            <w:r w:rsidR="00C24388">
              <w:rPr>
                <w:rFonts w:eastAsia="Times New Roman"/>
                <w:color w:val="000000"/>
                <w:sz w:val="20"/>
                <w:szCs w:val="20"/>
                <w:lang w:eastAsia="lv-LV"/>
              </w:rPr>
              <w:t> </w:t>
            </w:r>
            <w:r w:rsidRPr="008A1227">
              <w:rPr>
                <w:rFonts w:eastAsia="Times New Roman"/>
                <w:color w:val="000000"/>
                <w:sz w:val="20"/>
                <w:szCs w:val="20"/>
                <w:lang w:eastAsia="lv-LV"/>
              </w:rPr>
              <w:t>112</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hideMark/>
          </w:tcPr>
          <w:p w14:paraId="0638F491" w14:textId="053953F9" w:rsidR="00DA2327" w:rsidRPr="008A1227" w:rsidRDefault="00DA2327" w:rsidP="00DA2327">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50</w:t>
            </w:r>
            <w:r w:rsidR="00C24388">
              <w:rPr>
                <w:rFonts w:eastAsia="Times New Roman"/>
                <w:color w:val="000000"/>
                <w:sz w:val="20"/>
                <w:szCs w:val="20"/>
                <w:lang w:eastAsia="lv-LV"/>
              </w:rPr>
              <w:t xml:space="preserve"> </w:t>
            </w:r>
            <w:r w:rsidRPr="008A1227">
              <w:rPr>
                <w:rFonts w:eastAsia="Times New Roman"/>
                <w:color w:val="000000"/>
                <w:sz w:val="20"/>
                <w:szCs w:val="20"/>
                <w:lang w:eastAsia="lv-LV"/>
              </w:rPr>
              <w:t>000</w:t>
            </w:r>
          </w:p>
        </w:tc>
      </w:tr>
      <w:tr w:rsidR="00B45B85" w:rsidRPr="008A1227" w14:paraId="30016B93" w14:textId="77777777" w:rsidTr="00951C52">
        <w:trPr>
          <w:trHeight w:val="300"/>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0D261AF5" w14:textId="1F9A0F13" w:rsidR="00B45B85" w:rsidRPr="008A1227" w:rsidRDefault="00B45B85" w:rsidP="00B45B85">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 xml:space="preserve">Institūcijas </w:t>
            </w:r>
          </w:p>
        </w:tc>
        <w:tc>
          <w:tcPr>
            <w:tcW w:w="594" w:type="pct"/>
            <w:tcBorders>
              <w:top w:val="nil"/>
              <w:left w:val="nil"/>
              <w:bottom w:val="single" w:sz="8" w:space="0" w:color="auto"/>
              <w:right w:val="single" w:sz="8" w:space="0" w:color="auto"/>
            </w:tcBorders>
            <w:shd w:val="clear" w:color="auto" w:fill="auto"/>
            <w:noWrap/>
            <w:vAlign w:val="center"/>
          </w:tcPr>
          <w:p w14:paraId="09E4D883" w14:textId="19D6E8D9"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1</w:t>
            </w:r>
            <w:r w:rsidR="0039135F">
              <w:rPr>
                <w:rFonts w:eastAsia="Times New Roman"/>
                <w:color w:val="000000"/>
                <w:sz w:val="20"/>
                <w:szCs w:val="20"/>
                <w:lang w:eastAsia="lv-LV"/>
              </w:rPr>
              <w:t> </w:t>
            </w:r>
            <w:r w:rsidRPr="00B45B85">
              <w:rPr>
                <w:rFonts w:eastAsia="Times New Roman"/>
                <w:color w:val="000000"/>
                <w:sz w:val="20"/>
                <w:szCs w:val="20"/>
                <w:lang w:eastAsia="lv-LV"/>
              </w:rPr>
              <w:t>037</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552" w:type="pct"/>
            <w:tcBorders>
              <w:top w:val="nil"/>
              <w:left w:val="nil"/>
              <w:bottom w:val="single" w:sz="8" w:space="0" w:color="auto"/>
              <w:right w:val="single" w:sz="8" w:space="0" w:color="auto"/>
            </w:tcBorders>
            <w:shd w:val="clear" w:color="auto" w:fill="auto"/>
            <w:noWrap/>
            <w:vAlign w:val="center"/>
          </w:tcPr>
          <w:p w14:paraId="2B52D336" w14:textId="72BF565B"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2</w:t>
            </w:r>
            <w:r w:rsidR="0039135F">
              <w:rPr>
                <w:rFonts w:eastAsia="Times New Roman"/>
                <w:color w:val="000000"/>
                <w:sz w:val="20"/>
                <w:szCs w:val="20"/>
                <w:lang w:eastAsia="lv-LV"/>
              </w:rPr>
              <w:t> </w:t>
            </w:r>
            <w:r w:rsidRPr="00B45B85">
              <w:rPr>
                <w:rFonts w:eastAsia="Times New Roman"/>
                <w:color w:val="000000"/>
                <w:sz w:val="20"/>
                <w:szCs w:val="20"/>
                <w:lang w:eastAsia="lv-LV"/>
              </w:rPr>
              <w:t>074</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555" w:type="pct"/>
            <w:tcBorders>
              <w:top w:val="nil"/>
              <w:left w:val="nil"/>
              <w:bottom w:val="single" w:sz="8" w:space="0" w:color="auto"/>
              <w:right w:val="single" w:sz="8" w:space="0" w:color="auto"/>
            </w:tcBorders>
            <w:shd w:val="clear" w:color="auto" w:fill="auto"/>
            <w:noWrap/>
            <w:vAlign w:val="center"/>
          </w:tcPr>
          <w:p w14:paraId="237D8C3F" w14:textId="44128C51"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2</w:t>
            </w:r>
            <w:r w:rsidR="0039135F">
              <w:rPr>
                <w:rFonts w:eastAsia="Times New Roman"/>
                <w:color w:val="000000"/>
                <w:sz w:val="20"/>
                <w:szCs w:val="20"/>
                <w:lang w:eastAsia="lv-LV"/>
              </w:rPr>
              <w:t> </w:t>
            </w:r>
            <w:r w:rsidRPr="00B45B85">
              <w:rPr>
                <w:rFonts w:eastAsia="Times New Roman"/>
                <w:color w:val="000000"/>
                <w:sz w:val="20"/>
                <w:szCs w:val="20"/>
                <w:lang w:eastAsia="lv-LV"/>
              </w:rPr>
              <w:t>074</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tcPr>
          <w:p w14:paraId="227A0742" w14:textId="748D73D3"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2</w:t>
            </w:r>
            <w:r w:rsidR="0039135F">
              <w:rPr>
                <w:rFonts w:eastAsia="Times New Roman"/>
                <w:color w:val="000000"/>
                <w:sz w:val="20"/>
                <w:szCs w:val="20"/>
                <w:lang w:eastAsia="lv-LV"/>
              </w:rPr>
              <w:t> </w:t>
            </w:r>
            <w:r w:rsidRPr="00B45B85">
              <w:rPr>
                <w:rFonts w:eastAsia="Times New Roman"/>
                <w:color w:val="000000"/>
                <w:sz w:val="20"/>
                <w:szCs w:val="20"/>
                <w:lang w:eastAsia="lv-LV"/>
              </w:rPr>
              <w:t>074</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tcPr>
          <w:p w14:paraId="3E75358F" w14:textId="57D20F04"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2</w:t>
            </w:r>
            <w:r w:rsidR="0039135F">
              <w:rPr>
                <w:rFonts w:eastAsia="Times New Roman"/>
                <w:color w:val="000000"/>
                <w:sz w:val="20"/>
                <w:szCs w:val="20"/>
                <w:lang w:eastAsia="lv-LV"/>
              </w:rPr>
              <w:t> </w:t>
            </w:r>
            <w:r w:rsidRPr="00B45B85">
              <w:rPr>
                <w:rFonts w:eastAsia="Times New Roman"/>
                <w:color w:val="000000"/>
                <w:sz w:val="20"/>
                <w:szCs w:val="20"/>
                <w:lang w:eastAsia="lv-LV"/>
              </w:rPr>
              <w:t>074</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tcPr>
          <w:p w14:paraId="31948CD6" w14:textId="7B57E9CF"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2</w:t>
            </w:r>
            <w:r w:rsidR="0039135F">
              <w:rPr>
                <w:rFonts w:eastAsia="Times New Roman"/>
                <w:color w:val="000000"/>
                <w:sz w:val="20"/>
                <w:szCs w:val="20"/>
                <w:lang w:eastAsia="lv-LV"/>
              </w:rPr>
              <w:t> </w:t>
            </w:r>
            <w:r w:rsidRPr="00B45B85">
              <w:rPr>
                <w:rFonts w:eastAsia="Times New Roman"/>
                <w:color w:val="000000"/>
                <w:sz w:val="20"/>
                <w:szCs w:val="20"/>
                <w:lang w:eastAsia="lv-LV"/>
              </w:rPr>
              <w:t>074</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tcPr>
          <w:p w14:paraId="2AEBB813" w14:textId="2F4C81F7" w:rsidR="00B45B85" w:rsidRPr="008A1227" w:rsidRDefault="00B45B85" w:rsidP="00B45B85">
            <w:pPr>
              <w:spacing w:after="0" w:line="240" w:lineRule="auto"/>
              <w:jc w:val="center"/>
              <w:rPr>
                <w:rFonts w:eastAsia="Times New Roman"/>
                <w:color w:val="000000"/>
                <w:sz w:val="20"/>
                <w:szCs w:val="20"/>
                <w:lang w:eastAsia="lv-LV"/>
              </w:rPr>
            </w:pPr>
            <w:r w:rsidRPr="00B45B85">
              <w:rPr>
                <w:rFonts w:eastAsia="Times New Roman"/>
                <w:color w:val="000000"/>
                <w:sz w:val="20"/>
                <w:szCs w:val="20"/>
                <w:lang w:eastAsia="lv-LV"/>
              </w:rPr>
              <w:t>1</w:t>
            </w:r>
            <w:r w:rsidR="0039135F">
              <w:rPr>
                <w:rFonts w:eastAsia="Times New Roman"/>
                <w:color w:val="000000"/>
                <w:sz w:val="20"/>
                <w:szCs w:val="20"/>
                <w:lang w:eastAsia="lv-LV"/>
              </w:rPr>
              <w:t> </w:t>
            </w:r>
            <w:r w:rsidRPr="00B45B85">
              <w:rPr>
                <w:rFonts w:eastAsia="Times New Roman"/>
                <w:color w:val="000000"/>
                <w:sz w:val="20"/>
                <w:szCs w:val="20"/>
                <w:lang w:eastAsia="lv-LV"/>
              </w:rPr>
              <w:t>037</w:t>
            </w:r>
            <w:r w:rsidR="0039135F">
              <w:rPr>
                <w:rFonts w:eastAsia="Times New Roman"/>
                <w:color w:val="000000"/>
                <w:sz w:val="20"/>
                <w:szCs w:val="20"/>
                <w:lang w:eastAsia="lv-LV"/>
              </w:rPr>
              <w:t xml:space="preserve"> </w:t>
            </w:r>
            <w:r w:rsidRPr="00B45B85">
              <w:rPr>
                <w:rFonts w:eastAsia="Times New Roman"/>
                <w:color w:val="000000"/>
                <w:sz w:val="20"/>
                <w:szCs w:val="20"/>
                <w:lang w:eastAsia="lv-LV"/>
              </w:rPr>
              <w:t>000</w:t>
            </w:r>
          </w:p>
        </w:tc>
      </w:tr>
      <w:tr w:rsidR="00B45B85" w:rsidRPr="008A1227" w14:paraId="16BD9DAE" w14:textId="77777777" w:rsidTr="00951C52">
        <w:trPr>
          <w:trHeight w:val="300"/>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4188A27F" w14:textId="77777777" w:rsidR="00B45B85" w:rsidRPr="008A1227" w:rsidRDefault="00B45B85" w:rsidP="00B45B85">
            <w:pPr>
              <w:spacing w:after="0" w:line="240" w:lineRule="auto"/>
              <w:jc w:val="center"/>
              <w:rPr>
                <w:rFonts w:eastAsia="Times New Roman"/>
                <w:color w:val="000000"/>
                <w:sz w:val="20"/>
                <w:szCs w:val="20"/>
                <w:lang w:eastAsia="lv-LV"/>
              </w:rPr>
            </w:pPr>
            <w:r w:rsidRPr="008A1227">
              <w:rPr>
                <w:rFonts w:eastAsia="Times New Roman"/>
                <w:color w:val="000000"/>
                <w:sz w:val="20"/>
                <w:szCs w:val="20"/>
                <w:lang w:eastAsia="lv-LV"/>
              </w:rPr>
              <w:t>Kopā</w:t>
            </w:r>
          </w:p>
        </w:tc>
        <w:tc>
          <w:tcPr>
            <w:tcW w:w="594" w:type="pct"/>
            <w:tcBorders>
              <w:top w:val="nil"/>
              <w:left w:val="nil"/>
              <w:bottom w:val="single" w:sz="8" w:space="0" w:color="auto"/>
              <w:right w:val="single" w:sz="8" w:space="0" w:color="auto"/>
            </w:tcBorders>
            <w:shd w:val="clear" w:color="auto" w:fill="auto"/>
            <w:noWrap/>
            <w:vAlign w:val="center"/>
          </w:tcPr>
          <w:p w14:paraId="31CEAF8A" w14:textId="176C9DC3"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1</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451</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552" w:type="pct"/>
            <w:tcBorders>
              <w:top w:val="nil"/>
              <w:left w:val="nil"/>
              <w:bottom w:val="single" w:sz="8" w:space="0" w:color="auto"/>
              <w:right w:val="single" w:sz="8" w:space="0" w:color="auto"/>
            </w:tcBorders>
            <w:shd w:val="clear" w:color="auto" w:fill="auto"/>
            <w:noWrap/>
            <w:vAlign w:val="center"/>
          </w:tcPr>
          <w:p w14:paraId="61310CF5" w14:textId="5D103EB0"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6</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394</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555" w:type="pct"/>
            <w:tcBorders>
              <w:top w:val="nil"/>
              <w:left w:val="nil"/>
              <w:bottom w:val="single" w:sz="8" w:space="0" w:color="auto"/>
              <w:right w:val="single" w:sz="8" w:space="0" w:color="auto"/>
            </w:tcBorders>
            <w:shd w:val="clear" w:color="auto" w:fill="auto"/>
            <w:noWrap/>
            <w:vAlign w:val="center"/>
          </w:tcPr>
          <w:p w14:paraId="31CB0C50" w14:textId="715FC5EE"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6</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162</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tcPr>
          <w:p w14:paraId="55A435D3" w14:textId="370DE46D"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5</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812</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612" w:type="pct"/>
            <w:tcBorders>
              <w:top w:val="nil"/>
              <w:left w:val="nil"/>
              <w:bottom w:val="single" w:sz="8" w:space="0" w:color="auto"/>
              <w:right w:val="single" w:sz="8" w:space="0" w:color="auto"/>
            </w:tcBorders>
            <w:shd w:val="clear" w:color="auto" w:fill="auto"/>
            <w:noWrap/>
            <w:vAlign w:val="center"/>
          </w:tcPr>
          <w:p w14:paraId="17B1B48D" w14:textId="0D31CCCB"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5</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662</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tcPr>
          <w:p w14:paraId="176830FC" w14:textId="59150598"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5</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062</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c>
          <w:tcPr>
            <w:tcW w:w="614" w:type="pct"/>
            <w:tcBorders>
              <w:top w:val="nil"/>
              <w:left w:val="nil"/>
              <w:bottom w:val="single" w:sz="8" w:space="0" w:color="auto"/>
              <w:right w:val="single" w:sz="8" w:space="0" w:color="auto"/>
            </w:tcBorders>
            <w:shd w:val="clear" w:color="auto" w:fill="auto"/>
            <w:noWrap/>
            <w:vAlign w:val="center"/>
          </w:tcPr>
          <w:p w14:paraId="132BEA06" w14:textId="3D8AA29D" w:rsidR="00B45B85" w:rsidRPr="00B45B85" w:rsidRDefault="00B45B85" w:rsidP="00B45B85">
            <w:pPr>
              <w:spacing w:after="0" w:line="240" w:lineRule="auto"/>
              <w:jc w:val="center"/>
              <w:rPr>
                <w:rFonts w:eastAsia="Times New Roman"/>
                <w:b/>
                <w:bCs/>
                <w:color w:val="000000"/>
                <w:sz w:val="20"/>
                <w:szCs w:val="20"/>
                <w:lang w:eastAsia="lv-LV"/>
              </w:rPr>
            </w:pPr>
            <w:r w:rsidRPr="00B45B85">
              <w:rPr>
                <w:rFonts w:eastAsia="Times New Roman"/>
                <w:b/>
                <w:bCs/>
                <w:color w:val="000000"/>
                <w:sz w:val="20"/>
                <w:szCs w:val="20"/>
                <w:lang w:eastAsia="lv-LV"/>
              </w:rPr>
              <w:t>1</w:t>
            </w:r>
            <w:r w:rsidR="0039135F">
              <w:rPr>
                <w:rFonts w:eastAsia="Times New Roman"/>
                <w:b/>
                <w:bCs/>
                <w:color w:val="000000"/>
                <w:sz w:val="20"/>
                <w:szCs w:val="20"/>
                <w:lang w:eastAsia="lv-LV"/>
              </w:rPr>
              <w:t> </w:t>
            </w:r>
            <w:r w:rsidRPr="00B45B85">
              <w:rPr>
                <w:rFonts w:eastAsia="Times New Roman"/>
                <w:b/>
                <w:bCs/>
                <w:color w:val="000000"/>
                <w:sz w:val="20"/>
                <w:szCs w:val="20"/>
                <w:lang w:eastAsia="lv-LV"/>
              </w:rPr>
              <w:t>759</w:t>
            </w:r>
            <w:r w:rsidR="0039135F">
              <w:rPr>
                <w:rFonts w:eastAsia="Times New Roman"/>
                <w:b/>
                <w:bCs/>
                <w:color w:val="000000"/>
                <w:sz w:val="20"/>
                <w:szCs w:val="20"/>
                <w:lang w:eastAsia="lv-LV"/>
              </w:rPr>
              <w:t xml:space="preserve"> </w:t>
            </w:r>
            <w:r w:rsidRPr="00B45B85">
              <w:rPr>
                <w:rFonts w:eastAsia="Times New Roman"/>
                <w:b/>
                <w:bCs/>
                <w:color w:val="000000"/>
                <w:sz w:val="20"/>
                <w:szCs w:val="20"/>
                <w:lang w:eastAsia="lv-LV"/>
              </w:rPr>
              <w:t>000</w:t>
            </w:r>
          </w:p>
        </w:tc>
      </w:tr>
    </w:tbl>
    <w:p w14:paraId="592078E2" w14:textId="4DCA4EF7" w:rsidR="00B92CD7" w:rsidRDefault="00B92CD7" w:rsidP="00827CC8">
      <w:pPr>
        <w:suppressAutoHyphens/>
        <w:autoSpaceDN w:val="0"/>
        <w:spacing w:after="0" w:line="240" w:lineRule="auto"/>
        <w:jc w:val="both"/>
        <w:textAlignment w:val="baseline"/>
        <w:rPr>
          <w:rFonts w:eastAsia="Calibri"/>
        </w:rPr>
      </w:pPr>
    </w:p>
    <w:p w14:paraId="6F6C066E" w14:textId="3D41E43D" w:rsidR="00500EDD" w:rsidRPr="00173DD9" w:rsidRDefault="00500EDD" w:rsidP="00173DD9">
      <w:pPr>
        <w:pStyle w:val="ListParagraph"/>
        <w:numPr>
          <w:ilvl w:val="0"/>
          <w:numId w:val="24"/>
        </w:numPr>
        <w:suppressAutoHyphens/>
        <w:autoSpaceDN w:val="0"/>
        <w:spacing w:after="0" w:line="240" w:lineRule="auto"/>
        <w:jc w:val="center"/>
        <w:textAlignment w:val="baseline"/>
        <w:rPr>
          <w:rFonts w:eastAsia="Calibri"/>
          <w:b/>
          <w:bCs/>
        </w:rPr>
      </w:pPr>
      <w:r w:rsidRPr="00173DD9">
        <w:rPr>
          <w:rFonts w:eastAsia="Calibri"/>
          <w:b/>
          <w:bCs/>
        </w:rPr>
        <w:t>Nepieciešamie finanšu resursi KPVIS</w:t>
      </w:r>
      <w:r w:rsidR="00742FB3" w:rsidRPr="00742FB3">
        <w:t xml:space="preserve"> </w:t>
      </w:r>
      <w:r w:rsidR="00742FB3" w:rsidRPr="00173DD9">
        <w:rPr>
          <w:rFonts w:eastAsia="Calibri"/>
          <w:b/>
          <w:bCs/>
        </w:rPr>
        <w:t>pielāgošanas nodrošināšanai</w:t>
      </w:r>
    </w:p>
    <w:p w14:paraId="1E3FA692" w14:textId="3FD01532" w:rsidR="00500EDD" w:rsidRDefault="00500EDD" w:rsidP="00500EDD">
      <w:pPr>
        <w:suppressAutoHyphens/>
        <w:autoSpaceDN w:val="0"/>
        <w:spacing w:after="0" w:line="240" w:lineRule="auto"/>
        <w:jc w:val="both"/>
        <w:textAlignment w:val="baseline"/>
        <w:rPr>
          <w:rFonts w:eastAsia="Calibri"/>
        </w:rPr>
      </w:pPr>
    </w:p>
    <w:p w14:paraId="3ECF47EC" w14:textId="74C59C0F" w:rsidR="00500EDD" w:rsidRPr="00500EDD" w:rsidRDefault="00500EDD" w:rsidP="009266BB">
      <w:pPr>
        <w:suppressAutoHyphens/>
        <w:autoSpaceDN w:val="0"/>
        <w:spacing w:after="0" w:line="276" w:lineRule="auto"/>
        <w:ind w:firstLine="709"/>
        <w:jc w:val="both"/>
        <w:textAlignment w:val="baseline"/>
        <w:rPr>
          <w:rFonts w:eastAsia="Calibri"/>
        </w:rPr>
      </w:pPr>
      <w:r w:rsidRPr="00500EDD">
        <w:rPr>
          <w:rFonts w:eastAsia="Calibri"/>
        </w:rPr>
        <w:t>Būtisku lom</w:t>
      </w:r>
      <w:r w:rsidR="00C34D70">
        <w:rPr>
          <w:rFonts w:eastAsia="Calibri"/>
        </w:rPr>
        <w:t>a</w:t>
      </w:r>
      <w:r w:rsidRPr="00500EDD">
        <w:rPr>
          <w:rFonts w:eastAsia="Calibri"/>
        </w:rPr>
        <w:t xml:space="preserve"> </w:t>
      </w:r>
      <w:r w:rsidR="008649D1" w:rsidRPr="008649D1">
        <w:rPr>
          <w:rFonts w:eastAsia="Calibri"/>
        </w:rPr>
        <w:t>Atveseļošanas fonda</w:t>
      </w:r>
      <w:r w:rsidR="00C34D70" w:rsidRPr="00C34D70">
        <w:rPr>
          <w:rFonts w:eastAsia="Calibri"/>
        </w:rPr>
        <w:t xml:space="preserve"> plāna </w:t>
      </w:r>
      <w:r w:rsidRPr="00500EDD">
        <w:rPr>
          <w:rFonts w:eastAsia="Calibri"/>
        </w:rPr>
        <w:t xml:space="preserve">ieviešanā visām iesaistītajām pusēm </w:t>
      </w:r>
      <w:r w:rsidR="00C34D70">
        <w:rPr>
          <w:rFonts w:eastAsia="Calibri"/>
        </w:rPr>
        <w:t>būs</w:t>
      </w:r>
      <w:r w:rsidRPr="00500EDD">
        <w:rPr>
          <w:rFonts w:eastAsia="Calibri"/>
        </w:rPr>
        <w:t xml:space="preserve"> vadības informācijas sistēmas (</w:t>
      </w:r>
      <w:r w:rsidR="008649D1" w:rsidRPr="008649D1">
        <w:rPr>
          <w:rFonts w:eastAsia="Calibri"/>
        </w:rPr>
        <w:t>Atveseļošanas fonda</w:t>
      </w:r>
      <w:r w:rsidRPr="00500EDD">
        <w:rPr>
          <w:rFonts w:eastAsia="Calibri"/>
        </w:rPr>
        <w:t xml:space="preserve"> KPVIS) pieejamība</w:t>
      </w:r>
      <w:r w:rsidR="00C34D70">
        <w:rPr>
          <w:rFonts w:eastAsia="Calibri"/>
        </w:rPr>
        <w:t>i,</w:t>
      </w:r>
      <w:r w:rsidRPr="00500EDD">
        <w:rPr>
          <w:rFonts w:eastAsia="Calibri"/>
        </w:rPr>
        <w:t xml:space="preserve"> kas ir arī viena no EK </w:t>
      </w:r>
      <w:r w:rsidR="00C34D70">
        <w:rPr>
          <w:rFonts w:eastAsia="Calibri"/>
        </w:rPr>
        <w:t xml:space="preserve">un Regulā noteiktajām </w:t>
      </w:r>
      <w:r w:rsidRPr="00500EDD">
        <w:rPr>
          <w:rFonts w:eastAsia="Calibri"/>
        </w:rPr>
        <w:t xml:space="preserve">prasībām. </w:t>
      </w:r>
      <w:r w:rsidRPr="001B02AA">
        <w:rPr>
          <w:rFonts w:eastAsia="Calibri"/>
          <w:u w:val="single"/>
        </w:rPr>
        <w:t xml:space="preserve">KPVIS </w:t>
      </w:r>
      <w:r w:rsidR="008649D1" w:rsidRPr="008649D1">
        <w:rPr>
          <w:rFonts w:eastAsia="Calibri"/>
          <w:u w:val="single"/>
        </w:rPr>
        <w:t>Atveseļošanas fonda</w:t>
      </w:r>
      <w:r w:rsidRPr="001B02AA">
        <w:rPr>
          <w:rFonts w:eastAsia="Calibri"/>
          <w:u w:val="single"/>
        </w:rPr>
        <w:t xml:space="preserve"> izveide</w:t>
      </w:r>
      <w:r w:rsidR="00C34D70" w:rsidRPr="001B02AA">
        <w:rPr>
          <w:rFonts w:eastAsia="Calibri"/>
          <w:u w:val="single"/>
        </w:rPr>
        <w:t>s</w:t>
      </w:r>
      <w:r w:rsidR="00470854" w:rsidRPr="001B02AA">
        <w:rPr>
          <w:rFonts w:eastAsia="Calibri"/>
          <w:u w:val="single"/>
        </w:rPr>
        <w:t xml:space="preserve"> un </w:t>
      </w:r>
      <w:r w:rsidRPr="001B02AA">
        <w:rPr>
          <w:rFonts w:eastAsia="Calibri"/>
          <w:u w:val="single"/>
        </w:rPr>
        <w:t>pielāgošana</w:t>
      </w:r>
      <w:r w:rsidR="00C34D70" w:rsidRPr="001B02AA">
        <w:rPr>
          <w:rFonts w:eastAsia="Calibri"/>
          <w:u w:val="single"/>
        </w:rPr>
        <w:t>s izmaksas ir iekļautas kopējā CFLA finanšu resursu aprēķinā</w:t>
      </w:r>
      <w:r w:rsidR="00C34D70" w:rsidRPr="001B02AA">
        <w:rPr>
          <w:rFonts w:eastAsia="Calibri"/>
        </w:rPr>
        <w:t>.</w:t>
      </w:r>
      <w:r w:rsidR="00C34D70">
        <w:rPr>
          <w:rFonts w:eastAsia="Calibri"/>
        </w:rPr>
        <w:t xml:space="preserve"> Izmaksās</w:t>
      </w:r>
      <w:r w:rsidRPr="00500EDD">
        <w:rPr>
          <w:rFonts w:eastAsia="Calibri"/>
        </w:rPr>
        <w:t xml:space="preserve"> ir iekļauti ne tikai ieguldījumi KPVIS un ar to saistītajā infrastruktūrā</w:t>
      </w:r>
      <w:r w:rsidR="00C34D70">
        <w:rPr>
          <w:rFonts w:eastAsia="Calibri"/>
        </w:rPr>
        <w:t>,</w:t>
      </w:r>
      <w:r w:rsidRPr="00500EDD">
        <w:rPr>
          <w:rFonts w:eastAsia="Calibri"/>
        </w:rPr>
        <w:t xml:space="preserve"> KPVIS </w:t>
      </w:r>
      <w:r w:rsidR="008649D1" w:rsidRPr="008649D1">
        <w:rPr>
          <w:rFonts w:eastAsia="Calibri"/>
        </w:rPr>
        <w:t>Atveseļošanas fonda</w:t>
      </w:r>
      <w:r w:rsidRPr="00500EDD">
        <w:rPr>
          <w:rFonts w:eastAsia="Calibri"/>
        </w:rPr>
        <w:t xml:space="preserve"> moduļa izstrāde un pielāgošana, lietojamības pakalpojums, kā arī uzturēšana</w:t>
      </w:r>
      <w:r w:rsidR="0044509D">
        <w:rPr>
          <w:rFonts w:eastAsia="Calibri"/>
        </w:rPr>
        <w:t>,</w:t>
      </w:r>
      <w:r w:rsidRPr="00500EDD">
        <w:rPr>
          <w:rFonts w:eastAsia="Calibri"/>
        </w:rPr>
        <w:t xml:space="preserve"> bet arī</w:t>
      </w:r>
      <w:r w:rsidR="0044509D">
        <w:rPr>
          <w:rFonts w:eastAsia="Calibri"/>
        </w:rPr>
        <w:t>:</w:t>
      </w:r>
      <w:r w:rsidRPr="00500EDD">
        <w:rPr>
          <w:rFonts w:eastAsia="Calibri"/>
        </w:rPr>
        <w:t xml:space="preserve"> </w:t>
      </w:r>
    </w:p>
    <w:p w14:paraId="595AD8C3" w14:textId="17D80D03" w:rsidR="00C34D70" w:rsidRDefault="00500EDD" w:rsidP="009266BB">
      <w:pPr>
        <w:pStyle w:val="ListParagraph"/>
        <w:numPr>
          <w:ilvl w:val="0"/>
          <w:numId w:val="12"/>
        </w:numPr>
        <w:suppressAutoHyphens/>
        <w:autoSpaceDN w:val="0"/>
        <w:spacing w:after="0" w:line="276" w:lineRule="auto"/>
        <w:jc w:val="both"/>
        <w:textAlignment w:val="baseline"/>
        <w:rPr>
          <w:rFonts w:eastAsia="Calibri"/>
        </w:rPr>
      </w:pPr>
      <w:r w:rsidRPr="00C34D70">
        <w:rPr>
          <w:rFonts w:eastAsia="Calibri"/>
        </w:rPr>
        <w:t>DAR</w:t>
      </w:r>
      <w:r w:rsidR="00F275DE">
        <w:rPr>
          <w:rStyle w:val="FootnoteReference"/>
          <w:rFonts w:eastAsia="Calibri"/>
        </w:rPr>
        <w:footnoteReference w:id="33"/>
      </w:r>
      <w:r w:rsidRPr="00C34D70">
        <w:rPr>
          <w:rFonts w:eastAsia="Calibri"/>
        </w:rPr>
        <w:t xml:space="preserve"> pielāgošana, kā arī uzturēšana; </w:t>
      </w:r>
    </w:p>
    <w:p w14:paraId="08B2C770" w14:textId="1614E7F8" w:rsidR="00C34D70" w:rsidRDefault="005E0D37" w:rsidP="009266BB">
      <w:pPr>
        <w:pStyle w:val="ListParagraph"/>
        <w:numPr>
          <w:ilvl w:val="0"/>
          <w:numId w:val="12"/>
        </w:numPr>
        <w:suppressAutoHyphens/>
        <w:autoSpaceDN w:val="0"/>
        <w:spacing w:after="0" w:line="276" w:lineRule="auto"/>
        <w:jc w:val="both"/>
        <w:textAlignment w:val="baseline"/>
        <w:rPr>
          <w:rFonts w:eastAsia="Calibri"/>
        </w:rPr>
      </w:pPr>
      <w:r>
        <w:rPr>
          <w:rFonts w:eastAsia="Calibri"/>
        </w:rPr>
        <w:lastRenderedPageBreak/>
        <w:t>l</w:t>
      </w:r>
      <w:r w:rsidR="00500EDD" w:rsidRPr="00C34D70">
        <w:rPr>
          <w:rFonts w:eastAsia="Calibri"/>
        </w:rPr>
        <w:t xml:space="preserve">icenču maksas; </w:t>
      </w:r>
    </w:p>
    <w:p w14:paraId="1481B727" w14:textId="3B13DE99" w:rsidR="00C34D70" w:rsidRDefault="005E0D37" w:rsidP="009266BB">
      <w:pPr>
        <w:pStyle w:val="ListParagraph"/>
        <w:numPr>
          <w:ilvl w:val="0"/>
          <w:numId w:val="12"/>
        </w:numPr>
        <w:suppressAutoHyphens/>
        <w:autoSpaceDN w:val="0"/>
        <w:spacing w:after="0" w:line="276" w:lineRule="auto"/>
        <w:jc w:val="both"/>
        <w:textAlignment w:val="baseline"/>
        <w:rPr>
          <w:rFonts w:eastAsia="Calibri"/>
        </w:rPr>
      </w:pPr>
      <w:r>
        <w:rPr>
          <w:rFonts w:eastAsia="Calibri"/>
        </w:rPr>
        <w:t>s</w:t>
      </w:r>
      <w:r w:rsidR="00500EDD" w:rsidRPr="00C34D70">
        <w:rPr>
          <w:rFonts w:eastAsia="Calibri"/>
        </w:rPr>
        <w:t xml:space="preserve">erveru uzturēšanas izmaksas; </w:t>
      </w:r>
    </w:p>
    <w:p w14:paraId="2AF88776" w14:textId="044F74B1" w:rsidR="00500EDD" w:rsidRDefault="005E0D37" w:rsidP="009266BB">
      <w:pPr>
        <w:pStyle w:val="ListParagraph"/>
        <w:numPr>
          <w:ilvl w:val="0"/>
          <w:numId w:val="12"/>
        </w:numPr>
        <w:suppressAutoHyphens/>
        <w:autoSpaceDN w:val="0"/>
        <w:spacing w:after="0" w:line="276" w:lineRule="auto"/>
        <w:jc w:val="both"/>
        <w:textAlignment w:val="baseline"/>
        <w:rPr>
          <w:rFonts w:eastAsia="Calibri"/>
        </w:rPr>
      </w:pPr>
      <w:r>
        <w:rPr>
          <w:rFonts w:eastAsia="Calibri"/>
        </w:rPr>
        <w:t>s</w:t>
      </w:r>
      <w:r w:rsidR="00500EDD" w:rsidRPr="00C34D70">
        <w:rPr>
          <w:rFonts w:eastAsia="Calibri"/>
        </w:rPr>
        <w:t>aistītie pakalpojumi (drošības, veiktspējas, ISO sertifikācijas auditu izdevumi</w:t>
      </w:r>
      <w:r w:rsidR="0044509D">
        <w:rPr>
          <w:rFonts w:eastAsia="Calibri"/>
        </w:rPr>
        <w:t>)</w:t>
      </w:r>
      <w:r w:rsidR="00500EDD" w:rsidRPr="00C34D70">
        <w:rPr>
          <w:rFonts w:eastAsia="Calibri"/>
        </w:rPr>
        <w:t>.</w:t>
      </w:r>
    </w:p>
    <w:p w14:paraId="19664EE2" w14:textId="77777777" w:rsidR="00C34D70" w:rsidRPr="00C34D70" w:rsidRDefault="00C34D70" w:rsidP="009266BB">
      <w:pPr>
        <w:pStyle w:val="ListParagraph"/>
        <w:suppressAutoHyphens/>
        <w:autoSpaceDN w:val="0"/>
        <w:spacing w:after="0" w:line="276" w:lineRule="auto"/>
        <w:jc w:val="both"/>
        <w:textAlignment w:val="baseline"/>
        <w:rPr>
          <w:rFonts w:eastAsia="Calibri"/>
        </w:rPr>
      </w:pPr>
    </w:p>
    <w:p w14:paraId="2CC9E659" w14:textId="5C00F40B" w:rsidR="00500EDD" w:rsidRDefault="00500EDD" w:rsidP="009266BB">
      <w:pPr>
        <w:suppressAutoHyphens/>
        <w:autoSpaceDN w:val="0"/>
        <w:spacing w:after="0" w:line="276" w:lineRule="auto"/>
        <w:ind w:firstLine="709"/>
        <w:jc w:val="both"/>
        <w:textAlignment w:val="baseline"/>
        <w:rPr>
          <w:rFonts w:eastAsia="Calibri"/>
        </w:rPr>
      </w:pPr>
      <w:r w:rsidRPr="00500EDD">
        <w:rPr>
          <w:rFonts w:eastAsia="Calibri"/>
        </w:rPr>
        <w:t xml:space="preserve">KPVIS izstrādes, pielāgošanas un uzturēšanas izmaksas </w:t>
      </w:r>
      <w:r w:rsidR="00493C16" w:rsidRPr="00493C16">
        <w:rPr>
          <w:rFonts w:eastAsia="Calibri"/>
        </w:rPr>
        <w:t>Atveseļošanas fonda</w:t>
      </w:r>
      <w:r w:rsidRPr="00500EDD">
        <w:rPr>
          <w:rFonts w:eastAsia="Calibri"/>
        </w:rPr>
        <w:t xml:space="preserve"> plānotas 1,7 milj. EUR apmērā</w:t>
      </w:r>
      <w:r w:rsidR="00600B3A">
        <w:rPr>
          <w:rFonts w:eastAsia="Calibri"/>
        </w:rPr>
        <w:t xml:space="preserve"> </w:t>
      </w:r>
      <w:r w:rsidR="00600B3A" w:rsidRPr="00600B3A">
        <w:rPr>
          <w:rFonts w:eastAsia="Calibri"/>
        </w:rPr>
        <w:t>(skatīt Tabulā Nr.</w:t>
      </w:r>
      <w:r w:rsidR="00600B3A">
        <w:rPr>
          <w:rFonts w:eastAsia="Calibri"/>
        </w:rPr>
        <w:t>6</w:t>
      </w:r>
      <w:r w:rsidR="00600B3A" w:rsidRPr="00600B3A">
        <w:rPr>
          <w:rFonts w:eastAsia="Calibri"/>
        </w:rPr>
        <w:t>)</w:t>
      </w:r>
      <w:r w:rsidRPr="00500EDD">
        <w:rPr>
          <w:rFonts w:eastAsia="Calibri"/>
        </w:rPr>
        <w:t xml:space="preserve">, </w:t>
      </w:r>
      <w:r w:rsidR="00BC24BE">
        <w:rPr>
          <w:rFonts w:eastAsia="Calibri"/>
        </w:rPr>
        <w:t xml:space="preserve">savukārt </w:t>
      </w:r>
      <w:r w:rsidR="00C66DF5">
        <w:rPr>
          <w:rFonts w:eastAsia="Calibri"/>
        </w:rPr>
        <w:t>14-20</w:t>
      </w:r>
      <w:r w:rsidR="00BC24BE">
        <w:rPr>
          <w:rFonts w:eastAsia="Calibri"/>
        </w:rPr>
        <w:t xml:space="preserve"> </w:t>
      </w:r>
      <w:r w:rsidRPr="00500EDD">
        <w:rPr>
          <w:rFonts w:eastAsia="Calibri"/>
        </w:rPr>
        <w:t xml:space="preserve">1,8 milj. </w:t>
      </w:r>
      <w:r w:rsidR="003577AD">
        <w:rPr>
          <w:rFonts w:eastAsia="Calibri"/>
        </w:rPr>
        <w:t>EUR</w:t>
      </w:r>
      <w:r w:rsidRPr="00500EDD">
        <w:rPr>
          <w:rFonts w:eastAsia="Calibri"/>
        </w:rPr>
        <w:t xml:space="preserve">, </w:t>
      </w:r>
      <w:r w:rsidR="00BC24BE">
        <w:rPr>
          <w:rFonts w:eastAsia="Calibri"/>
        </w:rPr>
        <w:t>21-27</w:t>
      </w:r>
      <w:r w:rsidRPr="00500EDD">
        <w:rPr>
          <w:rFonts w:eastAsia="Calibri"/>
        </w:rPr>
        <w:t xml:space="preserve"> 2,2 milj. EUR </w:t>
      </w:r>
      <w:r w:rsidR="007E0B7F" w:rsidRPr="00500EDD">
        <w:rPr>
          <w:rFonts w:eastAsia="Calibri"/>
        </w:rPr>
        <w:t xml:space="preserve"> </w:t>
      </w:r>
      <w:r w:rsidRPr="00500EDD">
        <w:rPr>
          <w:rFonts w:eastAsia="Calibri"/>
        </w:rPr>
        <w:t>apmērā.</w:t>
      </w:r>
    </w:p>
    <w:p w14:paraId="0BEE8BBD" w14:textId="77777777" w:rsidR="009419FE" w:rsidRDefault="009419FE" w:rsidP="009266BB">
      <w:pPr>
        <w:suppressAutoHyphens/>
        <w:autoSpaceDN w:val="0"/>
        <w:spacing w:after="0" w:line="276" w:lineRule="auto"/>
        <w:jc w:val="both"/>
        <w:textAlignment w:val="baseline"/>
        <w:rPr>
          <w:rFonts w:eastAsia="Calibri"/>
        </w:rPr>
      </w:pPr>
    </w:p>
    <w:p w14:paraId="37421A6B" w14:textId="2B9F28EF" w:rsidR="00E70C79" w:rsidRDefault="00A535C1" w:rsidP="009266BB">
      <w:pPr>
        <w:suppressAutoHyphens/>
        <w:autoSpaceDN w:val="0"/>
        <w:spacing w:after="0" w:line="276" w:lineRule="auto"/>
        <w:jc w:val="both"/>
        <w:textAlignment w:val="baseline"/>
        <w:rPr>
          <w:rFonts w:eastAsia="Calibri"/>
        </w:rPr>
      </w:pPr>
      <w:r w:rsidRPr="00A535C1">
        <w:rPr>
          <w:rFonts w:eastAsia="Calibri"/>
        </w:rPr>
        <w:t>Dalījumu pa gadiem</w:t>
      </w:r>
      <w:r w:rsidR="009419FE" w:rsidRPr="009419FE">
        <w:t xml:space="preserve"> </w:t>
      </w:r>
      <w:r w:rsidR="009419FE" w:rsidRPr="009419FE">
        <w:rPr>
          <w:rFonts w:eastAsia="Calibri"/>
        </w:rPr>
        <w:t xml:space="preserve">uz visu </w:t>
      </w:r>
      <w:r w:rsidR="00C057CB" w:rsidRPr="00C057CB">
        <w:rPr>
          <w:rFonts w:eastAsia="Calibri"/>
        </w:rPr>
        <w:t>Atveseļošanas fonda</w:t>
      </w:r>
      <w:r w:rsidR="00735392">
        <w:rPr>
          <w:rFonts w:eastAsia="Calibri"/>
        </w:rPr>
        <w:t xml:space="preserve"> plāna</w:t>
      </w:r>
      <w:r w:rsidR="002507FD">
        <w:rPr>
          <w:rFonts w:eastAsia="Calibri"/>
        </w:rPr>
        <w:t xml:space="preserve"> īstenošanas </w:t>
      </w:r>
      <w:r w:rsidR="009419FE" w:rsidRPr="009419FE">
        <w:rPr>
          <w:rFonts w:eastAsia="Calibri"/>
        </w:rPr>
        <w:t>periodu:</w:t>
      </w:r>
    </w:p>
    <w:p w14:paraId="2780CCE3" w14:textId="25E189E4" w:rsidR="00500EDD" w:rsidRPr="00E70C79" w:rsidRDefault="00E70C79" w:rsidP="00E70C79">
      <w:pPr>
        <w:suppressAutoHyphens/>
        <w:autoSpaceDN w:val="0"/>
        <w:spacing w:after="0" w:line="240" w:lineRule="auto"/>
        <w:jc w:val="right"/>
        <w:textAlignment w:val="baseline"/>
        <w:rPr>
          <w:rFonts w:eastAsia="Calibri"/>
          <w:sz w:val="22"/>
          <w:szCs w:val="22"/>
        </w:rPr>
      </w:pPr>
      <w:r w:rsidRPr="00E70C79">
        <w:t xml:space="preserve"> </w:t>
      </w:r>
      <w:r w:rsidRPr="00E70C79">
        <w:rPr>
          <w:rFonts w:eastAsia="Calibri"/>
          <w:sz w:val="22"/>
          <w:szCs w:val="22"/>
        </w:rPr>
        <w:t>Tabula Nr.</w:t>
      </w:r>
      <w:r w:rsidR="001E75E5">
        <w:rPr>
          <w:rFonts w:eastAsia="Calibri"/>
          <w:sz w:val="22"/>
          <w:szCs w:val="22"/>
        </w:rPr>
        <w:t>6</w:t>
      </w:r>
    </w:p>
    <w:tbl>
      <w:tblPr>
        <w:tblW w:w="5105" w:type="pct"/>
        <w:tblLook w:val="04A0" w:firstRow="1" w:lastRow="0" w:firstColumn="1" w:lastColumn="0" w:noHBand="0" w:noVBand="1"/>
      </w:tblPr>
      <w:tblGrid>
        <w:gridCol w:w="794"/>
        <w:gridCol w:w="616"/>
        <w:gridCol w:w="1016"/>
        <w:gridCol w:w="1017"/>
        <w:gridCol w:w="1017"/>
        <w:gridCol w:w="1017"/>
        <w:gridCol w:w="1017"/>
        <w:gridCol w:w="916"/>
        <w:gridCol w:w="1164"/>
      </w:tblGrid>
      <w:tr w:rsidR="00DF066F" w:rsidRPr="00DF066F" w14:paraId="583917CC" w14:textId="77777777" w:rsidTr="000A37B6">
        <w:trPr>
          <w:trHeight w:val="288"/>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0B45" w14:textId="01353DE9" w:rsidR="00DF066F" w:rsidRPr="00DF066F" w:rsidRDefault="00DF066F" w:rsidP="000A37B6">
            <w:pPr>
              <w:spacing w:after="0" w:line="240" w:lineRule="auto"/>
              <w:jc w:val="center"/>
              <w:rPr>
                <w:rFonts w:eastAsia="Times New Roman"/>
                <w:color w:val="000000"/>
                <w:sz w:val="20"/>
                <w:szCs w:val="20"/>
                <w:lang w:eastAsia="lv-LV"/>
              </w:rPr>
            </w:pP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35B02C89"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2021</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2A94EC6"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2022</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43FD4F3"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2023</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FD95202"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2024</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F2BE793"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2025</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325FCBDE"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2026</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14:paraId="201CD8D8"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2027</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0DB79E1B" w14:textId="4B03812D" w:rsidR="00DF066F" w:rsidRPr="00DF066F" w:rsidRDefault="002859BC" w:rsidP="000A37B6">
            <w:pPr>
              <w:spacing w:after="0" w:line="240" w:lineRule="auto"/>
              <w:jc w:val="center"/>
              <w:rPr>
                <w:rFonts w:eastAsia="Times New Roman"/>
                <w:b/>
                <w:bCs/>
                <w:color w:val="000000"/>
                <w:sz w:val="20"/>
                <w:szCs w:val="20"/>
                <w:lang w:eastAsia="lv-LV"/>
              </w:rPr>
            </w:pPr>
            <w:r w:rsidRPr="002859BC">
              <w:rPr>
                <w:rFonts w:eastAsia="Times New Roman"/>
                <w:b/>
                <w:bCs/>
                <w:color w:val="000000"/>
                <w:sz w:val="20"/>
                <w:szCs w:val="20"/>
                <w:lang w:eastAsia="lv-LV"/>
              </w:rPr>
              <w:t>Kopā</w:t>
            </w:r>
          </w:p>
        </w:tc>
      </w:tr>
      <w:tr w:rsidR="00DF066F" w:rsidRPr="00DF066F" w14:paraId="52DAB41C" w14:textId="77777777" w:rsidTr="000A37B6">
        <w:trPr>
          <w:trHeight w:val="288"/>
        </w:trPr>
        <w:tc>
          <w:tcPr>
            <w:tcW w:w="463" w:type="pct"/>
            <w:tcBorders>
              <w:top w:val="nil"/>
              <w:left w:val="single" w:sz="4" w:space="0" w:color="auto"/>
              <w:bottom w:val="single" w:sz="4" w:space="0" w:color="auto"/>
              <w:right w:val="single" w:sz="4" w:space="0" w:color="auto"/>
            </w:tcBorders>
            <w:shd w:val="clear" w:color="auto" w:fill="auto"/>
            <w:noWrap/>
            <w:vAlign w:val="center"/>
            <w:hideMark/>
          </w:tcPr>
          <w:p w14:paraId="2152CA79" w14:textId="77777777"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KPVIS</w:t>
            </w:r>
          </w:p>
        </w:tc>
        <w:tc>
          <w:tcPr>
            <w:tcW w:w="359" w:type="pct"/>
            <w:tcBorders>
              <w:top w:val="nil"/>
              <w:left w:val="nil"/>
              <w:bottom w:val="single" w:sz="4" w:space="0" w:color="auto"/>
              <w:right w:val="single" w:sz="4" w:space="0" w:color="auto"/>
            </w:tcBorders>
            <w:shd w:val="clear" w:color="auto" w:fill="auto"/>
            <w:noWrap/>
            <w:vAlign w:val="center"/>
            <w:hideMark/>
          </w:tcPr>
          <w:p w14:paraId="002E43E0" w14:textId="04D49F6D"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0 </w:t>
            </w:r>
          </w:p>
        </w:tc>
        <w:tc>
          <w:tcPr>
            <w:tcW w:w="593" w:type="pct"/>
            <w:tcBorders>
              <w:top w:val="nil"/>
              <w:left w:val="nil"/>
              <w:bottom w:val="single" w:sz="4" w:space="0" w:color="auto"/>
              <w:right w:val="single" w:sz="4" w:space="0" w:color="auto"/>
            </w:tcBorders>
            <w:shd w:val="clear" w:color="auto" w:fill="auto"/>
            <w:noWrap/>
            <w:vAlign w:val="center"/>
            <w:hideMark/>
          </w:tcPr>
          <w:p w14:paraId="09EE9988" w14:textId="6BF4BA03"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700 000 </w:t>
            </w:r>
          </w:p>
        </w:tc>
        <w:tc>
          <w:tcPr>
            <w:tcW w:w="593" w:type="pct"/>
            <w:tcBorders>
              <w:top w:val="nil"/>
              <w:left w:val="nil"/>
              <w:bottom w:val="single" w:sz="4" w:space="0" w:color="auto"/>
              <w:right w:val="single" w:sz="4" w:space="0" w:color="auto"/>
            </w:tcBorders>
            <w:shd w:val="clear" w:color="auto" w:fill="auto"/>
            <w:noWrap/>
            <w:vAlign w:val="center"/>
            <w:hideMark/>
          </w:tcPr>
          <w:p w14:paraId="2184AFE1" w14:textId="269105BE"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500 000 </w:t>
            </w:r>
          </w:p>
        </w:tc>
        <w:tc>
          <w:tcPr>
            <w:tcW w:w="593" w:type="pct"/>
            <w:tcBorders>
              <w:top w:val="nil"/>
              <w:left w:val="nil"/>
              <w:bottom w:val="single" w:sz="4" w:space="0" w:color="auto"/>
              <w:right w:val="single" w:sz="4" w:space="0" w:color="auto"/>
            </w:tcBorders>
            <w:shd w:val="clear" w:color="auto" w:fill="auto"/>
            <w:noWrap/>
            <w:vAlign w:val="center"/>
            <w:hideMark/>
          </w:tcPr>
          <w:p w14:paraId="7A5C18CD" w14:textId="24961F38"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150 000 </w:t>
            </w:r>
          </w:p>
        </w:tc>
        <w:tc>
          <w:tcPr>
            <w:tcW w:w="593" w:type="pct"/>
            <w:tcBorders>
              <w:top w:val="nil"/>
              <w:left w:val="nil"/>
              <w:bottom w:val="single" w:sz="4" w:space="0" w:color="auto"/>
              <w:right w:val="single" w:sz="4" w:space="0" w:color="auto"/>
            </w:tcBorders>
            <w:shd w:val="clear" w:color="auto" w:fill="auto"/>
            <w:noWrap/>
            <w:vAlign w:val="center"/>
            <w:hideMark/>
          </w:tcPr>
          <w:p w14:paraId="3A306BC5" w14:textId="2E386EFA"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150 000 </w:t>
            </w:r>
          </w:p>
        </w:tc>
        <w:tc>
          <w:tcPr>
            <w:tcW w:w="593" w:type="pct"/>
            <w:tcBorders>
              <w:top w:val="nil"/>
              <w:left w:val="nil"/>
              <w:bottom w:val="single" w:sz="4" w:space="0" w:color="auto"/>
              <w:right w:val="single" w:sz="4" w:space="0" w:color="auto"/>
            </w:tcBorders>
            <w:shd w:val="clear" w:color="auto" w:fill="auto"/>
            <w:noWrap/>
            <w:vAlign w:val="center"/>
            <w:hideMark/>
          </w:tcPr>
          <w:p w14:paraId="6EA32706" w14:textId="4606392C"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150 000 </w:t>
            </w:r>
          </w:p>
        </w:tc>
        <w:tc>
          <w:tcPr>
            <w:tcW w:w="534" w:type="pct"/>
            <w:tcBorders>
              <w:top w:val="nil"/>
              <w:left w:val="nil"/>
              <w:bottom w:val="single" w:sz="4" w:space="0" w:color="auto"/>
              <w:right w:val="single" w:sz="4" w:space="0" w:color="auto"/>
            </w:tcBorders>
            <w:shd w:val="clear" w:color="auto" w:fill="auto"/>
            <w:noWrap/>
            <w:vAlign w:val="center"/>
            <w:hideMark/>
          </w:tcPr>
          <w:p w14:paraId="041D15CF" w14:textId="77CC2A58" w:rsidR="00DF066F" w:rsidRPr="00DF066F" w:rsidRDefault="00DF066F" w:rsidP="000A37B6">
            <w:pPr>
              <w:spacing w:after="0" w:line="240" w:lineRule="auto"/>
              <w:jc w:val="center"/>
              <w:rPr>
                <w:rFonts w:eastAsia="Times New Roman"/>
                <w:color w:val="000000"/>
                <w:sz w:val="20"/>
                <w:szCs w:val="20"/>
                <w:lang w:eastAsia="lv-LV"/>
              </w:rPr>
            </w:pPr>
            <w:r w:rsidRPr="00DF066F">
              <w:rPr>
                <w:rFonts w:eastAsia="Times New Roman"/>
                <w:color w:val="000000"/>
                <w:sz w:val="20"/>
                <w:szCs w:val="20"/>
                <w:lang w:eastAsia="lv-LV"/>
              </w:rPr>
              <w:t xml:space="preserve">50 000 </w:t>
            </w:r>
          </w:p>
        </w:tc>
        <w:tc>
          <w:tcPr>
            <w:tcW w:w="680" w:type="pct"/>
            <w:tcBorders>
              <w:top w:val="nil"/>
              <w:left w:val="nil"/>
              <w:bottom w:val="single" w:sz="4" w:space="0" w:color="auto"/>
              <w:right w:val="single" w:sz="4" w:space="0" w:color="auto"/>
            </w:tcBorders>
            <w:shd w:val="clear" w:color="auto" w:fill="auto"/>
            <w:noWrap/>
            <w:vAlign w:val="center"/>
            <w:hideMark/>
          </w:tcPr>
          <w:p w14:paraId="6ADA46CA" w14:textId="6E81583E" w:rsidR="00DF066F" w:rsidRPr="00DF066F" w:rsidRDefault="00DF066F" w:rsidP="000A37B6">
            <w:pPr>
              <w:spacing w:after="0" w:line="240" w:lineRule="auto"/>
              <w:jc w:val="center"/>
              <w:rPr>
                <w:rFonts w:eastAsia="Times New Roman"/>
                <w:b/>
                <w:bCs/>
                <w:color w:val="000000"/>
                <w:sz w:val="20"/>
                <w:szCs w:val="20"/>
                <w:lang w:eastAsia="lv-LV"/>
              </w:rPr>
            </w:pPr>
            <w:r w:rsidRPr="00DF066F">
              <w:rPr>
                <w:rFonts w:eastAsia="Times New Roman"/>
                <w:b/>
                <w:bCs/>
                <w:color w:val="000000"/>
                <w:sz w:val="20"/>
                <w:szCs w:val="20"/>
                <w:lang w:eastAsia="lv-LV"/>
              </w:rPr>
              <w:t xml:space="preserve">1 700 000 </w:t>
            </w:r>
          </w:p>
        </w:tc>
      </w:tr>
    </w:tbl>
    <w:p w14:paraId="62ED8176" w14:textId="4C8C74FE" w:rsidR="00DF066F" w:rsidRDefault="00DF066F" w:rsidP="00500EDD">
      <w:pPr>
        <w:suppressAutoHyphens/>
        <w:autoSpaceDN w:val="0"/>
        <w:spacing w:after="0" w:line="240" w:lineRule="auto"/>
        <w:jc w:val="both"/>
        <w:textAlignment w:val="baseline"/>
        <w:rPr>
          <w:rFonts w:eastAsia="Calibri"/>
        </w:rPr>
      </w:pPr>
    </w:p>
    <w:p w14:paraId="49125FF7" w14:textId="75EF6C91" w:rsidR="00B3561D" w:rsidRPr="00A7697D" w:rsidRDefault="00880897" w:rsidP="00250DD1">
      <w:pPr>
        <w:spacing w:after="0"/>
        <w:ind w:firstLine="720"/>
        <w:jc w:val="both"/>
      </w:pPr>
      <w:r>
        <w:t>Kopējais n</w:t>
      </w:r>
      <w:r w:rsidR="00B3561D" w:rsidRPr="003163C7">
        <w:t xml:space="preserve">epieciešamo </w:t>
      </w:r>
      <w:r w:rsidR="008C1AE0">
        <w:t>finanšu resursu</w:t>
      </w:r>
      <w:r w:rsidR="008C1AE0" w:rsidRPr="003163C7">
        <w:t xml:space="preserve"> </w:t>
      </w:r>
      <w:r w:rsidR="00B3561D" w:rsidRPr="003163C7">
        <w:t xml:space="preserve">piedāvājums tiek veidots minimālā apjomā, lai nodrošinātu EK noteikto funkciju veikšanu </w:t>
      </w:r>
      <w:r w:rsidR="00D1105C" w:rsidRPr="00D1105C">
        <w:t>Atveseļošanas fonda</w:t>
      </w:r>
      <w:r w:rsidR="00B3561D" w:rsidRPr="003163C7">
        <w:t xml:space="preserve"> plāna administrēšanai un uzraudzībai. </w:t>
      </w:r>
      <w:r w:rsidR="00D1105C" w:rsidRPr="00D1105C">
        <w:t>Atveseļošanas fonda</w:t>
      </w:r>
      <w:r w:rsidR="00B3561D">
        <w:t xml:space="preserve"> plāna ieviešanai nepieciešamie </w:t>
      </w:r>
      <w:r w:rsidR="00B3561D" w:rsidRPr="00D66FB6">
        <w:t>finanšu resursi ir terminēt</w:t>
      </w:r>
      <w:r w:rsidR="005E0D37">
        <w:t>i</w:t>
      </w:r>
      <w:r w:rsidR="00B3561D" w:rsidRPr="00D66FB6">
        <w:t xml:space="preserve"> uz noteiktu laiku – </w:t>
      </w:r>
      <w:r w:rsidR="00B3561D" w:rsidRPr="00A25E72">
        <w:t xml:space="preserve">līdz </w:t>
      </w:r>
      <w:r w:rsidR="00A34148" w:rsidRPr="00A34148">
        <w:t>Atveseļošanas fonda</w:t>
      </w:r>
      <w:r w:rsidR="00B3561D" w:rsidRPr="00A25E72">
        <w:t xml:space="preserve"> plāna ieviešanas noslēgumam. </w:t>
      </w:r>
    </w:p>
    <w:p w14:paraId="6FC051FE" w14:textId="7D24DF7F" w:rsidR="00B3561D" w:rsidRPr="00A25E72" w:rsidRDefault="00B3561D" w:rsidP="00E158E8">
      <w:pPr>
        <w:suppressAutoHyphens/>
        <w:autoSpaceDN w:val="0"/>
        <w:spacing w:after="0"/>
        <w:ind w:firstLine="720"/>
        <w:jc w:val="both"/>
        <w:textAlignment w:val="baseline"/>
        <w:rPr>
          <w:rFonts w:eastAsia="Calibri"/>
        </w:rPr>
      </w:pPr>
      <w:r w:rsidRPr="00A25E72">
        <w:rPr>
          <w:rFonts w:eastAsia="Calibri"/>
        </w:rPr>
        <w:t xml:space="preserve">Šāds risinājums ir visefektīvākais, lai nodrošinātu ekonomiskāko un atbilstošāko risinājumu </w:t>
      </w:r>
      <w:r w:rsidR="00793717" w:rsidRPr="00793717">
        <w:rPr>
          <w:rFonts w:eastAsia="Calibri"/>
        </w:rPr>
        <w:t>Atveseļošanas fonda</w:t>
      </w:r>
      <w:r w:rsidRPr="00A25E72">
        <w:rPr>
          <w:rFonts w:eastAsia="Calibri"/>
        </w:rPr>
        <w:t xml:space="preserve"> plāna VKS nodrošināšanai. </w:t>
      </w:r>
      <w:r w:rsidR="007F5621" w:rsidRPr="00A25E72">
        <w:rPr>
          <w:rFonts w:eastAsia="Calibri"/>
        </w:rPr>
        <w:t>Nepieciešamais finansējums</w:t>
      </w:r>
      <w:r w:rsidRPr="00A25E72">
        <w:rPr>
          <w:rFonts w:eastAsia="Calibri"/>
        </w:rPr>
        <w:t xml:space="preserve"> 2021.</w:t>
      </w:r>
      <w:r w:rsidR="006C0BE3" w:rsidRPr="00A25E72">
        <w:rPr>
          <w:rFonts w:eastAsia="Calibri"/>
        </w:rPr>
        <w:t>-2027.</w:t>
      </w:r>
      <w:r w:rsidR="003C3BB9">
        <w:rPr>
          <w:rFonts w:eastAsia="Calibri"/>
        </w:rPr>
        <w:t> </w:t>
      </w:r>
      <w:r w:rsidRPr="00A25E72">
        <w:rPr>
          <w:rFonts w:eastAsia="Calibri"/>
        </w:rPr>
        <w:t>gadam tiks nodrošināt</w:t>
      </w:r>
      <w:r w:rsidR="007F5621" w:rsidRPr="00A25E72">
        <w:rPr>
          <w:rFonts w:eastAsia="Calibri"/>
        </w:rPr>
        <w:t>s</w:t>
      </w:r>
      <w:r w:rsidRPr="00A25E72">
        <w:rPr>
          <w:rFonts w:eastAsia="Calibri"/>
        </w:rPr>
        <w:t xml:space="preserve"> no</w:t>
      </w:r>
      <w:r w:rsidR="00880897" w:rsidRPr="00A25E72">
        <w:rPr>
          <w:rFonts w:eastAsia="Calibri"/>
        </w:rPr>
        <w:t xml:space="preserve"> </w:t>
      </w:r>
      <w:r w:rsidR="006C0BE3" w:rsidRPr="00A25E72">
        <w:t>7</w:t>
      </w:r>
      <w:r w:rsidR="006C0BE3" w:rsidRPr="00A25E72">
        <w:rPr>
          <w:shd w:val="clear" w:color="auto" w:fill="FFFFFF"/>
        </w:rPr>
        <w:t>4.</w:t>
      </w:r>
      <w:r w:rsidR="003C3BB9">
        <w:rPr>
          <w:shd w:val="clear" w:color="auto" w:fill="FFFFFF"/>
        </w:rPr>
        <w:t> </w:t>
      </w:r>
      <w:r w:rsidR="006C0BE3" w:rsidRPr="00A25E72">
        <w:rPr>
          <w:shd w:val="clear" w:color="auto" w:fill="FFFFFF"/>
        </w:rPr>
        <w:t xml:space="preserve">resora </w:t>
      </w:r>
      <w:r w:rsidR="00D41F51" w:rsidRPr="00A25E72">
        <w:rPr>
          <w:shd w:val="clear" w:color="auto" w:fill="FFFFFF"/>
        </w:rPr>
        <w:t>“</w:t>
      </w:r>
      <w:r w:rsidR="006C0BE3" w:rsidRPr="00A25E72">
        <w:rPr>
          <w:shd w:val="clear" w:color="auto" w:fill="FFFFFF"/>
        </w:rPr>
        <w:t>Gadskārtējā valsts budžeta izpildes procesā pārdalāmais finansējums</w:t>
      </w:r>
      <w:r w:rsidR="00D41F51" w:rsidRPr="00A25E72">
        <w:rPr>
          <w:shd w:val="clear" w:color="auto" w:fill="FFFFFF"/>
        </w:rPr>
        <w:t>”</w:t>
      </w:r>
      <w:r w:rsidR="00880897" w:rsidRPr="00A25E72">
        <w:rPr>
          <w:shd w:val="clear" w:color="auto" w:fill="FFFFFF"/>
        </w:rPr>
        <w:t xml:space="preserve"> </w:t>
      </w:r>
      <w:r w:rsidR="006C0BE3" w:rsidRPr="00A25E72">
        <w:rPr>
          <w:shd w:val="clear" w:color="auto" w:fill="FFFFFF"/>
        </w:rPr>
        <w:t xml:space="preserve">programmas 80.00.00 </w:t>
      </w:r>
      <w:r w:rsidR="00D41F51" w:rsidRPr="00A25E72">
        <w:rPr>
          <w:shd w:val="clear" w:color="auto" w:fill="FFFFFF"/>
        </w:rPr>
        <w:t>“</w:t>
      </w:r>
      <w:r w:rsidR="006C0BE3" w:rsidRPr="00A25E72">
        <w:rPr>
          <w:shd w:val="clear" w:color="auto" w:fill="FFFFFF"/>
        </w:rPr>
        <w:t>Nesadalītais finansējums Eiropas Savienības politiku instrumentu un pārējās ārvalstu finanšu palīdzības līdzfinansēto projektu un pasākumu īstenošanai</w:t>
      </w:r>
      <w:r w:rsidR="00D41F51" w:rsidRPr="00A25E72">
        <w:rPr>
          <w:shd w:val="clear" w:color="auto" w:fill="FFFFFF"/>
        </w:rPr>
        <w:t>”</w:t>
      </w:r>
      <w:r w:rsidR="00880897" w:rsidRPr="00A25E72">
        <w:rPr>
          <w:rFonts w:eastAsia="Calibri"/>
        </w:rPr>
        <w:t xml:space="preserve">. </w:t>
      </w:r>
    </w:p>
    <w:p w14:paraId="6317BEC0" w14:textId="77777777" w:rsidR="00A409ED" w:rsidRDefault="00A409ED" w:rsidP="00500EDD">
      <w:pPr>
        <w:suppressAutoHyphens/>
        <w:autoSpaceDN w:val="0"/>
        <w:spacing w:after="0" w:line="240" w:lineRule="auto"/>
        <w:jc w:val="both"/>
        <w:textAlignment w:val="baseline"/>
        <w:rPr>
          <w:rFonts w:eastAsia="Calibri"/>
          <w:b/>
          <w:bCs/>
        </w:rPr>
      </w:pPr>
    </w:p>
    <w:p w14:paraId="755F897F" w14:textId="2962CE94" w:rsidR="00DF066F" w:rsidRPr="00173DD9" w:rsidRDefault="00EF1B50" w:rsidP="00173DD9">
      <w:pPr>
        <w:pStyle w:val="ListParagraph"/>
        <w:numPr>
          <w:ilvl w:val="0"/>
          <w:numId w:val="26"/>
        </w:numPr>
        <w:suppressAutoHyphens/>
        <w:autoSpaceDN w:val="0"/>
        <w:spacing w:after="0" w:line="240" w:lineRule="auto"/>
        <w:jc w:val="center"/>
        <w:textAlignment w:val="baseline"/>
        <w:rPr>
          <w:rFonts w:eastAsia="Calibri"/>
          <w:b/>
          <w:bCs/>
        </w:rPr>
      </w:pPr>
      <w:r w:rsidRPr="00173DD9">
        <w:rPr>
          <w:rFonts w:eastAsia="Calibri"/>
          <w:b/>
          <w:bCs/>
        </w:rPr>
        <w:t>N</w:t>
      </w:r>
      <w:r w:rsidR="00552385" w:rsidRPr="00173DD9">
        <w:rPr>
          <w:rFonts w:eastAsia="Calibri"/>
          <w:b/>
          <w:bCs/>
        </w:rPr>
        <w:t>epieciešamie finanšu resurs</w:t>
      </w:r>
      <w:r w:rsidR="0017147F" w:rsidRPr="00173DD9">
        <w:rPr>
          <w:rFonts w:eastAsia="Calibri"/>
          <w:b/>
          <w:bCs/>
        </w:rPr>
        <w:t>i</w:t>
      </w:r>
      <w:r w:rsidR="007375B5" w:rsidRPr="00173DD9">
        <w:rPr>
          <w:rFonts w:eastAsia="Calibri"/>
          <w:b/>
          <w:bCs/>
        </w:rPr>
        <w:t xml:space="preserve"> FM resorā</w:t>
      </w:r>
      <w:r w:rsidR="0017147F" w:rsidRPr="00173DD9">
        <w:rPr>
          <w:rFonts w:eastAsia="Calibri"/>
          <w:b/>
          <w:bCs/>
        </w:rPr>
        <w:t>, to</w:t>
      </w:r>
      <w:r w:rsidR="002A0C57" w:rsidRPr="00173DD9">
        <w:rPr>
          <w:rFonts w:eastAsia="Calibri"/>
          <w:b/>
          <w:bCs/>
        </w:rPr>
        <w:t xml:space="preserve"> pamatojums</w:t>
      </w:r>
    </w:p>
    <w:p w14:paraId="1D8A5A90" w14:textId="6367BA09" w:rsidR="00DF066F" w:rsidRDefault="00DF066F" w:rsidP="00500EDD">
      <w:pPr>
        <w:suppressAutoHyphens/>
        <w:autoSpaceDN w:val="0"/>
        <w:spacing w:after="0" w:line="240" w:lineRule="auto"/>
        <w:jc w:val="both"/>
        <w:textAlignment w:val="baseline"/>
        <w:rPr>
          <w:rFonts w:eastAsia="Calibri"/>
        </w:rPr>
      </w:pPr>
    </w:p>
    <w:p w14:paraId="6DE71595" w14:textId="6801C6FA" w:rsidR="00EF1B50" w:rsidRDefault="00EF1B50" w:rsidP="00500EDD">
      <w:pPr>
        <w:suppressAutoHyphens/>
        <w:autoSpaceDN w:val="0"/>
        <w:spacing w:after="0" w:line="240" w:lineRule="auto"/>
        <w:jc w:val="both"/>
        <w:textAlignment w:val="baseline"/>
        <w:rPr>
          <w:rFonts w:eastAsia="Calibri"/>
          <w:b/>
          <w:bCs/>
        </w:rPr>
      </w:pPr>
      <w:r>
        <w:rPr>
          <w:rFonts w:eastAsia="Calibri"/>
          <w:b/>
          <w:bCs/>
        </w:rPr>
        <w:t>FM</w:t>
      </w:r>
      <w:r w:rsidR="001F5B17">
        <w:rPr>
          <w:rFonts w:eastAsia="Calibri"/>
          <w:b/>
          <w:bCs/>
        </w:rPr>
        <w:t xml:space="preserve"> </w:t>
      </w:r>
      <w:r w:rsidR="001F5B17" w:rsidRPr="001F5B17">
        <w:rPr>
          <w:rFonts w:eastAsia="Calibri"/>
          <w:b/>
          <w:bCs/>
        </w:rPr>
        <w:t>(VI, RI, KAKD</w:t>
      </w:r>
      <w:r w:rsidR="003C60C3">
        <w:rPr>
          <w:rFonts w:eastAsia="Calibri"/>
          <w:b/>
          <w:bCs/>
        </w:rPr>
        <w:t>, KD</w:t>
      </w:r>
      <w:r w:rsidR="001F5B17" w:rsidRPr="001F5B17">
        <w:rPr>
          <w:rFonts w:eastAsia="Calibri"/>
          <w:b/>
          <w:bCs/>
        </w:rPr>
        <w:t>)</w:t>
      </w:r>
    </w:p>
    <w:p w14:paraId="5384A701" w14:textId="1DBD440E" w:rsidR="00EF1B50" w:rsidRDefault="00EF1B50" w:rsidP="00500EDD">
      <w:pPr>
        <w:suppressAutoHyphens/>
        <w:autoSpaceDN w:val="0"/>
        <w:spacing w:after="0" w:line="240" w:lineRule="auto"/>
        <w:jc w:val="both"/>
        <w:textAlignment w:val="baseline"/>
        <w:rPr>
          <w:rFonts w:eastAsia="Calibri"/>
          <w:b/>
          <w:bCs/>
        </w:rPr>
      </w:pPr>
    </w:p>
    <w:p w14:paraId="6A0B3042" w14:textId="132F5299" w:rsidR="0021570D" w:rsidRDefault="0021570D" w:rsidP="009266BB">
      <w:pPr>
        <w:suppressAutoHyphens/>
        <w:autoSpaceDN w:val="0"/>
        <w:spacing w:after="0" w:line="276" w:lineRule="auto"/>
        <w:jc w:val="both"/>
        <w:textAlignment w:val="baseline"/>
        <w:rPr>
          <w:rFonts w:eastAsia="Calibri"/>
        </w:rPr>
      </w:pPr>
      <w:r>
        <w:rPr>
          <w:rFonts w:eastAsia="Calibri"/>
        </w:rPr>
        <w:t xml:space="preserve">FM </w:t>
      </w:r>
      <w:r w:rsidR="00793717" w:rsidRPr="00793717">
        <w:rPr>
          <w:rFonts w:eastAsia="Calibri"/>
        </w:rPr>
        <w:t>Atveseļošanas fonda</w:t>
      </w:r>
      <w:r w:rsidRPr="00597F33">
        <w:rPr>
          <w:rFonts w:eastAsia="Calibri"/>
        </w:rPr>
        <w:t xml:space="preserve"> plāna</w:t>
      </w:r>
      <w:r>
        <w:rPr>
          <w:rFonts w:eastAsia="Calibri"/>
        </w:rPr>
        <w:t xml:space="preserve"> ieviešanai veiks papildus funkcijas</w:t>
      </w:r>
      <w:r w:rsidR="005E0D37">
        <w:rPr>
          <w:rFonts w:eastAsia="Calibri"/>
        </w:rPr>
        <w:t xml:space="preserve">, nodrošinot </w:t>
      </w:r>
      <w:r w:rsidR="00793717" w:rsidRPr="00793717">
        <w:rPr>
          <w:rFonts w:eastAsia="Calibri"/>
        </w:rPr>
        <w:t>Atveseļošanas fonda</w:t>
      </w:r>
      <w:r w:rsidR="005E0D37" w:rsidRPr="0021570D">
        <w:rPr>
          <w:rFonts w:eastAsia="Calibri"/>
        </w:rPr>
        <w:t xml:space="preserve"> plāna</w:t>
      </w:r>
      <w:r>
        <w:rPr>
          <w:rFonts w:eastAsia="Calibri"/>
        </w:rPr>
        <w:t>:</w:t>
      </w:r>
    </w:p>
    <w:p w14:paraId="6DEB82BC" w14:textId="4088BAE7" w:rsidR="0021570D" w:rsidRDefault="0021570D" w:rsidP="009266BB">
      <w:pPr>
        <w:pStyle w:val="ListParagraph"/>
        <w:numPr>
          <w:ilvl w:val="0"/>
          <w:numId w:val="19"/>
        </w:numPr>
        <w:suppressAutoHyphens/>
        <w:autoSpaceDN w:val="0"/>
        <w:spacing w:after="0" w:line="276" w:lineRule="auto"/>
        <w:jc w:val="both"/>
        <w:textAlignment w:val="baseline"/>
        <w:rPr>
          <w:rFonts w:eastAsia="Calibri"/>
        </w:rPr>
      </w:pPr>
      <w:r w:rsidRPr="0021570D">
        <w:rPr>
          <w:rFonts w:eastAsia="Calibri"/>
        </w:rPr>
        <w:t>koordinatora funkcij</w:t>
      </w:r>
      <w:r w:rsidR="005E0D37">
        <w:rPr>
          <w:rFonts w:eastAsia="Calibri"/>
        </w:rPr>
        <w:t>u</w:t>
      </w:r>
      <w:r w:rsidRPr="0021570D">
        <w:rPr>
          <w:rFonts w:eastAsia="Calibri"/>
        </w:rPr>
        <w:t xml:space="preserve"> sadarbībai ar EK</w:t>
      </w:r>
      <w:r>
        <w:rPr>
          <w:rFonts w:eastAsia="Calibri"/>
        </w:rPr>
        <w:t>;</w:t>
      </w:r>
    </w:p>
    <w:p w14:paraId="279BDEFE" w14:textId="6820473C" w:rsidR="0021570D" w:rsidRDefault="005E0D37" w:rsidP="009266BB">
      <w:pPr>
        <w:pStyle w:val="ListParagraph"/>
        <w:numPr>
          <w:ilvl w:val="0"/>
          <w:numId w:val="19"/>
        </w:numPr>
        <w:suppressAutoHyphens/>
        <w:autoSpaceDN w:val="0"/>
        <w:spacing w:after="0" w:line="276" w:lineRule="auto"/>
        <w:jc w:val="both"/>
        <w:textAlignment w:val="baseline"/>
        <w:rPr>
          <w:rFonts w:eastAsia="Calibri"/>
        </w:rPr>
      </w:pPr>
      <w:r>
        <w:rPr>
          <w:rFonts w:eastAsia="Calibri"/>
        </w:rPr>
        <w:t>r</w:t>
      </w:r>
      <w:r w:rsidR="0021570D" w:rsidRPr="0021570D">
        <w:rPr>
          <w:rFonts w:eastAsia="Calibri"/>
        </w:rPr>
        <w:t>eformu ieviešanas atskaites punktu virsuzraudzīb</w:t>
      </w:r>
      <w:r>
        <w:rPr>
          <w:rFonts w:eastAsia="Calibri"/>
        </w:rPr>
        <w:t>u</w:t>
      </w:r>
      <w:r w:rsidR="0021570D" w:rsidRPr="0021570D">
        <w:rPr>
          <w:rFonts w:eastAsia="Calibri"/>
        </w:rPr>
        <w:t>;</w:t>
      </w:r>
    </w:p>
    <w:p w14:paraId="65F0950F" w14:textId="3F5ADB9D" w:rsidR="0021570D" w:rsidRPr="005E0D37" w:rsidRDefault="00184051" w:rsidP="005E0D37">
      <w:pPr>
        <w:pStyle w:val="ListParagraph"/>
        <w:numPr>
          <w:ilvl w:val="0"/>
          <w:numId w:val="19"/>
        </w:numPr>
        <w:suppressAutoHyphens/>
        <w:autoSpaceDN w:val="0"/>
        <w:spacing w:after="0" w:line="276" w:lineRule="auto"/>
        <w:jc w:val="both"/>
        <w:textAlignment w:val="baseline"/>
        <w:rPr>
          <w:rFonts w:eastAsia="Calibri"/>
        </w:rPr>
      </w:pPr>
      <w:r w:rsidRPr="005E0D37">
        <w:rPr>
          <w:rFonts w:eastAsia="Calibri"/>
        </w:rPr>
        <w:t>vadības un kontroles sistēmas izveid</w:t>
      </w:r>
      <w:r w:rsidR="005E0D37" w:rsidRPr="0017147F">
        <w:rPr>
          <w:rFonts w:eastAsia="Calibri"/>
        </w:rPr>
        <w:t xml:space="preserve">i un </w:t>
      </w:r>
      <w:r w:rsidRPr="005E0D37">
        <w:rPr>
          <w:rFonts w:eastAsia="Calibri"/>
        </w:rPr>
        <w:t>risku vadīb</w:t>
      </w:r>
      <w:r w:rsidR="005E0D37">
        <w:rPr>
          <w:rFonts w:eastAsia="Calibri"/>
        </w:rPr>
        <w:t>u</w:t>
      </w:r>
      <w:r w:rsidR="0021570D" w:rsidRPr="005E0D37">
        <w:rPr>
          <w:rFonts w:eastAsia="Calibri"/>
        </w:rPr>
        <w:t>;</w:t>
      </w:r>
    </w:p>
    <w:p w14:paraId="14950DBC" w14:textId="0BB2ADC8" w:rsidR="00CB1660" w:rsidRDefault="00184051" w:rsidP="009266BB">
      <w:pPr>
        <w:pStyle w:val="ListParagraph"/>
        <w:numPr>
          <w:ilvl w:val="0"/>
          <w:numId w:val="19"/>
        </w:numPr>
        <w:suppressAutoHyphens/>
        <w:autoSpaceDN w:val="0"/>
        <w:spacing w:after="0" w:line="276" w:lineRule="auto"/>
        <w:jc w:val="both"/>
        <w:textAlignment w:val="baseline"/>
        <w:rPr>
          <w:rFonts w:eastAsia="Calibri"/>
        </w:rPr>
      </w:pPr>
      <w:r w:rsidRPr="009A3C1F">
        <w:rPr>
          <w:rFonts w:eastAsia="Calibri"/>
        </w:rPr>
        <w:t xml:space="preserve">progresa ziņojuma, maksājuma pieprasījuma </w:t>
      </w:r>
      <w:r w:rsidR="009A3C1F" w:rsidRPr="009A3C1F">
        <w:rPr>
          <w:rFonts w:eastAsia="Calibri"/>
        </w:rPr>
        <w:t>EK sagatavošanu un iesniegšanu</w:t>
      </w:r>
      <w:r w:rsidR="00B6762A" w:rsidRPr="009A3C1F">
        <w:rPr>
          <w:rFonts w:eastAsia="Calibri"/>
        </w:rPr>
        <w:t>;</w:t>
      </w:r>
    </w:p>
    <w:p w14:paraId="53AB8815" w14:textId="73BEF6A4" w:rsidR="00CB1660" w:rsidRDefault="00184051" w:rsidP="009266BB">
      <w:pPr>
        <w:pStyle w:val="ListParagraph"/>
        <w:numPr>
          <w:ilvl w:val="0"/>
          <w:numId w:val="19"/>
        </w:numPr>
        <w:suppressAutoHyphens/>
        <w:autoSpaceDN w:val="0"/>
        <w:spacing w:after="0" w:line="276" w:lineRule="auto"/>
        <w:jc w:val="both"/>
        <w:textAlignment w:val="baseline"/>
        <w:rPr>
          <w:rFonts w:eastAsia="Calibri"/>
        </w:rPr>
      </w:pPr>
      <w:r w:rsidRPr="00CB1660">
        <w:rPr>
          <w:rFonts w:eastAsia="Calibri"/>
        </w:rPr>
        <w:t>ieviešanas budžeta plūsmas apkopotās prognozes sagatavošan</w:t>
      </w:r>
      <w:r w:rsidR="005E0D37">
        <w:rPr>
          <w:rFonts w:eastAsia="Calibri"/>
        </w:rPr>
        <w:t>u</w:t>
      </w:r>
      <w:r w:rsidR="00EE19EE" w:rsidRPr="00CB1660">
        <w:rPr>
          <w:rFonts w:eastAsia="Calibri"/>
        </w:rPr>
        <w:t>;</w:t>
      </w:r>
    </w:p>
    <w:p w14:paraId="4509B9FD" w14:textId="3052C7ED" w:rsidR="00CB1660" w:rsidRDefault="005E0D37" w:rsidP="009266BB">
      <w:pPr>
        <w:pStyle w:val="ListParagraph"/>
        <w:numPr>
          <w:ilvl w:val="0"/>
          <w:numId w:val="19"/>
        </w:numPr>
        <w:suppressAutoHyphens/>
        <w:autoSpaceDN w:val="0"/>
        <w:spacing w:after="0" w:line="276" w:lineRule="auto"/>
        <w:jc w:val="both"/>
        <w:textAlignment w:val="baseline"/>
        <w:rPr>
          <w:rFonts w:eastAsia="Calibri"/>
        </w:rPr>
      </w:pPr>
      <w:r>
        <w:rPr>
          <w:rFonts w:eastAsia="Calibri"/>
        </w:rPr>
        <w:t>j</w:t>
      </w:r>
      <w:r w:rsidR="00184051" w:rsidRPr="00CB1660">
        <w:rPr>
          <w:rFonts w:eastAsia="Calibri"/>
        </w:rPr>
        <w:t>uridisk</w:t>
      </w:r>
      <w:r>
        <w:rPr>
          <w:rFonts w:eastAsia="Calibri"/>
        </w:rPr>
        <w:t>o</w:t>
      </w:r>
      <w:r w:rsidR="00184051" w:rsidRPr="00CB1660">
        <w:rPr>
          <w:rFonts w:eastAsia="Calibri"/>
        </w:rPr>
        <w:t xml:space="preserve"> </w:t>
      </w:r>
      <w:proofErr w:type="spellStart"/>
      <w:r w:rsidR="00184051" w:rsidRPr="00CB1660">
        <w:rPr>
          <w:rFonts w:eastAsia="Calibri"/>
        </w:rPr>
        <w:t>virskontrol</w:t>
      </w:r>
      <w:r>
        <w:rPr>
          <w:rFonts w:eastAsia="Calibri"/>
        </w:rPr>
        <w:t>i</w:t>
      </w:r>
      <w:proofErr w:type="spellEnd"/>
      <w:r w:rsidR="00184051" w:rsidRPr="00CB1660">
        <w:rPr>
          <w:rFonts w:eastAsia="Calibri"/>
        </w:rPr>
        <w:t xml:space="preserve"> CFLA</w:t>
      </w:r>
      <w:r w:rsidR="00B31F8B">
        <w:rPr>
          <w:rFonts w:eastAsia="Calibri"/>
        </w:rPr>
        <w:t xml:space="preserve"> pieņemtajiem lēmumiem investīciju īstenošanas ietvaros veiktajās</w:t>
      </w:r>
      <w:r w:rsidR="00712BDA">
        <w:rPr>
          <w:rFonts w:eastAsia="Calibri"/>
        </w:rPr>
        <w:t xml:space="preserve"> projektu iesniegumu </w:t>
      </w:r>
      <w:r w:rsidR="00184051" w:rsidRPr="00CB1660">
        <w:rPr>
          <w:rFonts w:eastAsia="Calibri"/>
        </w:rPr>
        <w:t>atlas</w:t>
      </w:r>
      <w:r w:rsidR="00B31F8B">
        <w:rPr>
          <w:rFonts w:eastAsia="Calibri"/>
        </w:rPr>
        <w:t>ēs</w:t>
      </w:r>
      <w:r w:rsidR="00EE19EE" w:rsidRPr="00CB1660">
        <w:rPr>
          <w:rFonts w:eastAsia="Calibri"/>
        </w:rPr>
        <w:t>;</w:t>
      </w:r>
    </w:p>
    <w:p w14:paraId="18B23DD6" w14:textId="00AE2936" w:rsidR="00CB1660" w:rsidRDefault="00184051" w:rsidP="009266BB">
      <w:pPr>
        <w:pStyle w:val="ListParagraph"/>
        <w:numPr>
          <w:ilvl w:val="0"/>
          <w:numId w:val="19"/>
        </w:numPr>
        <w:suppressAutoHyphens/>
        <w:autoSpaceDN w:val="0"/>
        <w:spacing w:after="0" w:line="276" w:lineRule="auto"/>
        <w:jc w:val="both"/>
        <w:textAlignment w:val="baseline"/>
        <w:rPr>
          <w:rFonts w:eastAsia="Calibri"/>
        </w:rPr>
      </w:pPr>
      <w:r w:rsidRPr="00CB1660">
        <w:rPr>
          <w:rFonts w:eastAsia="Calibri"/>
        </w:rPr>
        <w:t>komunikācijas stratēģisk</w:t>
      </w:r>
      <w:r w:rsidR="005E0D37">
        <w:rPr>
          <w:rFonts w:eastAsia="Calibri"/>
        </w:rPr>
        <w:t>o</w:t>
      </w:r>
      <w:r w:rsidRPr="00CB1660">
        <w:rPr>
          <w:rFonts w:eastAsia="Calibri"/>
        </w:rPr>
        <w:t xml:space="preserve"> vadīb</w:t>
      </w:r>
      <w:r w:rsidR="005E0D37">
        <w:rPr>
          <w:rFonts w:eastAsia="Calibri"/>
        </w:rPr>
        <w:t>u</w:t>
      </w:r>
      <w:r w:rsidRPr="00CB1660">
        <w:rPr>
          <w:rFonts w:eastAsia="Calibri"/>
        </w:rPr>
        <w:t>, komunikācij</w:t>
      </w:r>
      <w:r w:rsidR="005E0D37">
        <w:rPr>
          <w:rFonts w:eastAsia="Calibri"/>
        </w:rPr>
        <w:t>u</w:t>
      </w:r>
      <w:r w:rsidR="00EE19EE" w:rsidRPr="00CB1660">
        <w:rPr>
          <w:rFonts w:eastAsia="Calibri"/>
        </w:rPr>
        <w:t>;</w:t>
      </w:r>
    </w:p>
    <w:p w14:paraId="0AB1ABED" w14:textId="53749011" w:rsidR="00CB1660" w:rsidRPr="00CB1660" w:rsidRDefault="00FF597C" w:rsidP="009266BB">
      <w:pPr>
        <w:pStyle w:val="ListParagraph"/>
        <w:numPr>
          <w:ilvl w:val="0"/>
          <w:numId w:val="19"/>
        </w:numPr>
        <w:suppressAutoHyphens/>
        <w:autoSpaceDN w:val="0"/>
        <w:spacing w:after="0" w:line="276" w:lineRule="auto"/>
        <w:jc w:val="both"/>
        <w:textAlignment w:val="baseline"/>
        <w:rPr>
          <w:rFonts w:eastAsia="Calibri"/>
        </w:rPr>
      </w:pPr>
      <w:r w:rsidRPr="00FF597C">
        <w:rPr>
          <w:rFonts w:eastAsia="Calibri"/>
        </w:rPr>
        <w:t xml:space="preserve">nozaru ministriju un Valsts kancelejas plānoto atbalsta programmu vai </w:t>
      </w:r>
      <w:proofErr w:type="spellStart"/>
      <w:r w:rsidRPr="003C3BB9">
        <w:rPr>
          <w:rFonts w:eastAsia="Calibri"/>
          <w:i/>
        </w:rPr>
        <w:t>ad-hoc</w:t>
      </w:r>
      <w:proofErr w:type="spellEnd"/>
      <w:r w:rsidRPr="00FF597C">
        <w:rPr>
          <w:rFonts w:eastAsia="Calibri"/>
        </w:rPr>
        <w:t xml:space="preserve"> atbalsta projektu (kā arī plānoto grozījumu tajos) sākotnējās izvērtēšanas veikšanu un atzinumu sagatavošanu atbilstoši Komercdarbības atbalsta kontroles likuma 9.</w:t>
      </w:r>
      <w:r w:rsidR="003C3BB9">
        <w:rPr>
          <w:rFonts w:eastAsia="Calibri"/>
        </w:rPr>
        <w:t> </w:t>
      </w:r>
      <w:r w:rsidRPr="00FF597C">
        <w:rPr>
          <w:rFonts w:eastAsia="Calibri"/>
        </w:rPr>
        <w:t xml:space="preserve">pantā noteiktajam, kā arī komercdarbības atbalsta paziņojumu un kopsavilkumu informācijas iesniegšanu </w:t>
      </w:r>
      <w:r w:rsidR="00A25E72">
        <w:rPr>
          <w:rFonts w:eastAsia="Calibri"/>
        </w:rPr>
        <w:t>EK</w:t>
      </w:r>
      <w:r w:rsidRPr="00FF597C">
        <w:rPr>
          <w:rFonts w:eastAsia="Calibri"/>
        </w:rPr>
        <w:t xml:space="preserve"> sadarbībā ar nozaru ministrijām un </w:t>
      </w:r>
      <w:r w:rsidRPr="00FF597C">
        <w:rPr>
          <w:rFonts w:eastAsia="Calibri"/>
        </w:rPr>
        <w:lastRenderedPageBreak/>
        <w:t xml:space="preserve">Valsts kanceleju, lai nodrošinātu plānoto atbalsta programmu vai </w:t>
      </w:r>
      <w:proofErr w:type="spellStart"/>
      <w:r w:rsidRPr="00FF597C">
        <w:rPr>
          <w:rFonts w:eastAsia="Calibri"/>
        </w:rPr>
        <w:t>ad-hoc</w:t>
      </w:r>
      <w:proofErr w:type="spellEnd"/>
      <w:r w:rsidRPr="00FF597C">
        <w:rPr>
          <w:rFonts w:eastAsia="Calibri"/>
        </w:rPr>
        <w:t xml:space="preserve"> atbalsta projektu saderību ar ES iekšējo tirgu</w:t>
      </w:r>
      <w:r w:rsidR="00CB1660" w:rsidRPr="00CB1660">
        <w:rPr>
          <w:rFonts w:eastAsia="Calibri"/>
        </w:rPr>
        <w:t>;</w:t>
      </w:r>
    </w:p>
    <w:p w14:paraId="33FE4403" w14:textId="2F3C947A" w:rsidR="00184051" w:rsidRPr="00255B5F" w:rsidRDefault="00EB10EA" w:rsidP="009266BB">
      <w:pPr>
        <w:pStyle w:val="ListParagraph"/>
        <w:numPr>
          <w:ilvl w:val="0"/>
          <w:numId w:val="19"/>
        </w:numPr>
        <w:suppressAutoHyphens/>
        <w:autoSpaceDN w:val="0"/>
        <w:spacing w:after="0" w:line="276" w:lineRule="auto"/>
        <w:ind w:left="426" w:hanging="1"/>
        <w:jc w:val="both"/>
        <w:textAlignment w:val="baseline"/>
        <w:rPr>
          <w:rFonts w:eastAsia="Calibri"/>
          <w:b/>
          <w:bCs/>
        </w:rPr>
      </w:pPr>
      <w:r>
        <w:rPr>
          <w:rFonts w:eastAsia="Calibri"/>
        </w:rPr>
        <w:t>R</w:t>
      </w:r>
      <w:r w:rsidR="00255B5F" w:rsidRPr="00255B5F">
        <w:rPr>
          <w:rFonts w:eastAsia="Calibri"/>
        </w:rPr>
        <w:t xml:space="preserve">evīzija </w:t>
      </w:r>
      <w:r w:rsidRPr="00073E97">
        <w:rPr>
          <w:rFonts w:eastAsia="Calibri"/>
        </w:rPr>
        <w:t>iestādes</w:t>
      </w:r>
      <w:r w:rsidR="005E0D37">
        <w:rPr>
          <w:rFonts w:eastAsia="Calibri"/>
        </w:rPr>
        <w:t xml:space="preserve"> funkciju</w:t>
      </w:r>
      <w:r w:rsidR="00255B5F" w:rsidRPr="00255B5F">
        <w:rPr>
          <w:rFonts w:eastAsia="Calibri"/>
        </w:rPr>
        <w:t xml:space="preserve">. </w:t>
      </w:r>
    </w:p>
    <w:p w14:paraId="1A3AE412" w14:textId="604C4421" w:rsidR="001F5B17" w:rsidRDefault="001F5B17" w:rsidP="00500EDD">
      <w:pPr>
        <w:suppressAutoHyphens/>
        <w:autoSpaceDN w:val="0"/>
        <w:spacing w:after="0" w:line="240" w:lineRule="auto"/>
        <w:jc w:val="both"/>
        <w:textAlignment w:val="baseline"/>
        <w:rPr>
          <w:rFonts w:eastAsia="Calibri"/>
          <w:b/>
          <w:bCs/>
        </w:rPr>
      </w:pPr>
    </w:p>
    <w:p w14:paraId="0387C90E" w14:textId="2A6D6F33" w:rsidR="001F5B17" w:rsidRDefault="00A60255" w:rsidP="00500EDD">
      <w:pPr>
        <w:suppressAutoHyphens/>
        <w:autoSpaceDN w:val="0"/>
        <w:spacing w:after="0" w:line="240" w:lineRule="auto"/>
        <w:jc w:val="both"/>
        <w:textAlignment w:val="baseline"/>
        <w:rPr>
          <w:rFonts w:eastAsia="Calibri"/>
          <w:b/>
          <w:bCs/>
        </w:rPr>
      </w:pPr>
      <w:r w:rsidRPr="00A60255">
        <w:rPr>
          <w:rFonts w:eastAsia="Calibri"/>
        </w:rPr>
        <w:t>FM (VI, RI, KAKD</w:t>
      </w:r>
      <w:r>
        <w:rPr>
          <w:rFonts w:eastAsia="Calibri"/>
        </w:rPr>
        <w:t>, KD</w:t>
      </w:r>
      <w:r w:rsidRPr="00A60255">
        <w:rPr>
          <w:rFonts w:eastAsia="Calibri"/>
        </w:rPr>
        <w:t xml:space="preserve">) nepieciešamais finansējums 2 448 000 </w:t>
      </w:r>
      <w:r w:rsidR="00A25E72">
        <w:rPr>
          <w:rFonts w:eastAsia="Calibri"/>
        </w:rPr>
        <w:t>EUR</w:t>
      </w:r>
      <w:r w:rsidR="00A25E72" w:rsidRPr="00A60255">
        <w:rPr>
          <w:rFonts w:eastAsia="Calibri"/>
        </w:rPr>
        <w:t xml:space="preserve">, </w:t>
      </w:r>
      <w:r w:rsidRPr="00A60255">
        <w:rPr>
          <w:rFonts w:eastAsia="Calibri"/>
        </w:rPr>
        <w:t xml:space="preserve">kas aprēķināts 12 slodzēm (34 000 </w:t>
      </w:r>
      <w:r w:rsidR="00674E11">
        <w:rPr>
          <w:rFonts w:eastAsia="Calibri"/>
        </w:rPr>
        <w:t>EUR</w:t>
      </w:r>
      <w:r w:rsidR="00CB782A" w:rsidRPr="00A60255">
        <w:rPr>
          <w:rFonts w:eastAsia="Calibri"/>
        </w:rPr>
        <w:t xml:space="preserve"> </w:t>
      </w:r>
      <w:r w:rsidRPr="00A60255">
        <w:rPr>
          <w:rFonts w:eastAsia="Calibri"/>
        </w:rPr>
        <w:t>gadā par 1 slodzi x 12 x 6 gadi). Funkcijas tiks nodrošinātas esošo amata vietu ievaros, nepalielinot kopējo amata vietu skaitu resorā.</w:t>
      </w:r>
    </w:p>
    <w:p w14:paraId="2B6731BB" w14:textId="77777777" w:rsidR="000E7622" w:rsidRDefault="000E7622" w:rsidP="00500EDD">
      <w:pPr>
        <w:suppressAutoHyphens/>
        <w:autoSpaceDN w:val="0"/>
        <w:spacing w:after="0" w:line="240" w:lineRule="auto"/>
        <w:jc w:val="both"/>
        <w:textAlignment w:val="baseline"/>
        <w:rPr>
          <w:rFonts w:eastAsia="Calibri"/>
          <w:b/>
          <w:bCs/>
        </w:rPr>
      </w:pPr>
    </w:p>
    <w:p w14:paraId="1D58DB24" w14:textId="082C5012" w:rsidR="00EF1B50" w:rsidRDefault="00EF1B50" w:rsidP="00500EDD">
      <w:pPr>
        <w:suppressAutoHyphens/>
        <w:autoSpaceDN w:val="0"/>
        <w:spacing w:after="0" w:line="240" w:lineRule="auto"/>
        <w:jc w:val="both"/>
        <w:textAlignment w:val="baseline"/>
        <w:rPr>
          <w:rFonts w:eastAsia="Calibri"/>
          <w:b/>
          <w:bCs/>
        </w:rPr>
      </w:pPr>
      <w:r w:rsidRPr="00EF1B50">
        <w:rPr>
          <w:rFonts w:eastAsia="Calibri"/>
          <w:b/>
          <w:bCs/>
        </w:rPr>
        <w:t>CFLA</w:t>
      </w:r>
    </w:p>
    <w:p w14:paraId="2196BDB8" w14:textId="77777777" w:rsidR="00CB1660" w:rsidRPr="00EF1B50" w:rsidRDefault="00CB1660" w:rsidP="00500EDD">
      <w:pPr>
        <w:suppressAutoHyphens/>
        <w:autoSpaceDN w:val="0"/>
        <w:spacing w:after="0" w:line="240" w:lineRule="auto"/>
        <w:jc w:val="both"/>
        <w:textAlignment w:val="baseline"/>
        <w:rPr>
          <w:rFonts w:eastAsia="Calibri"/>
          <w:b/>
          <w:bCs/>
        </w:rPr>
      </w:pPr>
    </w:p>
    <w:p w14:paraId="64A233B3" w14:textId="2F3845EF" w:rsidR="00DC79F5" w:rsidRPr="00597F33" w:rsidRDefault="00DC79F5" w:rsidP="00DC79F5">
      <w:pPr>
        <w:suppressAutoHyphens/>
        <w:autoSpaceDN w:val="0"/>
        <w:spacing w:after="0" w:line="276" w:lineRule="auto"/>
        <w:ind w:firstLine="709"/>
        <w:jc w:val="both"/>
        <w:textAlignment w:val="baseline"/>
        <w:rPr>
          <w:rFonts w:eastAsia="Calibri"/>
          <w:bCs/>
        </w:rPr>
      </w:pPr>
      <w:r w:rsidRPr="00597F33">
        <w:rPr>
          <w:rFonts w:eastAsia="Calibri"/>
          <w:bCs/>
        </w:rPr>
        <w:t>Kopumā CFLA pārziņā nākamajos gados būs vienlaicīgi administrējamas trīs programmas ar lielu administrējamo projektu skaitu, maksimumu sasniedzot 2023. - 2024.</w:t>
      </w:r>
      <w:r w:rsidR="003C3BB9">
        <w:rPr>
          <w:rFonts w:eastAsia="Calibri"/>
          <w:bCs/>
        </w:rPr>
        <w:t> </w:t>
      </w:r>
      <w:r w:rsidRPr="00597F33">
        <w:rPr>
          <w:rFonts w:eastAsia="Calibri"/>
          <w:bCs/>
        </w:rPr>
        <w:t xml:space="preserve">gadā (skat. </w:t>
      </w:r>
      <w:r>
        <w:rPr>
          <w:rFonts w:eastAsia="Calibri"/>
          <w:bCs/>
        </w:rPr>
        <w:t>Grafiku Nr.2</w:t>
      </w:r>
      <w:r w:rsidRPr="00597F33">
        <w:rPr>
          <w:rFonts w:eastAsia="Calibri"/>
          <w:bCs/>
        </w:rPr>
        <w:t>):</w:t>
      </w:r>
    </w:p>
    <w:p w14:paraId="3DA64CF8" w14:textId="77777777" w:rsidR="00DC79F5" w:rsidRDefault="00DC79F5" w:rsidP="00DC79F5">
      <w:pPr>
        <w:suppressAutoHyphens/>
        <w:autoSpaceDN w:val="0"/>
        <w:spacing w:after="0" w:line="240" w:lineRule="auto"/>
        <w:jc w:val="right"/>
        <w:textAlignment w:val="baseline"/>
        <w:rPr>
          <w:rFonts w:eastAsia="Calibri"/>
          <w:bCs/>
          <w:sz w:val="22"/>
          <w:szCs w:val="22"/>
        </w:rPr>
      </w:pPr>
    </w:p>
    <w:p w14:paraId="2FE391FF" w14:textId="77777777" w:rsidR="00DC79F5" w:rsidRPr="00BA498A" w:rsidRDefault="00DC79F5" w:rsidP="00DC79F5">
      <w:pPr>
        <w:suppressAutoHyphens/>
        <w:autoSpaceDN w:val="0"/>
        <w:spacing w:after="0" w:line="240" w:lineRule="auto"/>
        <w:jc w:val="right"/>
        <w:textAlignment w:val="baseline"/>
        <w:rPr>
          <w:rFonts w:eastAsia="Calibri"/>
          <w:bCs/>
          <w:sz w:val="22"/>
          <w:szCs w:val="22"/>
        </w:rPr>
      </w:pPr>
      <w:r w:rsidRPr="00BA498A">
        <w:rPr>
          <w:rFonts w:eastAsia="Calibri"/>
          <w:bCs/>
          <w:sz w:val="22"/>
          <w:szCs w:val="22"/>
        </w:rPr>
        <w:t>Grafiks Nr.2</w:t>
      </w:r>
    </w:p>
    <w:p w14:paraId="4864BD8D" w14:textId="77777777" w:rsidR="00DC79F5" w:rsidRPr="00597F33" w:rsidRDefault="00DC79F5" w:rsidP="00DC79F5">
      <w:pPr>
        <w:suppressAutoHyphens/>
        <w:autoSpaceDN w:val="0"/>
        <w:spacing w:after="0" w:line="240" w:lineRule="auto"/>
        <w:jc w:val="both"/>
        <w:textAlignment w:val="baseline"/>
        <w:rPr>
          <w:rFonts w:eastAsia="Calibri"/>
          <w:bCs/>
        </w:rPr>
      </w:pPr>
      <w:r w:rsidRPr="008E24AA">
        <w:rPr>
          <w:rFonts w:eastAsia="Calibri"/>
          <w:noProof/>
          <w:sz w:val="20"/>
          <w:szCs w:val="20"/>
          <w:lang w:eastAsia="lv-LV"/>
        </w:rPr>
        <w:drawing>
          <wp:inline distT="0" distB="0" distL="0" distR="0" wp14:anchorId="656915B8" wp14:editId="0B7328E3">
            <wp:extent cx="5697415" cy="3281045"/>
            <wp:effectExtent l="0" t="0" r="17780" b="14605"/>
            <wp:docPr id="2" name="Chart 2">
              <a:extLst xmlns:a="http://schemas.openxmlformats.org/drawingml/2006/main">
                <a:ext uri="{FF2B5EF4-FFF2-40B4-BE49-F238E27FC236}">
                  <a16:creationId xmlns:a16="http://schemas.microsoft.com/office/drawing/2014/main" id="{EEE9F021-2867-46DA-AAF4-BA803B472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C8A2DD" w14:textId="77777777" w:rsidR="00DC79F5" w:rsidRDefault="00DC79F5" w:rsidP="00DC79F5">
      <w:pPr>
        <w:suppressAutoHyphens/>
        <w:autoSpaceDN w:val="0"/>
        <w:spacing w:after="0" w:line="240" w:lineRule="auto"/>
        <w:jc w:val="both"/>
        <w:textAlignment w:val="baseline"/>
        <w:rPr>
          <w:rFonts w:eastAsia="Calibri"/>
          <w:bCs/>
        </w:rPr>
      </w:pPr>
    </w:p>
    <w:p w14:paraId="61C86BE2" w14:textId="1C0CB727" w:rsidR="00876B50" w:rsidRDefault="00876B50" w:rsidP="00E74038">
      <w:pPr>
        <w:suppressAutoHyphens/>
        <w:autoSpaceDN w:val="0"/>
        <w:spacing w:after="0" w:line="276" w:lineRule="auto"/>
        <w:textAlignment w:val="baseline"/>
        <w:rPr>
          <w:rFonts w:eastAsia="Calibri"/>
          <w:b/>
          <w:bCs/>
        </w:rPr>
      </w:pPr>
    </w:p>
    <w:p w14:paraId="2EDB0765" w14:textId="1F19C1C1" w:rsidR="00C94ED9" w:rsidRDefault="00C94ED9" w:rsidP="00E74038">
      <w:pPr>
        <w:suppressAutoHyphens/>
        <w:autoSpaceDN w:val="0"/>
        <w:spacing w:after="0" w:line="276" w:lineRule="auto"/>
        <w:textAlignment w:val="baseline"/>
        <w:rPr>
          <w:rFonts w:eastAsia="Calibri"/>
          <w:b/>
          <w:bCs/>
        </w:rPr>
      </w:pPr>
    </w:p>
    <w:p w14:paraId="3A2AC26F" w14:textId="5EE70D77" w:rsidR="00480388" w:rsidRDefault="00480388" w:rsidP="00E74038">
      <w:pPr>
        <w:suppressAutoHyphens/>
        <w:autoSpaceDN w:val="0"/>
        <w:spacing w:after="0" w:line="276" w:lineRule="auto"/>
        <w:textAlignment w:val="baseline"/>
        <w:rPr>
          <w:rFonts w:eastAsia="Calibri"/>
          <w:b/>
          <w:bCs/>
        </w:rPr>
      </w:pPr>
    </w:p>
    <w:p w14:paraId="60FC66A5" w14:textId="4DFAAEAB" w:rsidR="00826AC2" w:rsidRDefault="00826AC2" w:rsidP="00E74038">
      <w:pPr>
        <w:suppressAutoHyphens/>
        <w:autoSpaceDN w:val="0"/>
        <w:spacing w:after="0" w:line="276" w:lineRule="auto"/>
        <w:textAlignment w:val="baseline"/>
        <w:rPr>
          <w:rFonts w:eastAsia="Calibri"/>
          <w:b/>
          <w:bCs/>
        </w:rPr>
      </w:pPr>
    </w:p>
    <w:p w14:paraId="250BB116" w14:textId="4C956019" w:rsidR="00826AC2" w:rsidRDefault="00826AC2" w:rsidP="00E74038">
      <w:pPr>
        <w:suppressAutoHyphens/>
        <w:autoSpaceDN w:val="0"/>
        <w:spacing w:after="0" w:line="276" w:lineRule="auto"/>
        <w:textAlignment w:val="baseline"/>
        <w:rPr>
          <w:rFonts w:eastAsia="Calibri"/>
          <w:b/>
          <w:bCs/>
        </w:rPr>
      </w:pPr>
    </w:p>
    <w:p w14:paraId="19948763" w14:textId="721A8E72" w:rsidR="00826AC2" w:rsidRDefault="00826AC2" w:rsidP="00E74038">
      <w:pPr>
        <w:suppressAutoHyphens/>
        <w:autoSpaceDN w:val="0"/>
        <w:spacing w:after="0" w:line="276" w:lineRule="auto"/>
        <w:textAlignment w:val="baseline"/>
        <w:rPr>
          <w:rFonts w:eastAsia="Calibri"/>
          <w:b/>
          <w:bCs/>
        </w:rPr>
      </w:pPr>
    </w:p>
    <w:p w14:paraId="7FD78F11" w14:textId="0B986F7F" w:rsidR="00826AC2" w:rsidRDefault="00826AC2" w:rsidP="00E74038">
      <w:pPr>
        <w:suppressAutoHyphens/>
        <w:autoSpaceDN w:val="0"/>
        <w:spacing w:after="0" w:line="276" w:lineRule="auto"/>
        <w:textAlignment w:val="baseline"/>
        <w:rPr>
          <w:rFonts w:eastAsia="Calibri"/>
          <w:b/>
          <w:bCs/>
        </w:rPr>
      </w:pPr>
    </w:p>
    <w:p w14:paraId="71FA1966" w14:textId="22AD5C16" w:rsidR="00826AC2" w:rsidRDefault="00826AC2" w:rsidP="00E74038">
      <w:pPr>
        <w:suppressAutoHyphens/>
        <w:autoSpaceDN w:val="0"/>
        <w:spacing w:after="0" w:line="276" w:lineRule="auto"/>
        <w:textAlignment w:val="baseline"/>
        <w:rPr>
          <w:rFonts w:eastAsia="Calibri"/>
          <w:b/>
          <w:bCs/>
        </w:rPr>
      </w:pPr>
    </w:p>
    <w:p w14:paraId="6FB27F8C" w14:textId="2DD4099C" w:rsidR="00826AC2" w:rsidRDefault="00826AC2" w:rsidP="00E74038">
      <w:pPr>
        <w:suppressAutoHyphens/>
        <w:autoSpaceDN w:val="0"/>
        <w:spacing w:after="0" w:line="276" w:lineRule="auto"/>
        <w:textAlignment w:val="baseline"/>
        <w:rPr>
          <w:rFonts w:eastAsia="Calibri"/>
          <w:b/>
          <w:bCs/>
        </w:rPr>
      </w:pPr>
    </w:p>
    <w:p w14:paraId="3A8160F1" w14:textId="1070CB08" w:rsidR="00826AC2" w:rsidRDefault="00826AC2" w:rsidP="00E74038">
      <w:pPr>
        <w:suppressAutoHyphens/>
        <w:autoSpaceDN w:val="0"/>
        <w:spacing w:after="0" w:line="276" w:lineRule="auto"/>
        <w:textAlignment w:val="baseline"/>
        <w:rPr>
          <w:rFonts w:eastAsia="Calibri"/>
          <w:b/>
          <w:bCs/>
        </w:rPr>
      </w:pPr>
    </w:p>
    <w:p w14:paraId="52299E57" w14:textId="21AC3E6F" w:rsidR="00826AC2" w:rsidRDefault="00826AC2" w:rsidP="00E74038">
      <w:pPr>
        <w:suppressAutoHyphens/>
        <w:autoSpaceDN w:val="0"/>
        <w:spacing w:after="0" w:line="276" w:lineRule="auto"/>
        <w:textAlignment w:val="baseline"/>
        <w:rPr>
          <w:rFonts w:eastAsia="Calibri"/>
          <w:b/>
          <w:bCs/>
        </w:rPr>
      </w:pPr>
    </w:p>
    <w:p w14:paraId="67E3DF18" w14:textId="2BF29375" w:rsidR="00826AC2" w:rsidRDefault="00826AC2" w:rsidP="00E74038">
      <w:pPr>
        <w:suppressAutoHyphens/>
        <w:autoSpaceDN w:val="0"/>
        <w:spacing w:after="0" w:line="276" w:lineRule="auto"/>
        <w:textAlignment w:val="baseline"/>
        <w:rPr>
          <w:rFonts w:eastAsia="Calibri"/>
          <w:b/>
          <w:bCs/>
        </w:rPr>
      </w:pPr>
    </w:p>
    <w:p w14:paraId="43AA639D" w14:textId="77777777" w:rsidR="008D60F1" w:rsidRDefault="008D60F1" w:rsidP="00E74038">
      <w:pPr>
        <w:suppressAutoHyphens/>
        <w:autoSpaceDN w:val="0"/>
        <w:spacing w:after="0" w:line="276" w:lineRule="auto"/>
        <w:textAlignment w:val="baseline"/>
        <w:rPr>
          <w:rFonts w:eastAsia="Calibri"/>
          <w:b/>
          <w:bCs/>
        </w:rPr>
      </w:pPr>
    </w:p>
    <w:p w14:paraId="3C52A754" w14:textId="5B8620EF" w:rsidR="00E74038" w:rsidRPr="00793717" w:rsidRDefault="00876B50" w:rsidP="00E74038">
      <w:pPr>
        <w:suppressAutoHyphens/>
        <w:autoSpaceDN w:val="0"/>
        <w:spacing w:after="0" w:line="276" w:lineRule="auto"/>
        <w:textAlignment w:val="baseline"/>
        <w:rPr>
          <w:rFonts w:eastAsia="Calibri"/>
          <w:b/>
          <w:bCs/>
        </w:rPr>
      </w:pPr>
      <w:r w:rsidRPr="00793717">
        <w:rPr>
          <w:rFonts w:eastAsia="Calibri"/>
          <w:b/>
          <w:bCs/>
        </w:rPr>
        <w:lastRenderedPageBreak/>
        <w:t>CFLA funkcijas/</w:t>
      </w:r>
      <w:proofErr w:type="spellStart"/>
      <w:r w:rsidRPr="00793717">
        <w:rPr>
          <w:rFonts w:eastAsia="Calibri"/>
          <w:b/>
          <w:bCs/>
        </w:rPr>
        <w:t>pamatshēma</w:t>
      </w:r>
      <w:proofErr w:type="spellEnd"/>
      <w:r w:rsidRPr="00793717">
        <w:rPr>
          <w:rFonts w:eastAsia="Calibri"/>
          <w:b/>
          <w:bCs/>
        </w:rPr>
        <w:t xml:space="preserve"> </w:t>
      </w:r>
      <w:r w:rsidR="00793717" w:rsidRPr="00793717">
        <w:rPr>
          <w:rFonts w:eastAsia="Calibri"/>
          <w:b/>
          <w:bCs/>
        </w:rPr>
        <w:t>Atveseļošanas fonda</w:t>
      </w:r>
      <w:r w:rsidRPr="00793717">
        <w:rPr>
          <w:rFonts w:eastAsia="Calibri"/>
          <w:b/>
          <w:bCs/>
        </w:rPr>
        <w:t xml:space="preserve"> ietvaros:</w:t>
      </w:r>
    </w:p>
    <w:p w14:paraId="13BCDEB7" w14:textId="155E4739" w:rsidR="00876B50" w:rsidRPr="00876B50" w:rsidRDefault="00876B50" w:rsidP="00876B50">
      <w:pPr>
        <w:suppressAutoHyphens/>
        <w:autoSpaceDN w:val="0"/>
        <w:spacing w:after="0" w:line="276" w:lineRule="auto"/>
        <w:jc w:val="right"/>
        <w:textAlignment w:val="baseline"/>
        <w:rPr>
          <w:rFonts w:eastAsia="Calibri"/>
        </w:rPr>
      </w:pPr>
      <w:r w:rsidRPr="00876B50">
        <w:rPr>
          <w:rFonts w:eastAsia="Calibri"/>
        </w:rPr>
        <w:t>Shēma Nr.1</w:t>
      </w:r>
    </w:p>
    <w:p w14:paraId="49EA2013" w14:textId="1B4135A6" w:rsidR="00E74038" w:rsidRDefault="00876B50" w:rsidP="00E74038">
      <w:pPr>
        <w:suppressAutoHyphens/>
        <w:autoSpaceDN w:val="0"/>
        <w:spacing w:after="0" w:line="276" w:lineRule="auto"/>
        <w:textAlignment w:val="baseline"/>
        <w:rPr>
          <w:rFonts w:eastAsia="Calibri"/>
          <w:b/>
          <w:bCs/>
        </w:rPr>
      </w:pPr>
      <w:r w:rsidRPr="00E27BC6">
        <w:rPr>
          <w:rFonts w:ascii="Calibri" w:eastAsia="Calibri" w:hAnsi="Calibri"/>
          <w:noProof/>
          <w:sz w:val="22"/>
          <w:szCs w:val="22"/>
          <w:lang w:eastAsia="lv-LV"/>
        </w:rPr>
        <mc:AlternateContent>
          <mc:Choice Requires="wpc">
            <w:drawing>
              <wp:inline distT="0" distB="0" distL="0" distR="0" wp14:anchorId="2FB3EB69" wp14:editId="43AF43F4">
                <wp:extent cx="5339080" cy="6534150"/>
                <wp:effectExtent l="0" t="0" r="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wps:spPr>
                          <a:xfrm>
                            <a:off x="609600" y="1928155"/>
                            <a:ext cx="1643561" cy="419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2847273"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FS ievada datus </w:t>
                              </w:r>
                              <w:r w:rsidRPr="00E27BC6">
                                <w:rPr>
                                  <w:rFonts w:eastAsia="Calibri"/>
                                  <w:b/>
                                  <w:bCs/>
                                  <w:color w:val="000000"/>
                                  <w:sz w:val="22"/>
                                  <w:szCs w:val="22"/>
                                </w:rPr>
                                <w:t>KPVIS</w:t>
                              </w:r>
                            </w:p>
                            <w:p w14:paraId="5E279B30" w14:textId="77777777" w:rsidR="00BF21FC" w:rsidRPr="00E27BC6" w:rsidRDefault="00BF21FC" w:rsidP="00876B50">
                              <w:pPr>
                                <w:pStyle w:val="NormalWeb"/>
                                <w:spacing w:line="256" w:lineRule="auto"/>
                                <w:jc w:val="center"/>
                                <w:rPr>
                                  <w:color w:val="000000"/>
                                </w:rPr>
                              </w:pPr>
                              <w:r w:rsidRPr="00E27BC6">
                                <w:rPr>
                                  <w:rFonts w:eastAsia="Calibri"/>
                                  <w:bCs/>
                                  <w:color w:val="000000"/>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243126" y="1928155"/>
                            <a:ext cx="1447800" cy="419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079728E"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FS ievada datus </w:t>
                              </w:r>
                              <w:r w:rsidRPr="00E27BC6">
                                <w:rPr>
                                  <w:rFonts w:eastAsia="Calibri"/>
                                  <w:b/>
                                  <w:bCs/>
                                  <w:color w:val="000000"/>
                                  <w:sz w:val="22"/>
                                  <w:szCs w:val="22"/>
                                </w:rPr>
                                <w:t>KPVIS</w:t>
                              </w:r>
                            </w:p>
                            <w:p w14:paraId="3E2C7D90" w14:textId="77777777" w:rsidR="00BF21FC" w:rsidRPr="00E27BC6" w:rsidRDefault="00BF21FC" w:rsidP="00876B50">
                              <w:pPr>
                                <w:pStyle w:val="NormalWeb"/>
                                <w:spacing w:line="254" w:lineRule="auto"/>
                                <w:jc w:val="center"/>
                                <w:rPr>
                                  <w:color w:val="000000"/>
                                </w:rPr>
                              </w:pPr>
                              <w:r w:rsidRPr="00E27BC6">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243126" y="2551090"/>
                            <a:ext cx="1447800" cy="419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D9DE32"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CFLA </w:t>
                              </w:r>
                              <w:r w:rsidRPr="00E27BC6">
                                <w:rPr>
                                  <w:rFonts w:eastAsia="Calibri"/>
                                  <w:b/>
                                  <w:color w:val="000000"/>
                                  <w:sz w:val="22"/>
                                  <w:szCs w:val="22"/>
                                </w:rPr>
                                <w:t>vērtē</w:t>
                              </w:r>
                              <w:r w:rsidRPr="00E27BC6">
                                <w:rPr>
                                  <w:rFonts w:eastAsia="Calibri"/>
                                  <w:color w:val="000000"/>
                                  <w:sz w:val="22"/>
                                  <w:szCs w:val="22"/>
                                </w:rPr>
                                <w:t xml:space="preserve"> 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231515" y="3169580"/>
                            <a:ext cx="1470841" cy="460989"/>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02DF8B0"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Pr>
                                  <w:rFonts w:eastAsia="Calibri"/>
                                  <w:color w:val="000000"/>
                                  <w:sz w:val="22"/>
                                  <w:szCs w:val="22"/>
                                </w:rPr>
                                <w:t xml:space="preserve">slēdz līgumu, </w:t>
                              </w:r>
                              <w:r w:rsidRPr="00E27BC6">
                                <w:rPr>
                                  <w:rFonts w:eastAsia="Calibri"/>
                                  <w:color w:val="000000"/>
                                  <w:sz w:val="22"/>
                                  <w:szCs w:val="22"/>
                                </w:rPr>
                                <w:t xml:space="preserve">nosaka projekta </w:t>
                              </w:r>
                              <w:r w:rsidRPr="00E27BC6">
                                <w:rPr>
                                  <w:rFonts w:eastAsia="Calibri"/>
                                  <w:b/>
                                  <w:bCs/>
                                  <w:color w:val="000000"/>
                                  <w:sz w:val="22"/>
                                  <w:szCs w:val="22"/>
                                </w:rPr>
                                <w:t>risku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3966936" y="2970190"/>
                            <a:ext cx="90" cy="199390"/>
                          </a:xfrm>
                          <a:prstGeom prst="straightConnector1">
                            <a:avLst/>
                          </a:prstGeom>
                          <a:noFill/>
                          <a:ln w="19050" cap="flat" cmpd="sng" algn="ctr">
                            <a:solidFill>
                              <a:srgbClr val="5B9BD5"/>
                            </a:solidFill>
                            <a:prstDash val="solid"/>
                            <a:miter lim="800000"/>
                            <a:tailEnd type="triangle"/>
                          </a:ln>
                          <a:effectLst/>
                        </wps:spPr>
                        <wps:bodyPr/>
                      </wps:wsp>
                      <wps:wsp>
                        <wps:cNvPr id="9" name="Straight Arrow Connector 9"/>
                        <wps:cNvCnPr/>
                        <wps:spPr>
                          <a:xfrm>
                            <a:off x="3967026" y="2347255"/>
                            <a:ext cx="0" cy="203835"/>
                          </a:xfrm>
                          <a:prstGeom prst="straightConnector1">
                            <a:avLst/>
                          </a:prstGeom>
                          <a:noFill/>
                          <a:ln w="19050" cap="flat" cmpd="sng" algn="ctr">
                            <a:solidFill>
                              <a:srgbClr val="5B9BD5"/>
                            </a:solidFill>
                            <a:prstDash val="solid"/>
                            <a:miter lim="800000"/>
                            <a:tailEnd type="triangle"/>
                          </a:ln>
                          <a:effectLst/>
                        </wps:spPr>
                        <wps:bodyPr/>
                      </wps:wsp>
                      <wpg:wgp>
                        <wpg:cNvPr id="10" name="Group 10"/>
                        <wpg:cNvGrpSpPr/>
                        <wpg:grpSpPr>
                          <a:xfrm>
                            <a:off x="609601" y="180000"/>
                            <a:ext cx="4099106" cy="379730"/>
                            <a:chOff x="-172831" y="0"/>
                            <a:chExt cx="4067602" cy="379730"/>
                          </a:xfrm>
                          <a:solidFill>
                            <a:srgbClr val="44546A">
                              <a:lumMod val="40000"/>
                              <a:lumOff val="60000"/>
                            </a:srgbClr>
                          </a:solidFill>
                        </wpg:grpSpPr>
                        <wps:wsp>
                          <wps:cNvPr id="11" name="Rectangle 11"/>
                          <wps:cNvSpPr/>
                          <wps:spPr>
                            <a:xfrm>
                              <a:off x="-172831" y="0"/>
                              <a:ext cx="4067602" cy="379730"/>
                            </a:xfrm>
                            <a:prstGeom prst="rect">
                              <a:avLst/>
                            </a:prstGeom>
                            <a:grpFill/>
                            <a:ln w="6350" cap="flat" cmpd="sng" algn="ctr">
                              <a:noFill/>
                              <a:prstDash val="solid"/>
                              <a:miter lim="800000"/>
                            </a:ln>
                            <a:effectLst/>
                          </wps:spPr>
                          <wps:txbx>
                            <w:txbxContent>
                              <w:p w14:paraId="7EAA2737" w14:textId="77777777" w:rsidR="00BF21FC" w:rsidRPr="00E27BC6" w:rsidRDefault="00BF21FC" w:rsidP="00876B50">
                                <w:pPr>
                                  <w:pStyle w:val="NormalWeb"/>
                                  <w:spacing w:line="252" w:lineRule="auto"/>
                                  <w:jc w:val="center"/>
                                  <w:rPr>
                                    <w:b/>
                                    <w:caps/>
                                    <w:color w:val="000000"/>
                                  </w:rPr>
                                </w:pPr>
                                <w:r w:rsidRPr="00E27BC6">
                                  <w:rPr>
                                    <w:rFonts w:eastAsia="Calibri"/>
                                    <w:b/>
                                    <w:caps/>
                                    <w:color w:val="000000"/>
                                    <w:sz w:val="22"/>
                                    <w:szCs w:val="22"/>
                                  </w:rPr>
                                  <w:t>Atveseļošanas un noturības mehānisms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89726" y="303530"/>
                              <a:ext cx="94130" cy="76200"/>
                            </a:xfrm>
                            <a:prstGeom prst="ellipse">
                              <a:avLst/>
                            </a:prstGeom>
                            <a:grp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120980" y="303530"/>
                              <a:ext cx="93980" cy="76200"/>
                            </a:xfrm>
                            <a:prstGeom prst="ellipse">
                              <a:avLst/>
                            </a:prstGeom>
                            <a:grp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14" name="Straight Arrow Connector 14"/>
                        <wps:cNvCnPr/>
                        <wps:spPr>
                          <a:xfrm>
                            <a:off x="3975916" y="559730"/>
                            <a:ext cx="1905" cy="179070"/>
                          </a:xfrm>
                          <a:prstGeom prst="straightConnector1">
                            <a:avLst/>
                          </a:prstGeom>
                          <a:noFill/>
                          <a:ln w="19050" cap="flat" cmpd="sng" algn="ctr">
                            <a:solidFill>
                              <a:srgbClr val="5B9BD5"/>
                            </a:solidFill>
                            <a:prstDash val="solid"/>
                            <a:miter lim="800000"/>
                            <a:tailEnd type="triangle"/>
                          </a:ln>
                          <a:effectLst/>
                        </wps:spPr>
                        <wps:bodyPr/>
                      </wps:wsp>
                      <wps:wsp>
                        <wps:cNvPr id="15" name="Straight Arrow Connector 15"/>
                        <wps:cNvCnPr/>
                        <wps:spPr>
                          <a:xfrm>
                            <a:off x="1526086" y="559730"/>
                            <a:ext cx="2540" cy="188595"/>
                          </a:xfrm>
                          <a:prstGeom prst="straightConnector1">
                            <a:avLst/>
                          </a:prstGeom>
                          <a:noFill/>
                          <a:ln w="19050" cap="flat" cmpd="sng" algn="ctr">
                            <a:solidFill>
                              <a:srgbClr val="70AD47"/>
                            </a:solidFill>
                            <a:prstDash val="solid"/>
                            <a:miter lim="800000"/>
                            <a:tailEnd type="triangle"/>
                          </a:ln>
                          <a:effectLst/>
                        </wps:spPr>
                        <wps:bodyPr/>
                      </wps:wsp>
                      <wps:wsp>
                        <wps:cNvPr id="16" name="Rectangle 16"/>
                        <wps:cNvSpPr/>
                        <wps:spPr>
                          <a:xfrm>
                            <a:off x="3254556" y="739435"/>
                            <a:ext cx="1447800" cy="419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0AF5A6C"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MK </w:t>
                              </w:r>
                              <w:r w:rsidRPr="00E27BC6">
                                <w:rPr>
                                  <w:rFonts w:eastAsia="Calibri"/>
                                  <w:b/>
                                  <w:bCs/>
                                  <w:color w:val="000000"/>
                                  <w:sz w:val="22"/>
                                  <w:szCs w:val="22"/>
                                </w:rPr>
                                <w:t>noteikumi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43126" y="1346495"/>
                            <a:ext cx="1447800" cy="4191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22CC99C"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sidRPr="00E27BC6">
                                <w:rPr>
                                  <w:rFonts w:eastAsia="Calibri"/>
                                  <w:b/>
                                  <w:color w:val="000000"/>
                                  <w:sz w:val="22"/>
                                  <w:szCs w:val="22"/>
                                </w:rPr>
                                <w:t>izsludina</w:t>
                              </w:r>
                              <w:r w:rsidRPr="00E27BC6">
                                <w:rPr>
                                  <w:rFonts w:eastAsia="Calibri"/>
                                  <w:color w:val="000000"/>
                                  <w:sz w:val="22"/>
                                  <w:szCs w:val="22"/>
                                </w:rPr>
                                <w:t xml:space="preserve"> atlasi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3967026" y="1162980"/>
                            <a:ext cx="0" cy="183515"/>
                          </a:xfrm>
                          <a:prstGeom prst="straightConnector1">
                            <a:avLst/>
                          </a:prstGeom>
                          <a:noFill/>
                          <a:ln w="19050" cap="flat" cmpd="sng" algn="ctr">
                            <a:solidFill>
                              <a:srgbClr val="5B9BD5"/>
                            </a:solidFill>
                            <a:prstDash val="solid"/>
                            <a:miter lim="800000"/>
                            <a:tailEnd type="triangle"/>
                          </a:ln>
                          <a:effectLst/>
                        </wps:spPr>
                        <wps:bodyPr/>
                      </wps:wsp>
                      <wps:wsp>
                        <wps:cNvPr id="19" name="Straight Arrow Connector 19"/>
                        <wps:cNvCnPr/>
                        <wps:spPr>
                          <a:xfrm>
                            <a:off x="3967026" y="1765595"/>
                            <a:ext cx="0" cy="162560"/>
                          </a:xfrm>
                          <a:prstGeom prst="straightConnector1">
                            <a:avLst/>
                          </a:prstGeom>
                          <a:noFill/>
                          <a:ln w="19050" cap="flat" cmpd="sng" algn="ctr">
                            <a:solidFill>
                              <a:srgbClr val="5B9BD5"/>
                            </a:solidFill>
                            <a:prstDash val="solid"/>
                            <a:miter lim="800000"/>
                            <a:tailEnd type="triangle"/>
                          </a:ln>
                          <a:effectLst/>
                        </wps:spPr>
                        <wps:bodyPr/>
                      </wps:wsp>
                      <wps:wsp>
                        <wps:cNvPr id="20" name="Rectangle 20"/>
                        <wps:cNvSpPr/>
                        <wps:spPr>
                          <a:xfrm>
                            <a:off x="609600" y="748960"/>
                            <a:ext cx="1643561" cy="419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B3F407C" w14:textId="77777777" w:rsidR="00BF21FC" w:rsidRPr="00E27BC6" w:rsidRDefault="00BF21FC" w:rsidP="00876B50">
                              <w:pPr>
                                <w:pStyle w:val="NormalWeb"/>
                                <w:spacing w:after="120"/>
                                <w:jc w:val="center"/>
                                <w:rPr>
                                  <w:color w:val="000000"/>
                                </w:rPr>
                              </w:pPr>
                              <w:r w:rsidRPr="00E27BC6">
                                <w:rPr>
                                  <w:rFonts w:eastAsia="Calibri"/>
                                  <w:color w:val="000000"/>
                                  <w:sz w:val="22"/>
                                  <w:szCs w:val="22"/>
                                </w:rPr>
                                <w:t xml:space="preserve">MK </w:t>
                              </w:r>
                              <w:r w:rsidRPr="00E27BC6">
                                <w:rPr>
                                  <w:rFonts w:eastAsia="Calibri"/>
                                  <w:b/>
                                  <w:bCs/>
                                  <w:color w:val="000000"/>
                                  <w:sz w:val="22"/>
                                  <w:szCs w:val="22"/>
                                </w:rPr>
                                <w:t>informatīvais ziņojums</w:t>
                              </w:r>
                            </w:p>
                            <w:p w14:paraId="5499B494" w14:textId="77777777" w:rsidR="00BF21FC" w:rsidRPr="00E27BC6" w:rsidRDefault="00BF21FC" w:rsidP="00876B50">
                              <w:pPr>
                                <w:pStyle w:val="NormalWeb"/>
                                <w:spacing w:line="252" w:lineRule="auto"/>
                                <w:jc w:val="center"/>
                                <w:rPr>
                                  <w:color w:val="000000"/>
                                </w:rPr>
                              </w:pPr>
                              <w:r w:rsidRPr="00E27BC6">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529261" y="1168060"/>
                            <a:ext cx="0" cy="760095"/>
                          </a:xfrm>
                          <a:prstGeom prst="straightConnector1">
                            <a:avLst/>
                          </a:prstGeom>
                          <a:noFill/>
                          <a:ln w="19050" cap="flat" cmpd="sng" algn="ctr">
                            <a:solidFill>
                              <a:srgbClr val="70AD47"/>
                            </a:solidFill>
                            <a:prstDash val="solid"/>
                            <a:miter lim="800000"/>
                            <a:tailEnd type="triangle"/>
                          </a:ln>
                          <a:effectLst/>
                        </wps:spPr>
                        <wps:bodyPr/>
                      </wps:wsp>
                      <wps:wsp>
                        <wps:cNvPr id="22" name="Rectangle 22"/>
                        <wps:cNvSpPr/>
                        <wps:spPr>
                          <a:xfrm>
                            <a:off x="619125" y="4744507"/>
                            <a:ext cx="954573" cy="484359"/>
                          </a:xfrm>
                          <a:prstGeom prst="rect">
                            <a:avLst/>
                          </a:prstGeom>
                          <a:gradFill rotWithShape="1">
                            <a:gsLst>
                              <a:gs pos="0">
                                <a:srgbClr val="70AD47">
                                  <a:lumMod val="110000"/>
                                  <a:satMod val="105000"/>
                                  <a:tint val="67000"/>
                                </a:srgbClr>
                              </a:gs>
                              <a:gs pos="50000">
                                <a:srgbClr val="70AD47">
                                  <a:lumMod val="105000"/>
                                  <a:satMod val="103000"/>
                                  <a:tint val="73000"/>
                                </a:srgbClr>
                              </a:gs>
                              <a:gs pos="96000">
                                <a:srgbClr val="6699FF"/>
                              </a:gs>
                            </a:gsLst>
                            <a:lin ang="5400000" scaled="0"/>
                          </a:gradFill>
                          <a:ln w="6350" cap="flat" cmpd="sng" algn="ctr">
                            <a:solidFill>
                              <a:srgbClr val="70AD47"/>
                            </a:solidFill>
                            <a:prstDash val="solid"/>
                            <a:miter lim="800000"/>
                          </a:ln>
                          <a:effectLst/>
                        </wps:spPr>
                        <wps:txbx>
                          <w:txbxContent>
                            <w:p w14:paraId="27B1824F" w14:textId="723A7080" w:rsidR="00BF21FC" w:rsidRPr="00793717" w:rsidRDefault="00793717" w:rsidP="00876B50">
                              <w:pPr>
                                <w:pStyle w:val="NormalWeb"/>
                                <w:spacing w:line="252" w:lineRule="auto"/>
                                <w:jc w:val="center"/>
                                <w:rPr>
                                  <w:color w:val="000000"/>
                                  <w:sz w:val="16"/>
                                  <w:szCs w:val="16"/>
                                </w:rPr>
                              </w:pPr>
                              <w:r w:rsidRPr="00793717">
                                <w:rPr>
                                  <w:rFonts w:eastAsia="Calibri"/>
                                  <w:color w:val="000000"/>
                                  <w:sz w:val="16"/>
                                  <w:szCs w:val="16"/>
                                </w:rPr>
                                <w:t>Korupcija, interešu konflikts, krāpšana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00075" y="6066373"/>
                            <a:ext cx="4102281" cy="445326"/>
                          </a:xfrm>
                          <a:prstGeom prst="rect">
                            <a:avLst/>
                          </a:prstGeom>
                          <a:gradFill rotWithShape="1">
                            <a:gsLst>
                              <a:gs pos="0">
                                <a:srgbClr val="70AD47">
                                  <a:lumMod val="110000"/>
                                  <a:satMod val="105000"/>
                                  <a:tint val="67000"/>
                                </a:srgbClr>
                              </a:gs>
                              <a:gs pos="50000">
                                <a:srgbClr val="70AD47">
                                  <a:lumMod val="105000"/>
                                  <a:satMod val="103000"/>
                                  <a:tint val="73000"/>
                                </a:srgbClr>
                              </a:gs>
                              <a:gs pos="96000">
                                <a:srgbClr val="6699FF"/>
                              </a:gs>
                            </a:gsLst>
                            <a:lin ang="5400000" scaled="0"/>
                          </a:gradFill>
                          <a:ln w="6350" cap="flat" cmpd="sng" algn="ctr">
                            <a:solidFill>
                              <a:srgbClr val="70AD47"/>
                            </a:solidFill>
                            <a:prstDash val="solid"/>
                            <a:miter lim="800000"/>
                          </a:ln>
                          <a:effectLst/>
                        </wps:spPr>
                        <wps:txbx>
                          <w:txbxContent>
                            <w:p w14:paraId="5FE0E3CB" w14:textId="77777777" w:rsidR="00BF21FC" w:rsidRPr="00E27BC6" w:rsidRDefault="00BF21FC" w:rsidP="00876B50">
                              <w:pPr>
                                <w:pStyle w:val="NormalWeb"/>
                                <w:spacing w:line="252" w:lineRule="auto"/>
                                <w:jc w:val="center"/>
                                <w:rPr>
                                  <w:color w:val="000000"/>
                                </w:rPr>
                              </w:pPr>
                              <w:r>
                                <w:rPr>
                                  <w:rFonts w:eastAsia="Calibri"/>
                                  <w:color w:val="000000"/>
                                  <w:sz w:val="22"/>
                                  <w:szCs w:val="22"/>
                                </w:rPr>
                                <w:t>Informācija a</w:t>
                              </w:r>
                              <w:r w:rsidRPr="00E27BC6">
                                <w:rPr>
                                  <w:rFonts w:eastAsia="Calibri"/>
                                  <w:color w:val="000000"/>
                                  <w:sz w:val="22"/>
                                  <w:szCs w:val="22"/>
                                </w:rPr>
                                <w:t>pliecinājum</w:t>
                              </w:r>
                              <w:r>
                                <w:rPr>
                                  <w:rFonts w:eastAsia="Calibri"/>
                                  <w:color w:val="000000"/>
                                  <w:sz w:val="22"/>
                                  <w:szCs w:val="22"/>
                                </w:rPr>
                                <w:t>am</w:t>
                              </w:r>
                              <w:r w:rsidRPr="00E27BC6">
                                <w:rPr>
                                  <w:rFonts w:eastAsia="Calibri"/>
                                  <w:color w:val="000000"/>
                                  <w:sz w:val="22"/>
                                  <w:szCs w:val="22"/>
                                </w:rPr>
                                <w:t xml:space="preserve"> MPEK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72136" y="4744999"/>
                            <a:ext cx="994864" cy="483870"/>
                          </a:xfrm>
                          <a:prstGeom prst="rect">
                            <a:avLst/>
                          </a:prstGeom>
                          <a:gradFill rotWithShape="1">
                            <a:gsLst>
                              <a:gs pos="0">
                                <a:srgbClr val="70AD47">
                                  <a:lumMod val="110000"/>
                                  <a:satMod val="105000"/>
                                  <a:tint val="67000"/>
                                </a:srgbClr>
                              </a:gs>
                              <a:gs pos="50000">
                                <a:srgbClr val="70AD47">
                                  <a:lumMod val="105000"/>
                                  <a:satMod val="103000"/>
                                  <a:tint val="73000"/>
                                </a:srgbClr>
                              </a:gs>
                              <a:gs pos="96000">
                                <a:srgbClr val="6699FF"/>
                              </a:gs>
                            </a:gsLst>
                            <a:lin ang="5400000" scaled="0"/>
                          </a:gradFill>
                          <a:ln w="6350" cap="flat" cmpd="sng" algn="ctr">
                            <a:solidFill>
                              <a:srgbClr val="70AD47"/>
                            </a:solidFill>
                            <a:prstDash val="solid"/>
                            <a:miter lim="800000"/>
                          </a:ln>
                          <a:effectLst/>
                        </wps:spPr>
                        <wps:txbx>
                          <w:txbxContent>
                            <w:p w14:paraId="518FCD71"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Dubultais   finansējums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867150" y="4735326"/>
                            <a:ext cx="842826" cy="483870"/>
                          </a:xfrm>
                          <a:prstGeom prst="rect">
                            <a:avLst/>
                          </a:prstGeom>
                          <a:gradFill rotWithShape="1">
                            <a:gsLst>
                              <a:gs pos="0">
                                <a:srgbClr val="70AD47">
                                  <a:lumMod val="110000"/>
                                  <a:satMod val="105000"/>
                                  <a:tint val="67000"/>
                                </a:srgbClr>
                              </a:gs>
                              <a:gs pos="50000">
                                <a:srgbClr val="70AD47">
                                  <a:lumMod val="105000"/>
                                  <a:satMod val="103000"/>
                                  <a:tint val="73000"/>
                                </a:srgbClr>
                              </a:gs>
                              <a:gs pos="96000">
                                <a:srgbClr val="6699FF"/>
                              </a:gs>
                            </a:gsLst>
                            <a:lin ang="5400000" scaled="0"/>
                          </a:gradFill>
                          <a:ln w="6350" cap="flat" cmpd="sng" algn="ctr">
                            <a:solidFill>
                              <a:srgbClr val="70AD47"/>
                            </a:solidFill>
                            <a:prstDash val="solid"/>
                            <a:miter lim="800000"/>
                          </a:ln>
                          <a:effectLst/>
                        </wps:spPr>
                        <wps:txbx>
                          <w:txbxContent>
                            <w:p w14:paraId="14C95B12"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PPĪV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758623" y="4743293"/>
                            <a:ext cx="984701" cy="483870"/>
                          </a:xfrm>
                          <a:prstGeom prst="rect">
                            <a:avLst/>
                          </a:prstGeom>
                          <a:gradFill rotWithShape="1">
                            <a:gsLst>
                              <a:gs pos="0">
                                <a:srgbClr val="70AD47">
                                  <a:lumMod val="110000"/>
                                  <a:satMod val="105000"/>
                                  <a:tint val="67000"/>
                                </a:srgbClr>
                              </a:gs>
                              <a:gs pos="50000">
                                <a:srgbClr val="70AD47">
                                  <a:lumMod val="105000"/>
                                  <a:satMod val="103000"/>
                                  <a:tint val="73000"/>
                                </a:srgbClr>
                              </a:gs>
                              <a:gs pos="96000">
                                <a:srgbClr val="6699FF"/>
                              </a:gs>
                            </a:gsLst>
                            <a:lin ang="5400000" scaled="0"/>
                          </a:gradFill>
                          <a:ln w="6350" cap="flat" cmpd="sng" algn="ctr">
                            <a:solidFill>
                              <a:srgbClr val="70AD47"/>
                            </a:solidFill>
                            <a:prstDash val="solid"/>
                            <a:miter lim="800000"/>
                          </a:ln>
                          <a:effectLst/>
                        </wps:spPr>
                        <wps:txbx>
                          <w:txbxContent>
                            <w:p w14:paraId="0BB76E0D"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Mērķi, datu ticamība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200400" y="5430435"/>
                            <a:ext cx="1509576" cy="42744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7059828"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Maksājumi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220085" y="3855218"/>
                            <a:ext cx="1489891" cy="572952"/>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CAAE92F"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sidRPr="00E27BC6">
                                <w:rPr>
                                  <w:rFonts w:eastAsia="Calibri"/>
                                  <w:b/>
                                  <w:bCs/>
                                  <w:color w:val="000000"/>
                                  <w:sz w:val="22"/>
                                  <w:szCs w:val="22"/>
                                </w:rPr>
                                <w:t>kontroles</w:t>
                              </w:r>
                              <w:r w:rsidRPr="00E27BC6">
                                <w:rPr>
                                  <w:rFonts w:eastAsia="Calibri"/>
                                  <w:color w:val="000000"/>
                                  <w:sz w:val="22"/>
                                  <w:szCs w:val="22"/>
                                </w:rPr>
                                <w:t xml:space="preserve">, pamatojoties uz projektu risku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38175" y="3827822"/>
                            <a:ext cx="1644831" cy="562088"/>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3C081D2" w14:textId="77777777" w:rsidR="00BF21FC" w:rsidRDefault="00BF21FC" w:rsidP="00876B50">
                              <w:pPr>
                                <w:pStyle w:val="NormalWeb"/>
                                <w:spacing w:line="252" w:lineRule="auto"/>
                                <w:jc w:val="center"/>
                              </w:pPr>
                              <w:r>
                                <w:rPr>
                                  <w:rFonts w:eastAsia="Calibri"/>
                                  <w:color w:val="000000"/>
                                  <w:sz w:val="22"/>
                                  <w:szCs w:val="22"/>
                                </w:rPr>
                                <w:t xml:space="preserve">CFLA </w:t>
                              </w:r>
                              <w:r>
                                <w:rPr>
                                  <w:rFonts w:eastAsia="Calibri"/>
                                  <w:b/>
                                  <w:bCs/>
                                  <w:color w:val="000000"/>
                                  <w:sz w:val="22"/>
                                  <w:szCs w:val="22"/>
                                </w:rPr>
                                <w:t>kontroles</w:t>
                              </w:r>
                              <w:r>
                                <w:rPr>
                                  <w:rFonts w:eastAsia="Calibri"/>
                                  <w:color w:val="000000"/>
                                  <w:sz w:val="22"/>
                                  <w:szCs w:val="22"/>
                                </w:rPr>
                                <w:t xml:space="preserve"> izlases veidā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1529261" y="2347255"/>
                            <a:ext cx="8890" cy="1480567"/>
                          </a:xfrm>
                          <a:prstGeom prst="straightConnector1">
                            <a:avLst/>
                          </a:prstGeom>
                          <a:noFill/>
                          <a:ln w="19050" cap="flat" cmpd="sng" algn="ctr">
                            <a:solidFill>
                              <a:srgbClr val="70AD47"/>
                            </a:solidFill>
                            <a:prstDash val="solid"/>
                            <a:miter lim="800000"/>
                            <a:tailEnd type="triangle"/>
                          </a:ln>
                          <a:effectLst/>
                        </wps:spPr>
                        <wps:bodyPr/>
                      </wps:wsp>
                      <wps:wsp>
                        <wps:cNvPr id="31" name="Straight Arrow Connector 31"/>
                        <wps:cNvCnPr/>
                        <wps:spPr>
                          <a:xfrm>
                            <a:off x="1538151" y="4389750"/>
                            <a:ext cx="635" cy="353540"/>
                          </a:xfrm>
                          <a:prstGeom prst="straightConnector1">
                            <a:avLst/>
                          </a:prstGeom>
                          <a:noFill/>
                          <a:ln w="19050" cap="flat" cmpd="sng" algn="ctr">
                            <a:solidFill>
                              <a:srgbClr val="70AD47"/>
                            </a:solidFill>
                            <a:prstDash val="solid"/>
                            <a:miter lim="800000"/>
                            <a:tailEnd type="triangle"/>
                          </a:ln>
                          <a:effectLst/>
                        </wps:spPr>
                        <wps:bodyPr/>
                      </wps:wsp>
                      <wps:wsp>
                        <wps:cNvPr id="32" name="Straight Arrow Connector 32"/>
                        <wps:cNvCnPr/>
                        <wps:spPr>
                          <a:xfrm>
                            <a:off x="3965031" y="4428170"/>
                            <a:ext cx="0" cy="307156"/>
                          </a:xfrm>
                          <a:prstGeom prst="straightConnector1">
                            <a:avLst/>
                          </a:prstGeom>
                          <a:noFill/>
                          <a:ln w="19050" cap="flat" cmpd="sng" algn="ctr">
                            <a:solidFill>
                              <a:srgbClr val="5B9BD5"/>
                            </a:solidFill>
                            <a:prstDash val="solid"/>
                            <a:miter lim="800000"/>
                            <a:tailEnd type="triangle"/>
                          </a:ln>
                          <a:effectLst/>
                        </wps:spPr>
                        <wps:bodyPr/>
                      </wps:wsp>
                      <wps:wsp>
                        <wps:cNvPr id="33" name="Straight Arrow Connector 33"/>
                        <wps:cNvCnPr/>
                        <wps:spPr>
                          <a:xfrm flipH="1">
                            <a:off x="3965031" y="3630569"/>
                            <a:ext cx="1905" cy="224649"/>
                          </a:xfrm>
                          <a:prstGeom prst="straightConnector1">
                            <a:avLst/>
                          </a:prstGeom>
                          <a:noFill/>
                          <a:ln w="19050" cap="flat" cmpd="sng" algn="ctr">
                            <a:solidFill>
                              <a:srgbClr val="5B9BD5"/>
                            </a:solidFill>
                            <a:prstDash val="solid"/>
                            <a:miter lim="800000"/>
                            <a:tailEnd type="triangle"/>
                          </a:ln>
                          <a:effectLst/>
                        </wps:spPr>
                        <wps:bodyPr/>
                      </wps:wsp>
                      <wps:wsp>
                        <wps:cNvPr id="34" name="Straight Arrow Connector 34"/>
                        <wps:cNvCnPr/>
                        <wps:spPr>
                          <a:xfrm>
                            <a:off x="3955188" y="5190675"/>
                            <a:ext cx="0" cy="239760"/>
                          </a:xfrm>
                          <a:prstGeom prst="straightConnector1">
                            <a:avLst/>
                          </a:prstGeom>
                          <a:noFill/>
                          <a:ln w="19050" cap="flat" cmpd="sng" algn="ctr">
                            <a:solidFill>
                              <a:srgbClr val="5B9BD5"/>
                            </a:solidFill>
                            <a:prstDash val="solid"/>
                            <a:miter lim="800000"/>
                            <a:tailEnd type="triangle"/>
                          </a:ln>
                          <a:effectLst/>
                        </wps:spPr>
                        <wps:bodyPr/>
                      </wps:wsp>
                      <wps:wsp>
                        <wps:cNvPr id="35" name="Straight Arrow Connector 35"/>
                        <wps:cNvCnPr/>
                        <wps:spPr>
                          <a:xfrm>
                            <a:off x="1538786" y="5228869"/>
                            <a:ext cx="0" cy="848081"/>
                          </a:xfrm>
                          <a:prstGeom prst="straightConnector1">
                            <a:avLst/>
                          </a:prstGeom>
                          <a:noFill/>
                          <a:ln w="19050" cap="flat" cmpd="sng" algn="ctr">
                            <a:solidFill>
                              <a:srgbClr val="70AD47"/>
                            </a:solidFill>
                            <a:prstDash val="solid"/>
                            <a:miter lim="800000"/>
                            <a:tailEnd type="triangle"/>
                          </a:ln>
                          <a:effectLst/>
                        </wps:spPr>
                        <wps:bodyPr/>
                      </wps:wsp>
                      <wps:wsp>
                        <wps:cNvPr id="36" name="Straight Arrow Connector 36"/>
                        <wps:cNvCnPr/>
                        <wps:spPr>
                          <a:xfrm>
                            <a:off x="3955188" y="5857367"/>
                            <a:ext cx="0" cy="200007"/>
                          </a:xfrm>
                          <a:prstGeom prst="straightConnector1">
                            <a:avLst/>
                          </a:prstGeom>
                          <a:noFill/>
                          <a:ln w="19050" cap="flat" cmpd="sng" algn="ctr">
                            <a:solidFill>
                              <a:srgbClr val="5B9BD5"/>
                            </a:solidFill>
                            <a:prstDash val="solid"/>
                            <a:miter lim="800000"/>
                            <a:tailEnd type="triangle"/>
                          </a:ln>
                          <a:effectLst/>
                        </wps:spPr>
                        <wps:bodyPr/>
                      </wps:wsp>
                    </wpc:wpc>
                  </a:graphicData>
                </a:graphic>
              </wp:inline>
            </w:drawing>
          </mc:Choice>
          <mc:Fallback>
            <w:pict>
              <v:group w14:anchorId="2FB3EB69" id="Canvas 37" o:spid="_x0000_s1026" editas="canvas" style="width:420.4pt;height:514.5pt;mso-position-horizontal-relative:char;mso-position-vertical-relative:line" coordsize="53390,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90;height:65341;visibility:visible;mso-wrap-style:square">
                  <v:fill o:detectmouseclick="t"/>
                  <v:path o:connecttype="none"/>
                </v:shape>
                <v:rect id="Rectangle 4" o:spid="_x0000_s1028" style="position:absolute;left:6096;top:19281;width:1643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" fillcolor="#b5d5a7" strokecolor="#70ad47" strokeweight=".5pt">
                  <v:fill color2="#9cca86" rotate="t" colors="0 #b5d5a7;.5 #aace99;1 #9cca86" focus="100%" type="gradient">
                    <o:fill v:ext="view" type="gradientUnscaled"/>
                  </v:fill>
                  <v:textbox>
                    <w:txbxContent>
                      <w:p w14:paraId="72847273"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FS ievada datus </w:t>
                        </w:r>
                        <w:r w:rsidRPr="00E27BC6">
                          <w:rPr>
                            <w:rFonts w:eastAsia="Calibri"/>
                            <w:b/>
                            <w:bCs/>
                            <w:color w:val="000000"/>
                            <w:sz w:val="22"/>
                            <w:szCs w:val="22"/>
                          </w:rPr>
                          <w:t>KPVIS</w:t>
                        </w:r>
                      </w:p>
                      <w:p w14:paraId="5E279B30" w14:textId="77777777" w:rsidR="00BF21FC" w:rsidRPr="00E27BC6" w:rsidRDefault="00BF21FC" w:rsidP="00876B50">
                        <w:pPr>
                          <w:pStyle w:val="NormalWeb"/>
                          <w:spacing w:line="256" w:lineRule="auto"/>
                          <w:jc w:val="center"/>
                          <w:rPr>
                            <w:color w:val="000000"/>
                          </w:rPr>
                        </w:pPr>
                        <w:r w:rsidRPr="00E27BC6">
                          <w:rPr>
                            <w:rFonts w:eastAsia="Calibri"/>
                            <w:bCs/>
                            <w:color w:val="000000"/>
                            <w:sz w:val="22"/>
                            <w:szCs w:val="22"/>
                          </w:rPr>
                          <w:t> </w:t>
                        </w:r>
                      </w:p>
                    </w:txbxContent>
                  </v:textbox>
                </v:rect>
                <v:rect id="Rectangle 5" o:spid="_x0000_s1029" style="position:absolute;left:32431;top:19281;width:1447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" fillcolor="#b1cbe9" strokecolor="#5b9bd5" strokeweight=".5pt">
                  <v:fill color2="#92b9e4" rotate="t" colors="0 #b1cbe9;.5 #a3c1e5;1 #92b9e4" focus="100%" type="gradient">
                    <o:fill v:ext="view" type="gradientUnscaled"/>
                  </v:fill>
                  <v:textbox>
                    <w:txbxContent>
                      <w:p w14:paraId="3079728E"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FS ievada datus </w:t>
                        </w:r>
                        <w:r w:rsidRPr="00E27BC6">
                          <w:rPr>
                            <w:rFonts w:eastAsia="Calibri"/>
                            <w:b/>
                            <w:bCs/>
                            <w:color w:val="000000"/>
                            <w:sz w:val="22"/>
                            <w:szCs w:val="22"/>
                          </w:rPr>
                          <w:t>KPVIS</w:t>
                        </w:r>
                      </w:p>
                      <w:p w14:paraId="3E2C7D90" w14:textId="77777777" w:rsidR="00BF21FC" w:rsidRPr="00E27BC6" w:rsidRDefault="00BF21FC" w:rsidP="00876B50">
                        <w:pPr>
                          <w:pStyle w:val="NormalWeb"/>
                          <w:spacing w:line="254" w:lineRule="auto"/>
                          <w:jc w:val="center"/>
                          <w:rPr>
                            <w:color w:val="000000"/>
                          </w:rPr>
                        </w:pPr>
                        <w:r w:rsidRPr="00E27BC6">
                          <w:rPr>
                            <w:rFonts w:eastAsia="Times New Roman"/>
                            <w:color w:val="000000"/>
                          </w:rPr>
                          <w:t> </w:t>
                        </w:r>
                      </w:p>
                    </w:txbxContent>
                  </v:textbox>
                </v:rect>
                <v:rect id="Rectangle 6" o:spid="_x0000_s1030" style="position:absolute;left:32431;top:25510;width:1447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" fillcolor="#b1cbe9" strokecolor="#5b9bd5" strokeweight=".5pt">
                  <v:fill color2="#92b9e4" rotate="t" colors="0 #b1cbe9;.5 #a3c1e5;1 #92b9e4" focus="100%" type="gradient">
                    <o:fill v:ext="view" type="gradientUnscaled"/>
                  </v:fill>
                  <v:textbox>
                    <w:txbxContent>
                      <w:p w14:paraId="4BD9DE32" w14:textId="77777777" w:rsidR="00BF21FC" w:rsidRPr="00E27BC6" w:rsidRDefault="00BF21FC" w:rsidP="00876B50">
                        <w:pPr>
                          <w:pStyle w:val="NormalWeb"/>
                          <w:spacing w:line="254" w:lineRule="auto"/>
                          <w:jc w:val="center"/>
                          <w:rPr>
                            <w:color w:val="000000"/>
                          </w:rPr>
                        </w:pPr>
                        <w:r w:rsidRPr="00E27BC6">
                          <w:rPr>
                            <w:rFonts w:eastAsia="Calibri"/>
                            <w:color w:val="000000"/>
                            <w:sz w:val="22"/>
                            <w:szCs w:val="22"/>
                          </w:rPr>
                          <w:t xml:space="preserve">CFLA </w:t>
                        </w:r>
                        <w:r w:rsidRPr="00E27BC6">
                          <w:rPr>
                            <w:rFonts w:eastAsia="Calibri"/>
                            <w:b/>
                            <w:color w:val="000000"/>
                            <w:sz w:val="22"/>
                            <w:szCs w:val="22"/>
                          </w:rPr>
                          <w:t>vērtē</w:t>
                        </w:r>
                        <w:r w:rsidRPr="00E27BC6">
                          <w:rPr>
                            <w:rFonts w:eastAsia="Calibri"/>
                            <w:color w:val="000000"/>
                            <w:sz w:val="22"/>
                            <w:szCs w:val="22"/>
                          </w:rPr>
                          <w:t xml:space="preserve"> PI</w:t>
                        </w:r>
                      </w:p>
                    </w:txbxContent>
                  </v:textbox>
                </v:rect>
                <v:rect id="Rectangle 7" o:spid="_x0000_s1031" style="position:absolute;left:32315;top:31695;width:1470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" fillcolor="#b1cbe9" strokecolor="#5b9bd5" strokeweight=".5pt">
                  <v:fill color2="#92b9e4" rotate="t" colors="0 #b1cbe9;.5 #a3c1e5;1 #92b9e4" focus="100%" type="gradient">
                    <o:fill v:ext="view" type="gradientUnscaled"/>
                  </v:fill>
                  <v:textbox>
                    <w:txbxContent>
                      <w:p w14:paraId="002DF8B0"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Pr>
                            <w:rFonts w:eastAsia="Calibri"/>
                            <w:color w:val="000000"/>
                            <w:sz w:val="22"/>
                            <w:szCs w:val="22"/>
                          </w:rPr>
                          <w:t xml:space="preserve">slēdz līgumu, </w:t>
                        </w:r>
                        <w:r w:rsidRPr="00E27BC6">
                          <w:rPr>
                            <w:rFonts w:eastAsia="Calibri"/>
                            <w:color w:val="000000"/>
                            <w:sz w:val="22"/>
                            <w:szCs w:val="22"/>
                          </w:rPr>
                          <w:t xml:space="preserve">nosaka projekta </w:t>
                        </w:r>
                        <w:r w:rsidRPr="00E27BC6">
                          <w:rPr>
                            <w:rFonts w:eastAsia="Calibri"/>
                            <w:b/>
                            <w:bCs/>
                            <w:color w:val="000000"/>
                            <w:sz w:val="22"/>
                            <w:szCs w:val="22"/>
                          </w:rPr>
                          <w:t>risku</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39669;top:29701;width:1;height:1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" strokecolor="#5b9bd5" strokeweight="1.5pt">
                  <v:stroke endarrow="block" joinstyle="miter"/>
                </v:shape>
                <v:shape id="Straight Arrow Connector 9" o:spid="_x0000_s1033" type="#_x0000_t32" style="position:absolute;left:39670;top:23472;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" strokecolor="#5b9bd5" strokeweight="1.5pt">
                  <v:stroke endarrow="block" joinstyle="miter"/>
                </v:shape>
                <v:group id="Group 10" o:spid="_x0000_s1034" style="position:absolute;left:6096;top:1800;width:40991;height:3797" coordorigin="-1728" coordsize="4067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1728;width:40675;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" filled="f" stroked="f" strokeweight=".5pt">
                    <v:textbox>
                      <w:txbxContent>
                        <w:p w14:paraId="7EAA2737" w14:textId="77777777" w:rsidR="00BF21FC" w:rsidRPr="00E27BC6" w:rsidRDefault="00BF21FC" w:rsidP="00876B50">
                          <w:pPr>
                            <w:pStyle w:val="NormalWeb"/>
                            <w:spacing w:line="252" w:lineRule="auto"/>
                            <w:jc w:val="center"/>
                            <w:rPr>
                              <w:b/>
                              <w:caps/>
                              <w:color w:val="000000"/>
                            </w:rPr>
                          </w:pPr>
                          <w:r w:rsidRPr="00E27BC6">
                            <w:rPr>
                              <w:rFonts w:eastAsia="Calibri"/>
                              <w:b/>
                              <w:caps/>
                              <w:color w:val="000000"/>
                              <w:sz w:val="22"/>
                              <w:szCs w:val="22"/>
                            </w:rPr>
                            <w:t>Atveseļošanas un noturības mehānisms</w:t>
                          </w:r>
                        </w:p>
                      </w:txbxContent>
                    </v:textbox>
                  </v:rect>
                  <v:oval id="Oval 12" o:spid="_x0000_s1036" style="position:absolute;left:6897;top:3035;width:94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" filled="f" stroked="f" strokeweight=".5pt">
                    <v:stroke joinstyle="miter"/>
                  </v:oval>
                  <v:oval id="Oval 13" o:spid="_x0000_s1037" style="position:absolute;left:31209;top:3035;width:940;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" filled="f" stroked="f" strokeweight=".5pt">
                    <v:stroke joinstyle="miter"/>
                  </v:oval>
                </v:group>
                <v:shape id="Straight Arrow Connector 14" o:spid="_x0000_s1038" type="#_x0000_t32" style="position:absolute;left:39759;top:5597;width:19;height:1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" strokecolor="#5b9bd5" strokeweight="1.5pt">
                  <v:stroke endarrow="block" joinstyle="miter"/>
                </v:shape>
                <v:shape id="Straight Arrow Connector 15" o:spid="_x0000_s1039" type="#_x0000_t32" style="position:absolute;left:15260;top:5597;width:26;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" strokecolor="#70ad47" strokeweight="1.5pt">
                  <v:stroke endarrow="block" joinstyle="miter"/>
                </v:shape>
                <v:rect id="Rectangle 16" o:spid="_x0000_s1040" style="position:absolute;left:32545;top:7394;width:1447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" fillcolor="#b1cbe9" strokecolor="#5b9bd5" strokeweight=".5pt">
                  <v:fill color2="#92b9e4" rotate="t" colors="0 #b1cbe9;.5 #a3c1e5;1 #92b9e4" focus="100%" type="gradient">
                    <o:fill v:ext="view" type="gradientUnscaled"/>
                  </v:fill>
                  <v:textbox>
                    <w:txbxContent>
                      <w:p w14:paraId="60AF5A6C"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MK </w:t>
                        </w:r>
                        <w:r w:rsidRPr="00E27BC6">
                          <w:rPr>
                            <w:rFonts w:eastAsia="Calibri"/>
                            <w:b/>
                            <w:bCs/>
                            <w:color w:val="000000"/>
                            <w:sz w:val="22"/>
                            <w:szCs w:val="22"/>
                          </w:rPr>
                          <w:t>noteikumi</w:t>
                        </w:r>
                      </w:p>
                    </w:txbxContent>
                  </v:textbox>
                </v:rect>
                <v:rect id="Rectangle 17" o:spid="_x0000_s1041" style="position:absolute;left:32431;top:13464;width:1447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" fillcolor="#b1cbe9" strokecolor="#5b9bd5" strokeweight=".5pt">
                  <v:fill color2="#92b9e4" rotate="t" colors="0 #b1cbe9;.5 #a3c1e5;1 #92b9e4" focus="100%" type="gradient">
                    <o:fill v:ext="view" type="gradientUnscaled"/>
                  </v:fill>
                  <v:textbox>
                    <w:txbxContent>
                      <w:p w14:paraId="422CC99C"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sidRPr="00E27BC6">
                          <w:rPr>
                            <w:rFonts w:eastAsia="Calibri"/>
                            <w:b/>
                            <w:color w:val="000000"/>
                            <w:sz w:val="22"/>
                            <w:szCs w:val="22"/>
                          </w:rPr>
                          <w:t>izsludina</w:t>
                        </w:r>
                        <w:r w:rsidRPr="00E27BC6">
                          <w:rPr>
                            <w:rFonts w:eastAsia="Calibri"/>
                            <w:color w:val="000000"/>
                            <w:sz w:val="22"/>
                            <w:szCs w:val="22"/>
                          </w:rPr>
                          <w:t xml:space="preserve"> atlasi</w:t>
                        </w:r>
                      </w:p>
                    </w:txbxContent>
                  </v:textbox>
                </v:rect>
                <v:shape id="Straight Arrow Connector 18" o:spid="_x0000_s1042" type="#_x0000_t32" style="position:absolute;left:39670;top:11629;width:0;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" strokecolor="#5b9bd5" strokeweight="1.5pt">
                  <v:stroke endarrow="block" joinstyle="miter"/>
                </v:shape>
                <v:shape id="Straight Arrow Connector 19" o:spid="_x0000_s1043" type="#_x0000_t32" style="position:absolute;left:39670;top:17655;width:0;height:1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" strokecolor="#5b9bd5" strokeweight="1.5pt">
                  <v:stroke endarrow="block" joinstyle="miter"/>
                </v:shape>
                <v:rect id="Rectangle 20" o:spid="_x0000_s1044" style="position:absolute;left:6096;top:7489;width:1643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" fillcolor="#b5d5a7" strokecolor="#70ad47" strokeweight=".5pt">
                  <v:fill color2="#9cca86" rotate="t" colors="0 #b5d5a7;.5 #aace99;1 #9cca86" focus="100%" type="gradient">
                    <o:fill v:ext="view" type="gradientUnscaled"/>
                  </v:fill>
                  <v:textbox>
                    <w:txbxContent>
                      <w:p w14:paraId="4B3F407C" w14:textId="77777777" w:rsidR="00BF21FC" w:rsidRPr="00E27BC6" w:rsidRDefault="00BF21FC" w:rsidP="00876B50">
                        <w:pPr>
                          <w:pStyle w:val="NormalWeb"/>
                          <w:spacing w:after="120"/>
                          <w:jc w:val="center"/>
                          <w:rPr>
                            <w:color w:val="000000"/>
                          </w:rPr>
                        </w:pPr>
                        <w:r w:rsidRPr="00E27BC6">
                          <w:rPr>
                            <w:rFonts w:eastAsia="Calibri"/>
                            <w:color w:val="000000"/>
                            <w:sz w:val="22"/>
                            <w:szCs w:val="22"/>
                          </w:rPr>
                          <w:t xml:space="preserve">MK </w:t>
                        </w:r>
                        <w:r w:rsidRPr="00E27BC6">
                          <w:rPr>
                            <w:rFonts w:eastAsia="Calibri"/>
                            <w:b/>
                            <w:bCs/>
                            <w:color w:val="000000"/>
                            <w:sz w:val="22"/>
                            <w:szCs w:val="22"/>
                          </w:rPr>
                          <w:t>informatīvais ziņojums</w:t>
                        </w:r>
                      </w:p>
                      <w:p w14:paraId="5499B494" w14:textId="77777777" w:rsidR="00BF21FC" w:rsidRPr="00E27BC6" w:rsidRDefault="00BF21FC" w:rsidP="00876B50">
                        <w:pPr>
                          <w:pStyle w:val="NormalWeb"/>
                          <w:spacing w:line="252" w:lineRule="auto"/>
                          <w:jc w:val="center"/>
                          <w:rPr>
                            <w:color w:val="000000"/>
                          </w:rPr>
                        </w:pPr>
                        <w:r w:rsidRPr="00E27BC6">
                          <w:rPr>
                            <w:rFonts w:eastAsia="Times New Roman"/>
                            <w:color w:val="000000"/>
                          </w:rPr>
                          <w:t> </w:t>
                        </w:r>
                      </w:p>
                    </w:txbxContent>
                  </v:textbox>
                </v:rect>
                <v:shape id="Straight Arrow Connector 21" o:spid="_x0000_s1045" type="#_x0000_t32" style="position:absolute;left:15292;top:11680;width:0;height:7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" strokecolor="#70ad47" strokeweight="1.5pt">
                  <v:stroke endarrow="block" joinstyle="miter"/>
                </v:shape>
                <v:rect id="Rectangle 22" o:spid="_x0000_s1046" style="position:absolute;left:6191;top:47445;width:9545;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" fillcolor="#b5d5a7" strokecolor="#70ad47" strokeweight=".5pt">
                  <v:fill color2="#69f" rotate="t" colors="0 #b5d5a7;.5 #aace99;62915f #69f" focus="100%" type="gradient">
                    <o:fill v:ext="view" type="gradientUnscaled"/>
                  </v:fill>
                  <v:textbox>
                    <w:txbxContent>
                      <w:p w14:paraId="27B1824F" w14:textId="723A7080" w:rsidR="00BF21FC" w:rsidRPr="00793717" w:rsidRDefault="00793717" w:rsidP="00876B50">
                        <w:pPr>
                          <w:pStyle w:val="NormalWeb"/>
                          <w:spacing w:line="252" w:lineRule="auto"/>
                          <w:jc w:val="center"/>
                          <w:rPr>
                            <w:color w:val="000000"/>
                            <w:sz w:val="16"/>
                            <w:szCs w:val="16"/>
                          </w:rPr>
                        </w:pPr>
                        <w:r w:rsidRPr="00793717">
                          <w:rPr>
                            <w:rFonts w:eastAsia="Calibri"/>
                            <w:color w:val="000000"/>
                            <w:sz w:val="16"/>
                            <w:szCs w:val="16"/>
                          </w:rPr>
                          <w:t>Korupcija, interešu konflikts, krāpšana</w:t>
                        </w:r>
                      </w:p>
                    </w:txbxContent>
                  </v:textbox>
                </v:rect>
                <v:rect id="Rectangle 23" o:spid="_x0000_s1047" style="position:absolute;left:6000;top:60663;width:41023;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" fillcolor="#b5d5a7" strokecolor="#70ad47" strokeweight=".5pt">
                  <v:fill color2="#69f" rotate="t" colors="0 #b5d5a7;.5 #aace99;62915f #69f" focus="100%" type="gradient">
                    <o:fill v:ext="view" type="gradientUnscaled"/>
                  </v:fill>
                  <v:textbox>
                    <w:txbxContent>
                      <w:p w14:paraId="5FE0E3CB" w14:textId="77777777" w:rsidR="00BF21FC" w:rsidRPr="00E27BC6" w:rsidRDefault="00BF21FC" w:rsidP="00876B50">
                        <w:pPr>
                          <w:pStyle w:val="NormalWeb"/>
                          <w:spacing w:line="252" w:lineRule="auto"/>
                          <w:jc w:val="center"/>
                          <w:rPr>
                            <w:color w:val="000000"/>
                          </w:rPr>
                        </w:pPr>
                        <w:r>
                          <w:rPr>
                            <w:rFonts w:eastAsia="Calibri"/>
                            <w:color w:val="000000"/>
                            <w:sz w:val="22"/>
                            <w:szCs w:val="22"/>
                          </w:rPr>
                          <w:t>Informācija a</w:t>
                        </w:r>
                        <w:r w:rsidRPr="00E27BC6">
                          <w:rPr>
                            <w:rFonts w:eastAsia="Calibri"/>
                            <w:color w:val="000000"/>
                            <w:sz w:val="22"/>
                            <w:szCs w:val="22"/>
                          </w:rPr>
                          <w:t>pliecinājum</w:t>
                        </w:r>
                        <w:r>
                          <w:rPr>
                            <w:rFonts w:eastAsia="Calibri"/>
                            <w:color w:val="000000"/>
                            <w:sz w:val="22"/>
                            <w:szCs w:val="22"/>
                          </w:rPr>
                          <w:t>am</w:t>
                        </w:r>
                        <w:r w:rsidRPr="00E27BC6">
                          <w:rPr>
                            <w:rFonts w:eastAsia="Calibri"/>
                            <w:color w:val="000000"/>
                            <w:sz w:val="22"/>
                            <w:szCs w:val="22"/>
                          </w:rPr>
                          <w:t xml:space="preserve"> MPEK</w:t>
                        </w:r>
                      </w:p>
                    </w:txbxContent>
                  </v:textbox>
                </v:rect>
                <v:rect id="Rectangle 24" o:spid="_x0000_s1048" style="position:absolute;left:16721;top:47449;width:9949;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" fillcolor="#b5d5a7" strokecolor="#70ad47" strokeweight=".5pt">
                  <v:fill color2="#69f" rotate="t" colors="0 #b5d5a7;.5 #aace99;62915f #69f" focus="100%" type="gradient">
                    <o:fill v:ext="view" type="gradientUnscaled"/>
                  </v:fill>
                  <v:textbox>
                    <w:txbxContent>
                      <w:p w14:paraId="518FCD71"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Dubultais   finansējums</w:t>
                        </w:r>
                      </w:p>
                    </w:txbxContent>
                  </v:textbox>
                </v:rect>
                <v:rect id="Rectangle 25" o:spid="_x0000_s1049" style="position:absolute;left:38671;top:47353;width:8428;height:4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" fillcolor="#b5d5a7" strokecolor="#70ad47" strokeweight=".5pt">
                  <v:fill color2="#69f" rotate="t" colors="0 #b5d5a7;.5 #aace99;62915f #69f" focus="100%" type="gradient">
                    <o:fill v:ext="view" type="gradientUnscaled"/>
                  </v:fill>
                  <v:textbox>
                    <w:txbxContent>
                      <w:p w14:paraId="14C95B12"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PPĪV</w:t>
                        </w:r>
                      </w:p>
                    </w:txbxContent>
                  </v:textbox>
                </v:rect>
                <v:rect id="Rectangle 26" o:spid="_x0000_s1050" style="position:absolute;left:27586;top:47432;width:9847;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" fillcolor="#b5d5a7" strokecolor="#70ad47" strokeweight=".5pt">
                  <v:fill color2="#69f" rotate="t" colors="0 #b5d5a7;.5 #aace99;62915f #69f" focus="100%" type="gradient">
                    <o:fill v:ext="view" type="gradientUnscaled"/>
                  </v:fill>
                  <v:textbox>
                    <w:txbxContent>
                      <w:p w14:paraId="0BB76E0D"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Mērķi, datu ticamība</w:t>
                        </w:r>
                      </w:p>
                    </w:txbxContent>
                  </v:textbox>
                </v:rect>
                <v:rect id="Rectangle 27" o:spid="_x0000_s1051" style="position:absolute;left:32004;top:54304;width:15095;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" fillcolor="#b1cbe9" strokecolor="#5b9bd5" strokeweight=".5pt">
                  <v:fill color2="#92b9e4" rotate="t" colors="0 #b1cbe9;.5 #a3c1e5;1 #92b9e4" focus="100%" type="gradient">
                    <o:fill v:ext="view" type="gradientUnscaled"/>
                  </v:fill>
                  <v:textbox>
                    <w:txbxContent>
                      <w:p w14:paraId="17059828"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Maksājumi</w:t>
                        </w:r>
                      </w:p>
                    </w:txbxContent>
                  </v:textbox>
                </v:rect>
                <v:rect id="Rectangle 28" o:spid="_x0000_s1052" style="position:absolute;left:32200;top:38552;width:14899;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" fillcolor="#b1cbe9" strokecolor="#5b9bd5" strokeweight=".5pt">
                  <v:fill color2="#92b9e4" rotate="t" colors="0 #b1cbe9;.5 #a3c1e5;1 #92b9e4" focus="100%" type="gradient">
                    <o:fill v:ext="view" type="gradientUnscaled"/>
                  </v:fill>
                  <v:textbox>
                    <w:txbxContent>
                      <w:p w14:paraId="4CAAE92F" w14:textId="77777777" w:rsidR="00BF21FC" w:rsidRPr="00E27BC6" w:rsidRDefault="00BF21FC" w:rsidP="00876B50">
                        <w:pPr>
                          <w:pStyle w:val="NormalWeb"/>
                          <w:spacing w:line="252" w:lineRule="auto"/>
                          <w:jc w:val="center"/>
                          <w:rPr>
                            <w:color w:val="000000"/>
                          </w:rPr>
                        </w:pPr>
                        <w:r w:rsidRPr="00E27BC6">
                          <w:rPr>
                            <w:rFonts w:eastAsia="Calibri"/>
                            <w:color w:val="000000"/>
                            <w:sz w:val="22"/>
                            <w:szCs w:val="22"/>
                          </w:rPr>
                          <w:t xml:space="preserve">CFLA </w:t>
                        </w:r>
                        <w:r w:rsidRPr="00E27BC6">
                          <w:rPr>
                            <w:rFonts w:eastAsia="Calibri"/>
                            <w:b/>
                            <w:bCs/>
                            <w:color w:val="000000"/>
                            <w:sz w:val="22"/>
                            <w:szCs w:val="22"/>
                          </w:rPr>
                          <w:t>kontroles</w:t>
                        </w:r>
                        <w:r w:rsidRPr="00E27BC6">
                          <w:rPr>
                            <w:rFonts w:eastAsia="Calibri"/>
                            <w:color w:val="000000"/>
                            <w:sz w:val="22"/>
                            <w:szCs w:val="22"/>
                          </w:rPr>
                          <w:t xml:space="preserve">, pamatojoties uz projektu risku </w:t>
                        </w:r>
                      </w:p>
                    </w:txbxContent>
                  </v:textbox>
                </v:rect>
                <v:rect id="Rectangle 29" o:spid="_x0000_s1053" style="position:absolute;left:6381;top:38278;width:16449;height: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" fillcolor="#b5d5a7" strokecolor="#70ad47" strokeweight=".5pt">
                  <v:fill color2="#9cca86" rotate="t" colors="0 #b5d5a7;.5 #aace99;1 #9cca86" focus="100%" type="gradient">
                    <o:fill v:ext="view" type="gradientUnscaled"/>
                  </v:fill>
                  <v:textbox>
                    <w:txbxContent>
                      <w:p w14:paraId="53C081D2" w14:textId="77777777" w:rsidR="00BF21FC" w:rsidRDefault="00BF21FC" w:rsidP="00876B50">
                        <w:pPr>
                          <w:pStyle w:val="NormalWeb"/>
                          <w:spacing w:line="252" w:lineRule="auto"/>
                          <w:jc w:val="center"/>
                        </w:pPr>
                        <w:r>
                          <w:rPr>
                            <w:rFonts w:eastAsia="Calibri"/>
                            <w:color w:val="000000"/>
                            <w:sz w:val="22"/>
                            <w:szCs w:val="22"/>
                          </w:rPr>
                          <w:t xml:space="preserve">CFLA </w:t>
                        </w:r>
                        <w:r>
                          <w:rPr>
                            <w:rFonts w:eastAsia="Calibri"/>
                            <w:b/>
                            <w:bCs/>
                            <w:color w:val="000000"/>
                            <w:sz w:val="22"/>
                            <w:szCs w:val="22"/>
                          </w:rPr>
                          <w:t>kontroles</w:t>
                        </w:r>
                        <w:r>
                          <w:rPr>
                            <w:rFonts w:eastAsia="Calibri"/>
                            <w:color w:val="000000"/>
                            <w:sz w:val="22"/>
                            <w:szCs w:val="22"/>
                          </w:rPr>
                          <w:t xml:space="preserve"> izlases veidā </w:t>
                        </w:r>
                      </w:p>
                    </w:txbxContent>
                  </v:textbox>
                </v:rect>
                <v:shape id="Straight Arrow Connector 30" o:spid="_x0000_s1054" type="#_x0000_t32" style="position:absolute;left:15292;top:23472;width:89;height:14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" strokecolor="#70ad47" strokeweight="1.5pt">
                  <v:stroke endarrow="block" joinstyle="miter"/>
                </v:shape>
                <v:shape id="Straight Arrow Connector 31" o:spid="_x0000_s1055" type="#_x0000_t32" style="position:absolute;left:15381;top:43897;width:6;height:3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" strokecolor="#70ad47" strokeweight="1.5pt">
                  <v:stroke endarrow="block" joinstyle="miter"/>
                </v:shape>
                <v:shape id="Straight Arrow Connector 32" o:spid="_x0000_s1056" type="#_x0000_t32" style="position:absolute;left:39650;top:44281;width:0;height:3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" strokecolor="#5b9bd5" strokeweight="1.5pt">
                  <v:stroke endarrow="block" joinstyle="miter"/>
                </v:shape>
                <v:shape id="Straight Arrow Connector 33" o:spid="_x0000_s1057" type="#_x0000_t32" style="position:absolute;left:39650;top:36305;width:19;height:22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" strokecolor="#5b9bd5" strokeweight="1.5pt">
                  <v:stroke endarrow="block" joinstyle="miter"/>
                </v:shape>
                <v:shape id="Straight Arrow Connector 34" o:spid="_x0000_s1058" type="#_x0000_t32" style="position:absolute;left:39551;top:51906;width:0;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" strokecolor="#5b9bd5" strokeweight="1.5pt">
                  <v:stroke endarrow="block" joinstyle="miter"/>
                </v:shape>
                <v:shape id="Straight Arrow Connector 35" o:spid="_x0000_s1059" type="#_x0000_t32" style="position:absolute;left:15387;top:52288;width:0;height:8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" strokecolor="#70ad47" strokeweight="1.5pt">
                  <v:stroke endarrow="block" joinstyle="miter"/>
                </v:shape>
                <v:shape id="Straight Arrow Connector 36" o:spid="_x0000_s1060" type="#_x0000_t32" style="position:absolute;left:39551;top:58573;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" strokecolor="#5b9bd5" strokeweight="1.5pt">
                  <v:stroke endarrow="block" joinstyle="miter"/>
                </v:shape>
                <w10:anchorlock/>
              </v:group>
            </w:pict>
          </mc:Fallback>
        </mc:AlternateContent>
      </w:r>
    </w:p>
    <w:p w14:paraId="35DD5B95" w14:textId="77777777" w:rsidR="00E74038" w:rsidRDefault="00E74038" w:rsidP="00E74038">
      <w:pPr>
        <w:suppressAutoHyphens/>
        <w:autoSpaceDN w:val="0"/>
        <w:spacing w:after="0" w:line="276" w:lineRule="auto"/>
        <w:textAlignment w:val="baseline"/>
        <w:rPr>
          <w:rFonts w:eastAsia="Calibri"/>
          <w:b/>
          <w:bCs/>
        </w:rPr>
      </w:pPr>
    </w:p>
    <w:p w14:paraId="5B068F2F" w14:textId="191B5C12" w:rsidR="00DC79F5" w:rsidRPr="00A83AB8" w:rsidRDefault="00DC79F5" w:rsidP="00DC79F5">
      <w:pPr>
        <w:suppressAutoHyphens/>
        <w:autoSpaceDN w:val="0"/>
        <w:spacing w:after="0" w:line="276" w:lineRule="auto"/>
        <w:ind w:firstLine="709"/>
        <w:jc w:val="both"/>
        <w:textAlignment w:val="baseline"/>
        <w:rPr>
          <w:rFonts w:eastAsia="Calibri"/>
        </w:rPr>
      </w:pPr>
      <w:r>
        <w:rPr>
          <w:rFonts w:eastAsia="Calibri"/>
        </w:rPr>
        <w:t>L</w:t>
      </w:r>
      <w:r w:rsidRPr="00730B37">
        <w:rPr>
          <w:rFonts w:eastAsia="Calibri"/>
        </w:rPr>
        <w:t xml:space="preserve">ai vienlaikus nodrošinātu 14-20, </w:t>
      </w:r>
      <w:r w:rsidR="00793717" w:rsidRPr="00793717">
        <w:rPr>
          <w:rFonts w:eastAsia="Calibri"/>
        </w:rPr>
        <w:t>Atveseļošanas fonda</w:t>
      </w:r>
      <w:r w:rsidRPr="00730B37">
        <w:rPr>
          <w:rFonts w:eastAsia="Calibri"/>
        </w:rPr>
        <w:t xml:space="preserve"> plāna un 21-27 funkciju izpildi, </w:t>
      </w:r>
      <w:r>
        <w:rPr>
          <w:rFonts w:eastAsia="Calibri"/>
        </w:rPr>
        <w:t>CFLA</w:t>
      </w:r>
      <w:r w:rsidRPr="00730B37">
        <w:rPr>
          <w:rFonts w:eastAsia="Calibri"/>
        </w:rPr>
        <w:t xml:space="preserve"> būs nepieciešams izmantot maksimālo </w:t>
      </w:r>
      <w:r w:rsidRPr="00A83AB8">
        <w:rPr>
          <w:rFonts w:eastAsia="Calibri"/>
        </w:rPr>
        <w:t xml:space="preserve">šobrīd pieejamo kapacitāti. </w:t>
      </w:r>
    </w:p>
    <w:p w14:paraId="25AFECAC" w14:textId="7ABD3C14" w:rsidR="00DC79F5" w:rsidRDefault="00DC79F5" w:rsidP="00DC79F5">
      <w:pPr>
        <w:suppressAutoHyphens/>
        <w:autoSpaceDN w:val="0"/>
        <w:spacing w:after="0" w:line="276" w:lineRule="auto"/>
        <w:ind w:firstLine="709"/>
        <w:jc w:val="both"/>
        <w:textAlignment w:val="baseline"/>
        <w:rPr>
          <w:rFonts w:eastAsia="Calibri"/>
        </w:rPr>
      </w:pPr>
      <w:bookmarkStart w:id="10" w:name="_Hlk75877279"/>
      <w:r w:rsidRPr="006D1313">
        <w:rPr>
          <w:rFonts w:eastAsia="Calibri"/>
        </w:rPr>
        <w:t xml:space="preserve">CFLA plāno īstenot </w:t>
      </w:r>
      <w:r w:rsidR="00835B03" w:rsidRPr="00835B03">
        <w:rPr>
          <w:rFonts w:eastAsia="Calibri"/>
        </w:rPr>
        <w:t>Atveseļošanas fonda</w:t>
      </w:r>
      <w:r w:rsidRPr="006D1313">
        <w:rPr>
          <w:rFonts w:eastAsia="Calibri"/>
        </w:rPr>
        <w:t xml:space="preserve"> ieviešanas uzraudzību esošo amata vietu ietvaros, nepalielinot kopējo amata vietu skaitu. Periodiski, un īpaši tuvojoties darba apjoma kulminācijai (atkarībā no programmu uzsākšanās laika grafikiem un projektos konstatētiem riskiem un no tiem izrietošās nepieciešamās pārbaužu intensitātes) vienlaikus strādājot ar trīs programmu (14-20, 21</w:t>
      </w:r>
      <w:r w:rsidR="0077264C">
        <w:rPr>
          <w:rFonts w:eastAsia="Calibri"/>
        </w:rPr>
        <w:t>-</w:t>
      </w:r>
      <w:r w:rsidRPr="006D1313">
        <w:rPr>
          <w:rFonts w:eastAsia="Calibri"/>
        </w:rPr>
        <w:t xml:space="preserve">27 un </w:t>
      </w:r>
      <w:r w:rsidR="00835B03" w:rsidRPr="00835B03">
        <w:rPr>
          <w:rFonts w:eastAsia="Calibri"/>
        </w:rPr>
        <w:t>Atveseļošanas fonda</w:t>
      </w:r>
      <w:r w:rsidRPr="006D1313">
        <w:rPr>
          <w:rFonts w:eastAsia="Calibri"/>
        </w:rPr>
        <w:t xml:space="preserve">) uzraudzību, </w:t>
      </w:r>
      <w:r w:rsidR="00C51589">
        <w:rPr>
          <w:rFonts w:eastAsia="Calibri"/>
        </w:rPr>
        <w:t xml:space="preserve">CFLA </w:t>
      </w:r>
      <w:r w:rsidRPr="006D1313">
        <w:rPr>
          <w:rFonts w:eastAsia="Calibri"/>
        </w:rPr>
        <w:t>vērtē</w:t>
      </w:r>
      <w:r w:rsidR="00C51589">
        <w:rPr>
          <w:rFonts w:eastAsia="Calibri"/>
        </w:rPr>
        <w:t>s</w:t>
      </w:r>
      <w:r w:rsidRPr="006D1313">
        <w:rPr>
          <w:rFonts w:eastAsia="Calibri"/>
        </w:rPr>
        <w:t xml:space="preserve"> ar cilvēkresursu kapacitāti, darbības nepā</w:t>
      </w:r>
      <w:r w:rsidR="00C51589">
        <w:rPr>
          <w:rFonts w:eastAsia="Calibri"/>
        </w:rPr>
        <w:t>r</w:t>
      </w:r>
      <w:r w:rsidRPr="006D1313">
        <w:rPr>
          <w:rFonts w:eastAsia="Calibri"/>
        </w:rPr>
        <w:t xml:space="preserve">trauktību, </w:t>
      </w:r>
      <w:r w:rsidRPr="006D1313">
        <w:rPr>
          <w:rFonts w:eastAsia="Calibri"/>
        </w:rPr>
        <w:lastRenderedPageBreak/>
        <w:t>kompetenču ilgtspējas saglabāšanas un juridiskajiem aspektiem saistītos riskus,  kā arī nepieciešamības gadījumā noteikt riskus mazinošos pasākumus.</w:t>
      </w:r>
      <w:r>
        <w:rPr>
          <w:rFonts w:eastAsia="Calibri"/>
        </w:rPr>
        <w:t xml:space="preserve">  </w:t>
      </w:r>
    </w:p>
    <w:p w14:paraId="34B17192" w14:textId="48B6D6EF" w:rsidR="00206C7B" w:rsidRDefault="0034402C" w:rsidP="00DC79F5">
      <w:pPr>
        <w:suppressAutoHyphens/>
        <w:autoSpaceDN w:val="0"/>
        <w:spacing w:after="0" w:line="276" w:lineRule="auto"/>
        <w:ind w:firstLine="709"/>
        <w:jc w:val="both"/>
        <w:textAlignment w:val="baseline"/>
        <w:rPr>
          <w:rFonts w:eastAsia="Calibri"/>
        </w:rPr>
      </w:pPr>
      <w:r>
        <w:rPr>
          <w:rFonts w:eastAsia="Calibri"/>
        </w:rPr>
        <w:t>A</w:t>
      </w:r>
      <w:r w:rsidRPr="0034402C">
        <w:rPr>
          <w:rFonts w:eastAsia="Calibri"/>
        </w:rPr>
        <w:t xml:space="preserve">tbilstoši gan 14-20, kā arī 21-27 īstenošanās posmiem un to intensitātei </w:t>
      </w:r>
      <w:r>
        <w:rPr>
          <w:rFonts w:eastAsia="Calibri"/>
        </w:rPr>
        <w:t>k</w:t>
      </w:r>
      <w:r w:rsidRPr="0034402C">
        <w:rPr>
          <w:rFonts w:eastAsia="Calibri"/>
        </w:rPr>
        <w:t xml:space="preserve">opējais </w:t>
      </w:r>
      <w:r w:rsidR="002E3EDF" w:rsidRPr="002E3EDF">
        <w:rPr>
          <w:rFonts w:eastAsia="Calibri"/>
        </w:rPr>
        <w:t>Atveseļošanas fonda</w:t>
      </w:r>
      <w:r w:rsidRPr="0034402C">
        <w:rPr>
          <w:rFonts w:eastAsia="Calibri"/>
        </w:rPr>
        <w:t xml:space="preserve"> plāna atlasei, uzraudzībai un KPVIS administrēšanai nepieciešamais </w:t>
      </w:r>
      <w:r>
        <w:rPr>
          <w:rFonts w:eastAsia="Calibri"/>
        </w:rPr>
        <w:t xml:space="preserve">maksimālais </w:t>
      </w:r>
      <w:r w:rsidRPr="0034402C">
        <w:rPr>
          <w:rFonts w:eastAsia="Calibri"/>
        </w:rPr>
        <w:t>slodžu skaits – 90</w:t>
      </w:r>
      <w:r>
        <w:rPr>
          <w:rFonts w:eastAsia="Calibri"/>
        </w:rPr>
        <w:t xml:space="preserve">. </w:t>
      </w:r>
    </w:p>
    <w:bookmarkEnd w:id="10"/>
    <w:p w14:paraId="691739DB" w14:textId="59BDAA1B" w:rsidR="00DC79F5" w:rsidRDefault="00DC79F5" w:rsidP="00DC79F5">
      <w:pPr>
        <w:suppressAutoHyphens/>
        <w:autoSpaceDN w:val="0"/>
        <w:spacing w:after="0" w:line="276" w:lineRule="auto"/>
        <w:ind w:firstLine="709"/>
        <w:jc w:val="both"/>
        <w:textAlignment w:val="baseline"/>
        <w:rPr>
          <w:rFonts w:eastAsia="Calibri"/>
        </w:rPr>
      </w:pPr>
      <w:r>
        <w:rPr>
          <w:rFonts w:eastAsia="Calibri"/>
        </w:rPr>
        <w:t xml:space="preserve">CFLA </w:t>
      </w:r>
      <w:r w:rsidR="002E3EDF" w:rsidRPr="002E3EDF">
        <w:rPr>
          <w:rFonts w:eastAsia="Calibri"/>
        </w:rPr>
        <w:t>Atveseļošanas fonda</w:t>
      </w:r>
      <w:r>
        <w:rPr>
          <w:rFonts w:eastAsia="Calibri"/>
        </w:rPr>
        <w:t xml:space="preserve"> ieviešanas uzraudzībai p</w:t>
      </w:r>
      <w:r w:rsidRPr="00597F33">
        <w:rPr>
          <w:rFonts w:eastAsia="Calibri"/>
        </w:rPr>
        <w:t xml:space="preserve">ieprasītais resursu apjoms ir indikatīvs un precīzs funkciju izpildei nepieciešamā resursu piesaistes plāns tiks izstrādāts, ņemot vērā ministriju sagatavotos </w:t>
      </w:r>
      <w:r w:rsidR="003D2704" w:rsidRPr="003D2704">
        <w:rPr>
          <w:rFonts w:eastAsia="Calibri"/>
        </w:rPr>
        <w:t>Atveseļošanas fonda</w:t>
      </w:r>
      <w:r w:rsidRPr="00597F33">
        <w:rPr>
          <w:rFonts w:eastAsia="Calibri"/>
        </w:rPr>
        <w:t xml:space="preserve"> plāna programmu reformu un investīciju </w:t>
      </w:r>
      <w:r>
        <w:rPr>
          <w:rFonts w:eastAsia="Calibri"/>
        </w:rPr>
        <w:t xml:space="preserve">laika </w:t>
      </w:r>
      <w:r w:rsidRPr="00597F33">
        <w:rPr>
          <w:rFonts w:eastAsia="Calibri"/>
        </w:rPr>
        <w:t xml:space="preserve">grafikus. </w:t>
      </w:r>
    </w:p>
    <w:p w14:paraId="5C7EF52E" w14:textId="434FBA24" w:rsidR="00D226A9" w:rsidRPr="00D226A9" w:rsidRDefault="00D226A9" w:rsidP="00D226A9">
      <w:pPr>
        <w:suppressAutoHyphens/>
        <w:autoSpaceDN w:val="0"/>
        <w:spacing w:after="0" w:line="240" w:lineRule="auto"/>
        <w:jc w:val="both"/>
        <w:textAlignment w:val="baseline"/>
        <w:rPr>
          <w:rFonts w:eastAsia="Calibri"/>
        </w:rPr>
      </w:pPr>
      <w:r w:rsidRPr="00D226A9">
        <w:rPr>
          <w:rFonts w:eastAsia="Calibri"/>
        </w:rPr>
        <w:t>CFLA nepieciešamais</w:t>
      </w:r>
      <w:r w:rsidRPr="00D226A9" w:rsidDel="00066A08">
        <w:rPr>
          <w:rFonts w:eastAsia="Calibri"/>
        </w:rPr>
        <w:t xml:space="preserve"> </w:t>
      </w:r>
      <w:r w:rsidRPr="00D226A9">
        <w:rPr>
          <w:rFonts w:eastAsia="Calibri"/>
        </w:rPr>
        <w:t xml:space="preserve">finansējums </w:t>
      </w:r>
      <w:r w:rsidRPr="00D226A9">
        <w:rPr>
          <w:color w:val="000000"/>
        </w:rPr>
        <w:t xml:space="preserve">14 570 000 </w:t>
      </w:r>
      <w:r w:rsidR="00A25E72">
        <w:rPr>
          <w:rFonts w:eastAsia="Calibri"/>
        </w:rPr>
        <w:t>EUR</w:t>
      </w:r>
      <w:r w:rsidR="00A25E72" w:rsidRPr="00D226A9">
        <w:rPr>
          <w:rFonts w:eastAsia="Calibri"/>
        </w:rPr>
        <w:t xml:space="preserve">, </w:t>
      </w:r>
      <w:r w:rsidRPr="00D226A9">
        <w:rPr>
          <w:rFonts w:eastAsia="Calibri"/>
        </w:rPr>
        <w:t>tajā skaitā:</w:t>
      </w:r>
    </w:p>
    <w:p w14:paraId="0D90C76C" w14:textId="565AB89B" w:rsidR="00D226A9" w:rsidRPr="00D226A9" w:rsidRDefault="00D226A9" w:rsidP="00021EDE">
      <w:pPr>
        <w:pStyle w:val="ListParagraph"/>
        <w:numPr>
          <w:ilvl w:val="0"/>
          <w:numId w:val="23"/>
        </w:numPr>
        <w:suppressAutoHyphens/>
        <w:autoSpaceDN w:val="0"/>
        <w:spacing w:after="0" w:line="276" w:lineRule="auto"/>
        <w:jc w:val="both"/>
        <w:textAlignment w:val="baseline"/>
        <w:rPr>
          <w:rFonts w:eastAsia="Calibri"/>
        </w:rPr>
      </w:pPr>
      <w:r w:rsidRPr="00D226A9">
        <w:rPr>
          <w:rFonts w:eastAsia="Calibri"/>
        </w:rPr>
        <w:t xml:space="preserve"> 12 870 000 </w:t>
      </w:r>
      <w:r w:rsidR="00A25E72">
        <w:rPr>
          <w:rFonts w:eastAsia="Calibri"/>
        </w:rPr>
        <w:t>EUR</w:t>
      </w:r>
      <w:r w:rsidR="00A25E72" w:rsidRPr="00D226A9">
        <w:rPr>
          <w:rFonts w:eastAsia="Calibri"/>
        </w:rPr>
        <w:t xml:space="preserve">  </w:t>
      </w:r>
      <w:r w:rsidRPr="00D226A9">
        <w:rPr>
          <w:rFonts w:eastAsia="Calibri"/>
        </w:rPr>
        <w:t xml:space="preserve">90 slodzēm (vidēji vienas slodzes izmaksas gadā ir 30 153 </w:t>
      </w:r>
      <w:r w:rsidR="00674E11">
        <w:rPr>
          <w:rFonts w:eastAsia="Calibri"/>
        </w:rPr>
        <w:t>EUR</w:t>
      </w:r>
      <w:r w:rsidRPr="00D226A9">
        <w:rPr>
          <w:rFonts w:eastAsia="Calibri"/>
        </w:rPr>
        <w:t>. 2021.</w:t>
      </w:r>
      <w:r w:rsidR="00EB5652">
        <w:rPr>
          <w:rFonts w:eastAsia="Calibri"/>
        </w:rPr>
        <w:t> </w:t>
      </w:r>
      <w:r w:rsidRPr="00D226A9">
        <w:rPr>
          <w:rFonts w:eastAsia="Calibri"/>
        </w:rPr>
        <w:t>gadā CFLA indikatīvi nepieciešamas 7 slodzes, 2022., 2023. un 2024.gadā 90 slodzes, 2025.</w:t>
      </w:r>
      <w:r w:rsidR="00EB5652">
        <w:rPr>
          <w:rFonts w:eastAsia="Calibri"/>
        </w:rPr>
        <w:t> </w:t>
      </w:r>
      <w:r w:rsidRPr="00D226A9">
        <w:rPr>
          <w:rFonts w:eastAsia="Calibri"/>
        </w:rPr>
        <w:t>gadā 85 slodzes un 2026.</w:t>
      </w:r>
      <w:r w:rsidR="00EB5652">
        <w:rPr>
          <w:rFonts w:eastAsia="Calibri"/>
        </w:rPr>
        <w:t> </w:t>
      </w:r>
      <w:r w:rsidRPr="00D226A9">
        <w:rPr>
          <w:rFonts w:eastAsia="Calibri"/>
        </w:rPr>
        <w:t>gadā 65 slodzes</w:t>
      </w:r>
      <w:r>
        <w:rPr>
          <w:rFonts w:eastAsia="Calibri"/>
        </w:rPr>
        <w:t>)</w:t>
      </w:r>
      <w:r w:rsidRPr="00D226A9">
        <w:rPr>
          <w:rFonts w:eastAsia="Calibri"/>
        </w:rPr>
        <w:t>.</w:t>
      </w:r>
      <w:r w:rsidRPr="00D226A9">
        <w:t xml:space="preserve"> </w:t>
      </w:r>
      <w:r w:rsidRPr="00D226A9">
        <w:rPr>
          <w:rFonts w:eastAsia="Calibri"/>
        </w:rPr>
        <w:t>Funkcijas tiks nodrošinātas esošo amata vietu ievaros, nepalielinot kopējo amata vietu skaitu resorā;</w:t>
      </w:r>
    </w:p>
    <w:p w14:paraId="3FFA7A1A" w14:textId="7C5EA393" w:rsidR="00D226A9" w:rsidRPr="004F0028" w:rsidRDefault="00D226A9" w:rsidP="00021EDE">
      <w:pPr>
        <w:pStyle w:val="ListParagraph"/>
        <w:numPr>
          <w:ilvl w:val="0"/>
          <w:numId w:val="23"/>
        </w:numPr>
        <w:suppressAutoHyphens/>
        <w:autoSpaceDN w:val="0"/>
        <w:spacing w:after="0" w:line="276" w:lineRule="auto"/>
        <w:jc w:val="both"/>
        <w:textAlignment w:val="baseline"/>
        <w:rPr>
          <w:rFonts w:eastAsia="Calibri"/>
        </w:rPr>
      </w:pPr>
      <w:r>
        <w:rPr>
          <w:rFonts w:eastAsia="Calibri"/>
        </w:rPr>
        <w:t xml:space="preserve">1 700 000 </w:t>
      </w:r>
      <w:r w:rsidR="00A25E72">
        <w:rPr>
          <w:rFonts w:eastAsia="Calibri"/>
        </w:rPr>
        <w:t>EUR</w:t>
      </w:r>
      <w:r w:rsidR="00A25E72">
        <w:rPr>
          <w:rFonts w:eastAsia="Calibri"/>
          <w:b/>
          <w:bCs/>
        </w:rPr>
        <w:t xml:space="preserve"> </w:t>
      </w:r>
      <w:r>
        <w:rPr>
          <w:rFonts w:eastAsia="Calibri"/>
        </w:rPr>
        <w:t>KPVIS</w:t>
      </w:r>
      <w:r w:rsidR="00021EDE">
        <w:rPr>
          <w:rStyle w:val="FootnoteReference"/>
          <w:rFonts w:eastAsia="Calibri"/>
        </w:rPr>
        <w:footnoteReference w:id="34"/>
      </w:r>
      <w:r>
        <w:rPr>
          <w:rFonts w:eastAsia="Calibri"/>
        </w:rPr>
        <w:t xml:space="preserve"> </w:t>
      </w:r>
    </w:p>
    <w:p w14:paraId="512C953A" w14:textId="77777777" w:rsidR="00BF5970" w:rsidRPr="007514EA" w:rsidRDefault="00BF5970" w:rsidP="00EC1963">
      <w:pPr>
        <w:suppressAutoHyphens/>
        <w:autoSpaceDN w:val="0"/>
        <w:spacing w:after="0" w:line="240" w:lineRule="auto"/>
        <w:textAlignment w:val="baseline"/>
        <w:rPr>
          <w:rFonts w:eastAsia="Calibri"/>
        </w:rPr>
      </w:pPr>
    </w:p>
    <w:p w14:paraId="7D5047C9" w14:textId="3CCC4242" w:rsidR="003163C7" w:rsidRDefault="00EF1B50" w:rsidP="00EC1963">
      <w:pPr>
        <w:spacing w:after="0"/>
        <w:rPr>
          <w:b/>
          <w:bCs/>
        </w:rPr>
      </w:pPr>
      <w:r w:rsidRPr="00EF1B50">
        <w:rPr>
          <w:b/>
          <w:bCs/>
        </w:rPr>
        <w:t>IUB</w:t>
      </w:r>
    </w:p>
    <w:p w14:paraId="0316A038" w14:textId="77777777" w:rsidR="00EC1963" w:rsidRDefault="00EC1963" w:rsidP="00EC1963">
      <w:pPr>
        <w:spacing w:after="0"/>
        <w:rPr>
          <w:b/>
          <w:bCs/>
        </w:rPr>
      </w:pPr>
    </w:p>
    <w:p w14:paraId="0B671C9D" w14:textId="5C33A4A6" w:rsidR="00001DE4" w:rsidRPr="008D60F1" w:rsidRDefault="006106DD" w:rsidP="00D52E95">
      <w:pPr>
        <w:jc w:val="both"/>
      </w:pPr>
      <w:r>
        <w:t>N</w:t>
      </w:r>
      <w:r w:rsidR="00291CB6" w:rsidRPr="00291CB6">
        <w:t xml:space="preserve">odrošina </w:t>
      </w:r>
      <w:r w:rsidR="00A43E2D" w:rsidRPr="00A43E2D">
        <w:t>Atveseļošanas fonda</w:t>
      </w:r>
      <w:r w:rsidRPr="006106DD">
        <w:t xml:space="preserve"> plāna īstenošanas ietvaros veikto iepirkumu izlases veida pārbaudes, pārbaudes ietvaros izteikto ieteikumu ieviešanas uzraudzību, kā arī šo pārbaužu un ieteikumu statusa</w:t>
      </w:r>
      <w:r w:rsidR="00EB5652">
        <w:t xml:space="preserve"> ievadi KPVIS</w:t>
      </w:r>
      <w:r w:rsidR="00037C0A">
        <w:t>.</w:t>
      </w:r>
      <w:r w:rsidR="00EF1B50" w:rsidRPr="00EF1B50">
        <w:t xml:space="preserve"> </w:t>
      </w:r>
      <w:r w:rsidR="001B3E7E" w:rsidRPr="001B3E7E">
        <w:t xml:space="preserve">IUB nepieciešamais  finansējums 2 840 000 </w:t>
      </w:r>
      <w:r w:rsidR="00A25E72">
        <w:t>EUR</w:t>
      </w:r>
      <w:r w:rsidR="00A25E72" w:rsidRPr="001B3E7E">
        <w:t xml:space="preserve">, </w:t>
      </w:r>
      <w:r w:rsidR="001B3E7E" w:rsidRPr="001B3E7E">
        <w:t xml:space="preserve">kas aprēķināts 16 slodzēm (29 250 </w:t>
      </w:r>
      <w:r w:rsidR="00A3094A">
        <w:t>EUR</w:t>
      </w:r>
      <w:r w:rsidR="007C5325" w:rsidRPr="001B3E7E">
        <w:t xml:space="preserve"> </w:t>
      </w:r>
      <w:r w:rsidR="001B3E7E" w:rsidRPr="001B3E7E">
        <w:t xml:space="preserve">gadā par 1 slodzi x 16 x 6 gadi un vienreizējie izdevumi 32 000 </w:t>
      </w:r>
      <w:r w:rsidR="00A3094A">
        <w:t>EUR</w:t>
      </w:r>
      <w:r w:rsidRPr="001B3E7E">
        <w:t xml:space="preserve"> </w:t>
      </w:r>
      <w:r w:rsidR="001B3E7E" w:rsidRPr="001B3E7E">
        <w:t>apmērā aprīkojuma iegādei). Funkcijas tiks nodrošinātas esošo amata vietu ietvaros, nepalielinot kopējo amata vietu skaitu resorā</w:t>
      </w:r>
      <w:r w:rsidR="002724D3">
        <w:t xml:space="preserve"> </w:t>
      </w:r>
      <w:r w:rsidR="002724D3" w:rsidRPr="008D60F1">
        <w:t>un nepieciešamības gadījumā piesaistot ārpakalpojuma sniedzēju</w:t>
      </w:r>
      <w:r w:rsidR="001B3E7E" w:rsidRPr="008D60F1">
        <w:t>.</w:t>
      </w:r>
    </w:p>
    <w:p w14:paraId="49E40E23" w14:textId="77777777" w:rsidR="0017760D" w:rsidRDefault="0017760D" w:rsidP="00D52E95">
      <w:pPr>
        <w:jc w:val="both"/>
        <w:rPr>
          <w:rFonts w:eastAsia="Calibri"/>
        </w:rPr>
      </w:pPr>
    </w:p>
    <w:p w14:paraId="01045267" w14:textId="44406226" w:rsidR="00E7508F" w:rsidRPr="005A3598" w:rsidRDefault="00A43E2D" w:rsidP="0017760D">
      <w:pPr>
        <w:pStyle w:val="ListParagraph"/>
        <w:numPr>
          <w:ilvl w:val="0"/>
          <w:numId w:val="26"/>
        </w:numPr>
        <w:tabs>
          <w:tab w:val="left" w:pos="3417"/>
        </w:tabs>
        <w:spacing w:after="0" w:line="240" w:lineRule="auto"/>
        <w:jc w:val="center"/>
        <w:rPr>
          <w:rFonts w:eastAsia="Calibri"/>
          <w:b/>
          <w:szCs w:val="28"/>
        </w:rPr>
      </w:pPr>
      <w:r w:rsidRPr="00A43E2D">
        <w:rPr>
          <w:rFonts w:eastAsia="Calibri"/>
          <w:b/>
        </w:rPr>
        <w:t>Atveseļošanas fonda</w:t>
      </w:r>
      <w:r w:rsidR="00E7508F" w:rsidRPr="005A3598">
        <w:rPr>
          <w:rFonts w:eastAsia="Calibri"/>
          <w:b/>
          <w:szCs w:val="28"/>
        </w:rPr>
        <w:t xml:space="preserve"> plāna ieviešanas turpmākie soļi</w:t>
      </w:r>
    </w:p>
    <w:p w14:paraId="7DC8B1BF" w14:textId="49AB028B" w:rsidR="00E7508F" w:rsidRDefault="00E7508F"/>
    <w:p w14:paraId="512518BE" w14:textId="7D925075" w:rsidR="0086408D" w:rsidRDefault="004E4F7C" w:rsidP="00A27144">
      <w:pPr>
        <w:spacing w:after="0" w:line="276" w:lineRule="auto"/>
        <w:ind w:firstLine="709"/>
        <w:jc w:val="both"/>
      </w:pPr>
      <w:r w:rsidRPr="004E4F7C">
        <w:t>Ņemot vērā, ka 2021.</w:t>
      </w:r>
      <w:r w:rsidR="00EB5652">
        <w:t> </w:t>
      </w:r>
      <w:r w:rsidRPr="004E4F7C">
        <w:t xml:space="preserve">gada 13. jūlijā </w:t>
      </w:r>
      <w:r w:rsidR="0016202D">
        <w:t>Padome</w:t>
      </w:r>
      <w:r w:rsidRPr="004E4F7C">
        <w:t xml:space="preserve"> apstiprināja Latvijas </w:t>
      </w:r>
      <w:r w:rsidR="00A45F98" w:rsidRPr="00A45F98">
        <w:t>Atveseļošanas fonda</w:t>
      </w:r>
      <w:r w:rsidRPr="004E4F7C">
        <w:t xml:space="preserve"> plānu, saskaņā ar </w:t>
      </w:r>
      <w:r>
        <w:t>Regulu</w:t>
      </w:r>
      <w:r w:rsidRPr="004E4F7C">
        <w:t xml:space="preserve">, dalībvalstij ar EK ir jāslēdz </w:t>
      </w:r>
      <w:r w:rsidR="002C1F3C">
        <w:t>l</w:t>
      </w:r>
      <w:r w:rsidRPr="004E4F7C">
        <w:t xml:space="preserve">īgums par </w:t>
      </w:r>
      <w:r w:rsidR="00A45F98" w:rsidRPr="00A45F98">
        <w:t>Atveseļošanas fonda</w:t>
      </w:r>
      <w:r w:rsidRPr="004E4F7C">
        <w:t xml:space="preserve"> </w:t>
      </w:r>
      <w:proofErr w:type="spellStart"/>
      <w:r w:rsidRPr="004E4F7C">
        <w:t>granta</w:t>
      </w:r>
      <w:proofErr w:type="spellEnd"/>
      <w:r w:rsidRPr="004E4F7C">
        <w:t xml:space="preserve"> daļas piešķīrumu</w:t>
      </w:r>
      <w:r>
        <w:t xml:space="preserve">. </w:t>
      </w:r>
      <w:r w:rsidR="0086408D" w:rsidRPr="0086408D">
        <w:t>Līgumu par finansējuma saņemšanu plānots noslēgt augustā</w:t>
      </w:r>
      <w:r w:rsidR="0086408D">
        <w:t>.</w:t>
      </w:r>
    </w:p>
    <w:p w14:paraId="25ECE4D5" w14:textId="475EF9DD" w:rsidR="00F567B9" w:rsidRDefault="00D043D4" w:rsidP="00F567B9">
      <w:pPr>
        <w:spacing w:after="0" w:line="276" w:lineRule="auto"/>
        <w:ind w:firstLine="709"/>
        <w:jc w:val="both"/>
      </w:pPr>
      <w:r>
        <w:t xml:space="preserve">Lai nodrošinātu </w:t>
      </w:r>
      <w:r w:rsidR="00A45F98" w:rsidRPr="00A45F98">
        <w:t>Atveseļošanas fonda</w:t>
      </w:r>
      <w:r>
        <w:t xml:space="preserve"> plāna savlaicīgu ieviešanas uzsākšanu, nepieciešams apstiprināt MK </w:t>
      </w:r>
      <w:r w:rsidR="00A45F98" w:rsidRPr="00A45F98">
        <w:t>Atveseļošanas fonda</w:t>
      </w:r>
      <w:r w:rsidRPr="00FB3786">
        <w:t xml:space="preserve"> plāna</w:t>
      </w:r>
      <w:r>
        <w:t xml:space="preserve"> VKS izveidošanai un nodrošināšanai nepieciešamos </w:t>
      </w:r>
      <w:r w:rsidR="00FE50E8">
        <w:t xml:space="preserve">papildus finanšu </w:t>
      </w:r>
      <w:r>
        <w:t xml:space="preserve">resursu piešķiršanu. Līdz ko tiks pieņemts lēmums par piešķiramo resursu apjomu, </w:t>
      </w:r>
      <w:r w:rsidR="00A45F98" w:rsidRPr="00A45F98">
        <w:t>Atveseļošanas fonda</w:t>
      </w:r>
      <w:r w:rsidRPr="00410EB0">
        <w:t xml:space="preserve"> plāna</w:t>
      </w:r>
      <w:r>
        <w:t xml:space="preserve"> ieviešanā iesaistītās institūcijas </w:t>
      </w:r>
      <w:r w:rsidR="00FE50E8">
        <w:t>izst</w:t>
      </w:r>
      <w:r w:rsidR="007A19EE">
        <w:t>r</w:t>
      </w:r>
      <w:r w:rsidR="00FE50E8">
        <w:t xml:space="preserve">ādās vai </w:t>
      </w:r>
      <w:r>
        <w:t xml:space="preserve">papildinās esošās iestādes iekšējās kontroles sistēmas atbilstoši </w:t>
      </w:r>
      <w:r w:rsidR="00A45F98" w:rsidRPr="00A45F98">
        <w:t>Atveseļošanas fonda</w:t>
      </w:r>
      <w:r w:rsidR="00A258E3" w:rsidRPr="00410EB0">
        <w:t xml:space="preserve"> </w:t>
      </w:r>
      <w:r>
        <w:t>specifikai un Regulā noteiktajām prasībām</w:t>
      </w:r>
      <w:r w:rsidR="00FB1E64">
        <w:t xml:space="preserve">, lai varētu uzsākt </w:t>
      </w:r>
      <w:r w:rsidR="00AD6667" w:rsidRPr="00AD6667">
        <w:t>Atveseļošanas fonda</w:t>
      </w:r>
      <w:r w:rsidR="00FB1E64" w:rsidRPr="00FB1E64">
        <w:t xml:space="preserve"> plāna </w:t>
      </w:r>
      <w:r w:rsidR="00FB1E64">
        <w:t>īstenošanu</w:t>
      </w:r>
      <w:r w:rsidR="005B4331">
        <w:t xml:space="preserve">, </w:t>
      </w:r>
      <w:r w:rsidR="00D47077">
        <w:t>tai skaitā</w:t>
      </w:r>
      <w:r w:rsidR="005B4331" w:rsidRPr="005B4331">
        <w:t xml:space="preserve"> informatīvā ziņojuma vai </w:t>
      </w:r>
      <w:r w:rsidR="005B4331">
        <w:t>MK</w:t>
      </w:r>
      <w:r w:rsidR="005B4331" w:rsidRPr="005B4331">
        <w:t xml:space="preserve"> noteikumu par </w:t>
      </w:r>
      <w:r w:rsidR="00AD6667" w:rsidRPr="00AD6667">
        <w:t>Atveseļošanas fonda</w:t>
      </w:r>
      <w:r w:rsidR="005B4331" w:rsidRPr="005B4331">
        <w:t xml:space="preserve"> plāna reformas vai investīcijas īstenošan</w:t>
      </w:r>
      <w:r w:rsidR="005B4331">
        <w:t>as</w:t>
      </w:r>
      <w:r w:rsidR="005B4331" w:rsidRPr="005B4331">
        <w:t xml:space="preserve"> izstrādi</w:t>
      </w:r>
      <w:r w:rsidR="00D47077">
        <w:t>.</w:t>
      </w:r>
      <w:r>
        <w:t xml:space="preserve"> </w:t>
      </w:r>
      <w:r>
        <w:lastRenderedPageBreak/>
        <w:t>Resursu pieprasījums skatāms kopā ar MK</w:t>
      </w:r>
      <w:r w:rsidRPr="00AE5382">
        <w:t xml:space="preserve"> noteikum</w:t>
      </w:r>
      <w:r w:rsidR="00632AD6">
        <w:t>iem</w:t>
      </w:r>
      <w:r>
        <w:t xml:space="preserve">, kuru sākotnējais izstrādes termiņš </w:t>
      </w:r>
      <w:r w:rsidR="00E06CC3">
        <w:t xml:space="preserve">bija </w:t>
      </w:r>
      <w:r>
        <w:t>plānot līdz 2021.</w:t>
      </w:r>
      <w:r w:rsidR="00EB5652">
        <w:t> </w:t>
      </w:r>
      <w:r>
        <w:t xml:space="preserve">gada </w:t>
      </w:r>
      <w:r w:rsidR="00E64713">
        <w:t>30.</w:t>
      </w:r>
      <w:r w:rsidR="00EB5652">
        <w:t> </w:t>
      </w:r>
      <w:r w:rsidR="00E64713">
        <w:t>jūnijam</w:t>
      </w:r>
      <w:r>
        <w:t xml:space="preserve">. Resursu pieprasījuma un </w:t>
      </w:r>
      <w:r w:rsidRPr="001B5A00">
        <w:t>ieviešanai nepieciešamā tiesiskā regulējuma izstrād</w:t>
      </w:r>
      <w:r>
        <w:t>i kavē EK nepilnīgi sniegtā informācija par dalībvalstīm veicamajām darbībām gan kontroļu apjoma nodrošināšanai, progresa ziņojumu sagatavošanu un iesniegšanu,</w:t>
      </w:r>
      <w:r w:rsidR="00632AD6">
        <w:t xml:space="preserve"> maksājuma pieprasījumu</w:t>
      </w:r>
      <w:r w:rsidR="006E31D6">
        <w:t>,</w:t>
      </w:r>
      <w:r>
        <w:t xml:space="preserve"> kā arī neatbilstību traktējums </w:t>
      </w:r>
      <w:r w:rsidR="00AD6667" w:rsidRPr="00AD6667">
        <w:t>Atveseļošanas fonda</w:t>
      </w:r>
      <w:r>
        <w:t xml:space="preserve"> izpratnē</w:t>
      </w:r>
      <w:r w:rsidR="00E06CC3">
        <w:t>.</w:t>
      </w:r>
    </w:p>
    <w:p w14:paraId="44A7EC2E" w14:textId="21A46DCD" w:rsidR="00D043D4" w:rsidRDefault="00D043D4" w:rsidP="00F567B9">
      <w:pPr>
        <w:spacing w:after="0" w:line="276" w:lineRule="auto"/>
        <w:ind w:firstLine="709"/>
        <w:jc w:val="both"/>
      </w:pPr>
      <w:r>
        <w:t xml:space="preserve">Apstiprinot nepieciešamo </w:t>
      </w:r>
      <w:r w:rsidR="005A23BF">
        <w:t xml:space="preserve">papildus finanšu </w:t>
      </w:r>
      <w:r>
        <w:t xml:space="preserve">resursu pieprasījumu, </w:t>
      </w:r>
      <w:r w:rsidRPr="00FF3B26">
        <w:t>KPVIS modu</w:t>
      </w:r>
      <w:r>
        <w:t>ļa</w:t>
      </w:r>
      <w:r w:rsidRPr="00FF3B26">
        <w:t xml:space="preserve"> </w:t>
      </w:r>
      <w:r w:rsidR="00AD6667" w:rsidRPr="00AD6667">
        <w:t>Atveseļošanas fonda</w:t>
      </w:r>
      <w:r w:rsidRPr="00FF3B26">
        <w:t xml:space="preserve"> plāna projektu datu uzkrāšanai, uzglabāšanai un analīzei plānots ieviest </w:t>
      </w:r>
      <w:r>
        <w:t xml:space="preserve">līdz </w:t>
      </w:r>
      <w:r w:rsidRPr="00FF3B26">
        <w:t>2022.</w:t>
      </w:r>
      <w:r w:rsidR="00EB5652">
        <w:t> </w:t>
      </w:r>
      <w:r w:rsidRPr="00FF3B26">
        <w:t>gada 1. ceturksn</w:t>
      </w:r>
      <w:r>
        <w:t>im</w:t>
      </w:r>
      <w:r w:rsidR="0085607B">
        <w:t>, ja tiks savlaicīgi saņemta visa nepieciešamā informācija no EK</w:t>
      </w:r>
      <w:r w:rsidR="00A20E94">
        <w:t>.</w:t>
      </w:r>
      <w:r>
        <w:t xml:space="preserve"> </w:t>
      </w:r>
    </w:p>
    <w:p w14:paraId="427FE0D6" w14:textId="3EE15A44" w:rsidR="00FF3B26" w:rsidRDefault="00FF3B26"/>
    <w:p w14:paraId="6650CB73" w14:textId="4499F86F" w:rsidR="00FF3B26" w:rsidRDefault="00FF3B26"/>
    <w:p w14:paraId="1BE2CA7D" w14:textId="1A215B48" w:rsidR="00E7508F" w:rsidRDefault="00E7508F">
      <w:pPr>
        <w:rPr>
          <w:rFonts w:eastAsia="Calibri"/>
          <w:spacing w:val="6"/>
        </w:rPr>
      </w:pPr>
      <w:r w:rsidRPr="00E7508F">
        <w:rPr>
          <w:rFonts w:eastAsia="Calibri"/>
          <w:spacing w:val="6"/>
        </w:rPr>
        <w:t>Finanšu ministrs</w:t>
      </w:r>
      <w:r w:rsidRPr="00E7508F">
        <w:rPr>
          <w:rFonts w:eastAsia="Calibri"/>
          <w:spacing w:val="6"/>
        </w:rPr>
        <w:tab/>
      </w:r>
      <w:r w:rsidR="00F73812">
        <w:rPr>
          <w:rFonts w:eastAsia="Calibri"/>
          <w:spacing w:val="6"/>
        </w:rPr>
        <w:t xml:space="preserve">                                                                              </w:t>
      </w:r>
      <w:r w:rsidRPr="00E7508F">
        <w:rPr>
          <w:rFonts w:eastAsia="Calibri"/>
          <w:spacing w:val="6"/>
        </w:rPr>
        <w:t>J. Reirs</w:t>
      </w:r>
    </w:p>
    <w:p w14:paraId="3C91CA44" w14:textId="4A5B7024" w:rsidR="00E90778" w:rsidRDefault="00E90778" w:rsidP="00184051">
      <w:pPr>
        <w:jc w:val="right"/>
      </w:pPr>
    </w:p>
    <w:p w14:paraId="30E9FDFB" w14:textId="1FD3A412" w:rsidR="00392040" w:rsidRDefault="00392040" w:rsidP="00184051">
      <w:pPr>
        <w:jc w:val="right"/>
      </w:pPr>
    </w:p>
    <w:p w14:paraId="154A0CE6" w14:textId="769CE418" w:rsidR="00EB5652" w:rsidRDefault="00EB5652" w:rsidP="00184051">
      <w:pPr>
        <w:jc w:val="right"/>
      </w:pPr>
    </w:p>
    <w:p w14:paraId="7BE769C5" w14:textId="2A154C4C" w:rsidR="00EB5652" w:rsidRDefault="00EB5652" w:rsidP="00184051">
      <w:pPr>
        <w:jc w:val="right"/>
      </w:pPr>
    </w:p>
    <w:p w14:paraId="0E1CCB37" w14:textId="4CCA57B3" w:rsidR="00EB5652" w:rsidRDefault="00EB5652" w:rsidP="00184051">
      <w:pPr>
        <w:jc w:val="right"/>
      </w:pPr>
    </w:p>
    <w:p w14:paraId="09934685" w14:textId="2F48F719" w:rsidR="00EB5652" w:rsidRDefault="00EB5652" w:rsidP="00184051">
      <w:pPr>
        <w:jc w:val="right"/>
      </w:pPr>
    </w:p>
    <w:p w14:paraId="1D3C4BC2" w14:textId="77777777" w:rsidR="00EB5652" w:rsidRDefault="00EB5652" w:rsidP="00184051">
      <w:pPr>
        <w:jc w:val="right"/>
      </w:pPr>
    </w:p>
    <w:p w14:paraId="6082C668" w14:textId="77777777" w:rsidR="00392040" w:rsidRDefault="00392040" w:rsidP="00184051">
      <w:pPr>
        <w:jc w:val="right"/>
      </w:pPr>
    </w:p>
    <w:p w14:paraId="3AFACD80" w14:textId="6E46021A" w:rsidR="0008009E" w:rsidRPr="00A7697D" w:rsidRDefault="00A7697D" w:rsidP="00392040">
      <w:pPr>
        <w:spacing w:after="0"/>
        <w:rPr>
          <w:sz w:val="20"/>
          <w:szCs w:val="20"/>
        </w:rPr>
      </w:pPr>
      <w:r w:rsidRPr="00A7697D">
        <w:rPr>
          <w:sz w:val="20"/>
          <w:szCs w:val="20"/>
        </w:rPr>
        <w:t>Konrāds 67095692</w:t>
      </w:r>
    </w:p>
    <w:p w14:paraId="4C308CCA" w14:textId="16D8794F" w:rsidR="008E2739" w:rsidRPr="008E2739" w:rsidRDefault="008E2739" w:rsidP="00392040">
      <w:pPr>
        <w:spacing w:after="0" w:line="276" w:lineRule="auto"/>
        <w:rPr>
          <w:sz w:val="18"/>
          <w:szCs w:val="18"/>
        </w:rPr>
      </w:pPr>
      <w:r w:rsidRPr="008E2739">
        <w:rPr>
          <w:sz w:val="18"/>
          <w:szCs w:val="18"/>
        </w:rPr>
        <w:t>kristaps.konrads@fm.gov.lv</w:t>
      </w:r>
    </w:p>
    <w:p w14:paraId="44F521F0" w14:textId="01DCD101" w:rsidR="004118F3" w:rsidRDefault="004118F3" w:rsidP="004118F3">
      <w:pPr>
        <w:jc w:val="center"/>
      </w:pPr>
    </w:p>
    <w:sectPr w:rsidR="004118F3" w:rsidSect="0008009E">
      <w:footerReference w:type="default" r:id="rId10"/>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522F" w14:textId="77777777" w:rsidR="008F6F08" w:rsidRDefault="008F6F08" w:rsidP="00827CC8">
      <w:pPr>
        <w:spacing w:after="0" w:line="240" w:lineRule="auto"/>
      </w:pPr>
      <w:r>
        <w:separator/>
      </w:r>
    </w:p>
  </w:endnote>
  <w:endnote w:type="continuationSeparator" w:id="0">
    <w:p w14:paraId="5783198B" w14:textId="77777777" w:rsidR="008F6F08" w:rsidRDefault="008F6F08" w:rsidP="0082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84790529"/>
      <w:docPartObj>
        <w:docPartGallery w:val="Page Numbers (Bottom of Page)"/>
        <w:docPartUnique/>
      </w:docPartObj>
    </w:sdtPr>
    <w:sdtEndPr>
      <w:rPr>
        <w:noProof/>
      </w:rPr>
    </w:sdtEndPr>
    <w:sdtContent>
      <w:p w14:paraId="58F6ED07" w14:textId="44C791CA" w:rsidR="00BF21FC" w:rsidRPr="003A23FF" w:rsidRDefault="00BF21FC">
        <w:pPr>
          <w:pStyle w:val="Footer"/>
          <w:jc w:val="right"/>
          <w:rPr>
            <w:sz w:val="18"/>
            <w:szCs w:val="18"/>
          </w:rPr>
        </w:pPr>
        <w:r w:rsidRPr="003A23FF">
          <w:rPr>
            <w:sz w:val="18"/>
            <w:szCs w:val="18"/>
          </w:rPr>
          <w:fldChar w:fldCharType="begin"/>
        </w:r>
        <w:r w:rsidRPr="003A23FF">
          <w:rPr>
            <w:sz w:val="18"/>
            <w:szCs w:val="18"/>
          </w:rPr>
          <w:instrText xml:space="preserve"> PAGE   \* MERGEFORMAT </w:instrText>
        </w:r>
        <w:r w:rsidRPr="003A23FF">
          <w:rPr>
            <w:sz w:val="18"/>
            <w:szCs w:val="18"/>
          </w:rPr>
          <w:fldChar w:fldCharType="separate"/>
        </w:r>
        <w:r w:rsidR="00EB5652">
          <w:rPr>
            <w:noProof/>
            <w:sz w:val="18"/>
            <w:szCs w:val="18"/>
          </w:rPr>
          <w:t>15</w:t>
        </w:r>
        <w:r w:rsidRPr="003A23FF">
          <w:rPr>
            <w:noProof/>
            <w:sz w:val="18"/>
            <w:szCs w:val="18"/>
          </w:rPr>
          <w:fldChar w:fldCharType="end"/>
        </w:r>
      </w:p>
    </w:sdtContent>
  </w:sdt>
  <w:p w14:paraId="5AA600CD" w14:textId="43672AD3" w:rsidR="00561654" w:rsidRDefault="00BF21FC">
    <w:r w:rsidRPr="00C61663">
      <w:rPr>
        <w:sz w:val="20"/>
        <w:szCs w:val="20"/>
      </w:rPr>
      <w:t>FMZin_</w:t>
    </w:r>
    <w:r w:rsidR="00CB440F">
      <w:rPr>
        <w:sz w:val="20"/>
        <w:szCs w:val="20"/>
      </w:rPr>
      <w:t>2</w:t>
    </w:r>
    <w:r w:rsidR="00DE7A09">
      <w:rPr>
        <w:sz w:val="20"/>
        <w:szCs w:val="20"/>
      </w:rPr>
      <w:t>5</w:t>
    </w:r>
    <w:r w:rsidRPr="00C61663">
      <w:rPr>
        <w:sz w:val="20"/>
        <w:szCs w:val="20"/>
      </w:rPr>
      <w:t>0821_ANM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1E69" w14:textId="77777777" w:rsidR="008F6F08" w:rsidRDefault="008F6F08" w:rsidP="00827CC8">
      <w:pPr>
        <w:spacing w:after="0" w:line="240" w:lineRule="auto"/>
      </w:pPr>
      <w:r>
        <w:separator/>
      </w:r>
    </w:p>
  </w:footnote>
  <w:footnote w:type="continuationSeparator" w:id="0">
    <w:p w14:paraId="6B52E90F" w14:textId="77777777" w:rsidR="008F6F08" w:rsidRDefault="008F6F08" w:rsidP="00827CC8">
      <w:pPr>
        <w:spacing w:after="0" w:line="240" w:lineRule="auto"/>
      </w:pPr>
      <w:r>
        <w:continuationSeparator/>
      </w:r>
    </w:p>
  </w:footnote>
  <w:footnote w:id="1">
    <w:p w14:paraId="3F0DC40D" w14:textId="5C480042" w:rsidR="00BF21FC" w:rsidRDefault="00BF21FC">
      <w:pPr>
        <w:pStyle w:val="FootnoteText"/>
      </w:pPr>
      <w:r>
        <w:rPr>
          <w:rStyle w:val="FootnoteReference"/>
        </w:rPr>
        <w:footnoteRef/>
      </w:r>
      <w:r>
        <w:t xml:space="preserve"> </w:t>
      </w:r>
      <w:r w:rsidRPr="00211EAE">
        <w:t xml:space="preserve"> </w:t>
      </w:r>
      <w:hyperlink r:id="rId1" w:history="1">
        <w:r w:rsidRPr="00043FD1">
          <w:rPr>
            <w:rStyle w:val="Hyperlink"/>
          </w:rPr>
          <w:t>https://likumi.lv/ta/id/322858-par-latvijas-atveselosanas-un-noturibas-mehanisma-planu</w:t>
        </w:r>
      </w:hyperlink>
      <w:r>
        <w:t xml:space="preserve"> </w:t>
      </w:r>
    </w:p>
  </w:footnote>
  <w:footnote w:id="2">
    <w:p w14:paraId="4597991C" w14:textId="19E7616B" w:rsidR="00BF21FC" w:rsidRDefault="00BF21FC" w:rsidP="00F131BC">
      <w:pPr>
        <w:pStyle w:val="FootnoteText"/>
        <w:jc w:val="both"/>
      </w:pPr>
      <w:r>
        <w:rPr>
          <w:rStyle w:val="FootnoteReference"/>
        </w:rPr>
        <w:footnoteRef/>
      </w:r>
      <w:r>
        <w:t xml:space="preserve"> </w:t>
      </w:r>
      <w:r w:rsidRPr="00F131BC">
        <w:t xml:space="preserve">Padomes 2021. gada 13. jūlija Īstenošanas </w:t>
      </w:r>
      <w:r>
        <w:t>L</w:t>
      </w:r>
      <w:r w:rsidRPr="00F131BC">
        <w:t xml:space="preserve">ēmums par Latvijas </w:t>
      </w:r>
      <w:r>
        <w:t>A</w:t>
      </w:r>
      <w:r w:rsidRPr="00F131BC">
        <w:t>tveseļošanas un noturības plā</w:t>
      </w:r>
      <w:r w:rsidR="003C3BB9">
        <w:t>na novērtējuma apstiprināšanu (</w:t>
      </w:r>
      <w:r w:rsidRPr="00F131BC">
        <w:t>ST 10157/21; ST 10157/21 ADD 1)</w:t>
      </w:r>
    </w:p>
  </w:footnote>
  <w:footnote w:id="3">
    <w:p w14:paraId="00EC09BD" w14:textId="3C151522" w:rsidR="00BF21FC" w:rsidRDefault="00BF21FC" w:rsidP="00570F17">
      <w:pPr>
        <w:pStyle w:val="FootnoteText"/>
        <w:jc w:val="both"/>
      </w:pPr>
      <w:r>
        <w:rPr>
          <w:rStyle w:val="FootnoteReference"/>
        </w:rPr>
        <w:footnoteRef/>
      </w:r>
      <w:r>
        <w:t xml:space="preserve"> </w:t>
      </w:r>
      <w:r w:rsidR="007E046A">
        <w:t>Atveseļošanas fonda</w:t>
      </w:r>
      <w:r w:rsidR="007E046A" w:rsidRPr="00570F17">
        <w:t xml:space="preserve"> </w:t>
      </w:r>
      <w:r w:rsidRPr="00570F17">
        <w:t>ietekmes novērtējumā ir iekļauta tikai investīciju potenciālā ietekme, vienlaikus sagaidāms pozitīvs efekts arī no plānā iekļauto reformu īstenošanas, kuru varēs novērtēt tikai pēc galīgajiem lēmumiem par precīzu reformu saturu.</w:t>
      </w:r>
    </w:p>
  </w:footnote>
  <w:footnote w:id="4">
    <w:p w14:paraId="0033810E" w14:textId="6F2DD569" w:rsidR="00BF21FC" w:rsidRDefault="00BF21FC">
      <w:pPr>
        <w:pStyle w:val="FootnoteText"/>
      </w:pPr>
      <w:r>
        <w:rPr>
          <w:rStyle w:val="FootnoteReference"/>
        </w:rPr>
        <w:footnoteRef/>
      </w:r>
      <w:r>
        <w:t xml:space="preserve"> </w:t>
      </w:r>
      <w:hyperlink r:id="rId2" w:history="1">
        <w:r w:rsidRPr="005E60FF">
          <w:rPr>
            <w:rStyle w:val="Hyperlink"/>
          </w:rPr>
          <w:t>https://eur-lex.europa.eu/legal-content/lv/TXT/?uri=CELEX%3A32021R0241</w:t>
        </w:r>
      </w:hyperlink>
      <w:r>
        <w:t xml:space="preserve"> </w:t>
      </w:r>
    </w:p>
  </w:footnote>
  <w:footnote w:id="5">
    <w:p w14:paraId="02772BE3" w14:textId="0FD89405" w:rsidR="00BF21FC" w:rsidRDefault="00BF21FC" w:rsidP="00AE3D8A">
      <w:pPr>
        <w:pStyle w:val="FootnoteText"/>
        <w:jc w:val="both"/>
      </w:pPr>
      <w:r>
        <w:rPr>
          <w:rStyle w:val="FootnoteReference"/>
        </w:rPr>
        <w:footnoteRef/>
      </w:r>
      <w:r>
        <w:rPr>
          <w:rStyle w:val="FootnoteReference"/>
        </w:rPr>
        <w:footnoteRef/>
      </w:r>
      <w:r>
        <w:t xml:space="preserve"> Atbilstoši Regulas un </w:t>
      </w:r>
      <w:r w:rsidR="007E046A">
        <w:t>Atveseļošanas fonda</w:t>
      </w:r>
      <w:r w:rsidR="007E046A" w:rsidRPr="00B92CE9">
        <w:t xml:space="preserve"> </w:t>
      </w:r>
      <w:r w:rsidRPr="00B92CE9">
        <w:t>finansēšanas līgum</w:t>
      </w:r>
      <w:r>
        <w:t xml:space="preserve">ā </w:t>
      </w:r>
      <w:r w:rsidRPr="00AE3D8A">
        <w:rPr>
          <w:i/>
          <w:iCs/>
        </w:rPr>
        <w:t xml:space="preserve">(angļu valodā - </w:t>
      </w:r>
      <w:r w:rsidRPr="00AE3D8A">
        <w:rPr>
          <w:i/>
          <w:iCs/>
          <w:lang w:val="en-US"/>
        </w:rPr>
        <w:t>RECOVERY AND RESILIENCE FACILITY FINANCING AGREEMENT between the Commission and Member State</w:t>
      </w:r>
      <w:r w:rsidRPr="00AE3D8A">
        <w:rPr>
          <w:i/>
          <w:iCs/>
        </w:rPr>
        <w:t>)</w:t>
      </w:r>
      <w:r>
        <w:t xml:space="preserve"> noteiktajam.</w:t>
      </w:r>
    </w:p>
    <w:p w14:paraId="28D91B15" w14:textId="02829549" w:rsidR="00BF21FC" w:rsidRDefault="00BF21FC" w:rsidP="00B92CE9">
      <w:pPr>
        <w:pStyle w:val="FootnoteText"/>
      </w:pPr>
    </w:p>
  </w:footnote>
  <w:footnote w:id="6">
    <w:p w14:paraId="714E48E7" w14:textId="02B32F0E" w:rsidR="00BF21FC" w:rsidRDefault="00BF21FC" w:rsidP="00230A32">
      <w:pPr>
        <w:pStyle w:val="FootnoteText"/>
      </w:pPr>
      <w:r>
        <w:rPr>
          <w:rStyle w:val="FootnoteReference"/>
        </w:rPr>
        <w:footnoteRef/>
      </w:r>
      <w:r>
        <w:t xml:space="preserve"> 2021.</w:t>
      </w:r>
      <w:r w:rsidR="003C3BB9">
        <w:t> </w:t>
      </w:r>
      <w:r>
        <w:t>gada 19.</w:t>
      </w:r>
      <w:r w:rsidR="003C3BB9">
        <w:t> </w:t>
      </w:r>
      <w:r>
        <w:t xml:space="preserve">februāra vēstule </w:t>
      </w:r>
      <w:proofErr w:type="spellStart"/>
      <w:r>
        <w:t>MdM</w:t>
      </w:r>
      <w:proofErr w:type="spellEnd"/>
      <w:r>
        <w:t xml:space="preserve"> </w:t>
      </w:r>
      <w:proofErr w:type="spellStart"/>
      <w:r>
        <w:t>Ares</w:t>
      </w:r>
      <w:proofErr w:type="spellEnd"/>
      <w:r w:rsidR="003C3BB9">
        <w:t> </w:t>
      </w:r>
      <w:r>
        <w:t xml:space="preserve">(2021) par </w:t>
      </w:r>
      <w:r w:rsidR="007E046A">
        <w:t xml:space="preserve">Atveseļošanas fonda </w:t>
      </w:r>
      <w:r>
        <w:t>plāna iesniegšanu</w:t>
      </w:r>
    </w:p>
  </w:footnote>
  <w:footnote w:id="7">
    <w:p w14:paraId="634FC3B9" w14:textId="17A76EAB" w:rsidR="00BF21FC" w:rsidRDefault="00BF21FC" w:rsidP="00230A32">
      <w:pPr>
        <w:pStyle w:val="FootnoteText"/>
      </w:pPr>
      <w:r>
        <w:rPr>
          <w:rStyle w:val="FootnoteReference"/>
        </w:rPr>
        <w:footnoteRef/>
      </w:r>
      <w:r>
        <w:t xml:space="preserve"> </w:t>
      </w:r>
      <w:r w:rsidR="003C3BB9">
        <w:t>Skatīt pielikumā.</w:t>
      </w:r>
    </w:p>
  </w:footnote>
  <w:footnote w:id="8">
    <w:p w14:paraId="36289438" w14:textId="77777777" w:rsidR="00BF21FC" w:rsidRPr="00AE5738" w:rsidRDefault="00BF21FC" w:rsidP="00E64265">
      <w:pPr>
        <w:pStyle w:val="FootnoteText"/>
      </w:pPr>
      <w:r w:rsidRPr="00AE5738">
        <w:rPr>
          <w:rStyle w:val="FootnoteReference"/>
        </w:rPr>
        <w:footnoteRef/>
      </w:r>
      <w:r w:rsidRPr="00AE5738">
        <w:t xml:space="preserve"> </w:t>
      </w:r>
      <w:hyperlink r:id="rId3" w:history="1">
        <w:r w:rsidRPr="001F54E4">
          <w:rPr>
            <w:rStyle w:val="Hyperlink"/>
          </w:rPr>
          <w:t>https://likumi.lv/ta/id/58057-likums-par-budzetu-un-finansu-vadibu</w:t>
        </w:r>
      </w:hyperlink>
      <w:r>
        <w:t xml:space="preserve"> </w:t>
      </w:r>
    </w:p>
  </w:footnote>
  <w:footnote w:id="9">
    <w:p w14:paraId="5A3CFBC7" w14:textId="0ADCB701" w:rsidR="00BF21FC" w:rsidRDefault="00BF21FC">
      <w:pPr>
        <w:pStyle w:val="FootnoteText"/>
      </w:pPr>
      <w:r>
        <w:rPr>
          <w:rStyle w:val="FootnoteReference"/>
        </w:rPr>
        <w:footnoteRef/>
      </w:r>
      <w:r>
        <w:t xml:space="preserve"> </w:t>
      </w:r>
      <w:r w:rsidRPr="00BB74CE">
        <w:t>Kohēzijas politikas fondu vadības informācijas sistēma</w:t>
      </w:r>
    </w:p>
  </w:footnote>
  <w:footnote w:id="10">
    <w:p w14:paraId="268D7EF2" w14:textId="1A10D5CB" w:rsidR="00BF21FC" w:rsidRDefault="00BF21FC" w:rsidP="005601AA">
      <w:pPr>
        <w:pStyle w:val="FootnoteText"/>
        <w:jc w:val="both"/>
      </w:pPr>
      <w:r>
        <w:rPr>
          <w:rStyle w:val="FootnoteReference"/>
        </w:rPr>
        <w:footnoteRef/>
      </w:r>
      <w:r>
        <w:t xml:space="preserve"> </w:t>
      </w:r>
      <w:r w:rsidRPr="00312418">
        <w:t xml:space="preserve">39.§ Informatīvais ziņojums </w:t>
      </w:r>
      <w:r w:rsidR="009A1AD2">
        <w:t>”</w:t>
      </w:r>
      <w:r w:rsidRPr="00312418">
        <w:t>Par Eiropas Atveseļošanas un noturības mehānismu</w:t>
      </w:r>
      <w:r w:rsidR="009A1AD2">
        <w:t>“</w:t>
      </w:r>
      <w:r w:rsidR="009A1AD2" w:rsidRPr="00312418">
        <w:t xml:space="preserve"> </w:t>
      </w:r>
      <w:r>
        <w:t xml:space="preserve">punkts Nr. </w:t>
      </w:r>
      <w:r w:rsidRPr="00312418">
        <w:t>5. Noteikt, ka Atveseļošanas un noturības plāna ieviešanai izmanto Eiropas Savienības fondu vadības un kontroles sistēmu, pielāgojot to Atveseļošanas un noturības mehānisma prasībām.</w:t>
      </w:r>
    </w:p>
  </w:footnote>
  <w:footnote w:id="11">
    <w:p w14:paraId="4EACF658" w14:textId="77777777" w:rsidR="00BF21FC" w:rsidRDefault="00BF21FC" w:rsidP="009674FF">
      <w:pPr>
        <w:pStyle w:val="FootnoteText"/>
        <w:jc w:val="both"/>
      </w:pPr>
      <w:r>
        <w:rPr>
          <w:rStyle w:val="FootnoteReference"/>
        </w:rPr>
        <w:footnoteRef/>
      </w:r>
      <w:r>
        <w:t xml:space="preserve"> </w:t>
      </w:r>
      <w:bookmarkStart w:id="2" w:name="_Hlk78197725"/>
      <w:r>
        <w:t xml:space="preserve">Angļu valodā - </w:t>
      </w:r>
      <w:r w:rsidRPr="005C6ED3">
        <w:rPr>
          <w:i/>
          <w:iCs/>
          <w:lang w:val="en-US"/>
        </w:rPr>
        <w:t>RECOVERY AND RESILIENCE FACILITY FINANCING AGREEMENT between the Commission and Member State</w:t>
      </w:r>
      <w:bookmarkEnd w:id="2"/>
    </w:p>
  </w:footnote>
  <w:footnote w:id="12">
    <w:p w14:paraId="5C737DFC" w14:textId="77777777" w:rsidR="00BF21FC" w:rsidRDefault="00BF21FC" w:rsidP="009674FF">
      <w:pPr>
        <w:pStyle w:val="FootnoteText"/>
      </w:pPr>
      <w:r>
        <w:rPr>
          <w:rStyle w:val="FootnoteReference"/>
        </w:rPr>
        <w:footnoteRef/>
      </w:r>
      <w:r>
        <w:t xml:space="preserve"> </w:t>
      </w:r>
      <w:r w:rsidRPr="005C6ED3">
        <w:t xml:space="preserve">Angļu valodā - </w:t>
      </w:r>
      <w:r w:rsidRPr="006406E3">
        <w:rPr>
          <w:i/>
          <w:iCs/>
        </w:rPr>
        <w:t>COUNCIL IMPLEMENTING DECISION</w:t>
      </w:r>
    </w:p>
  </w:footnote>
  <w:footnote w:id="13">
    <w:p w14:paraId="55B51B97" w14:textId="77777777" w:rsidR="00BF21FC" w:rsidRDefault="00BF21FC" w:rsidP="009674FF">
      <w:pPr>
        <w:pStyle w:val="FootnoteText"/>
        <w:jc w:val="both"/>
      </w:pPr>
      <w:r>
        <w:rPr>
          <w:rStyle w:val="FootnoteReference"/>
        </w:rPr>
        <w:footnoteRef/>
      </w:r>
      <w:r>
        <w:t xml:space="preserve"> </w:t>
      </w:r>
      <w:r w:rsidRPr="00AA69B4">
        <w:t>Angļu valodā -</w:t>
      </w:r>
      <w:r>
        <w:t xml:space="preserve"> </w:t>
      </w:r>
      <w:r w:rsidRPr="006406E3">
        <w:rPr>
          <w:i/>
          <w:iCs/>
        </w:rPr>
        <w:t>DISCUSSION NOTE ON THE PAYMENT REQUESTS IN THE CONTEXT OF THE RECOVERY AND RESILIENCE FACILITY</w:t>
      </w:r>
    </w:p>
  </w:footnote>
  <w:footnote w:id="14">
    <w:p w14:paraId="54C228B7" w14:textId="382BAB27" w:rsidR="00BF21FC" w:rsidRDefault="00BF21FC">
      <w:pPr>
        <w:pStyle w:val="FootnoteText"/>
      </w:pPr>
      <w:r>
        <w:rPr>
          <w:rStyle w:val="FootnoteReference"/>
        </w:rPr>
        <w:footnoteRef/>
      </w:r>
      <w:r>
        <w:t xml:space="preserve"> FM </w:t>
      </w:r>
      <w:r w:rsidRPr="00A602FB">
        <w:t>Komercdarbības atbalsta kontroles departaments</w:t>
      </w:r>
      <w:r>
        <w:t xml:space="preserve"> (turpmāk – KAKD)</w:t>
      </w:r>
    </w:p>
  </w:footnote>
  <w:footnote w:id="15">
    <w:p w14:paraId="3428CC33" w14:textId="2D618907" w:rsidR="00BF21FC" w:rsidRDefault="00BF21FC">
      <w:pPr>
        <w:pStyle w:val="FootnoteText"/>
      </w:pPr>
      <w:r>
        <w:rPr>
          <w:rStyle w:val="FootnoteReference"/>
        </w:rPr>
        <w:footnoteRef/>
      </w:r>
      <w:r>
        <w:t xml:space="preserve"> Nav saņemta informācija no </w:t>
      </w:r>
      <w:r w:rsidRPr="005D3475">
        <w:t xml:space="preserve">EK </w:t>
      </w:r>
      <w:r>
        <w:t xml:space="preserve">par precīzu uzglabājamās informācijas apjomu un detalizāciju </w:t>
      </w:r>
    </w:p>
  </w:footnote>
  <w:footnote w:id="16">
    <w:p w14:paraId="17835693" w14:textId="320437B4" w:rsidR="00BF21FC" w:rsidRDefault="00BF21FC">
      <w:pPr>
        <w:pStyle w:val="FootnoteText"/>
      </w:pPr>
      <w:r>
        <w:rPr>
          <w:rStyle w:val="FootnoteReference"/>
        </w:rPr>
        <w:footnoteRef/>
      </w:r>
      <w:r>
        <w:t xml:space="preserve"> </w:t>
      </w:r>
      <w:r w:rsidRPr="00737072">
        <w:t>Revīzijas iestādes funkcijas pilda Finanšu ministrijas Eiropas Savienības fondu revīzijas departaments.</w:t>
      </w:r>
    </w:p>
  </w:footnote>
  <w:footnote w:id="17">
    <w:p w14:paraId="6B417F36" w14:textId="12E688C4" w:rsidR="00BF21FC" w:rsidRDefault="00BF21FC" w:rsidP="001E75E5">
      <w:pPr>
        <w:pStyle w:val="FootnoteText"/>
        <w:jc w:val="both"/>
      </w:pPr>
      <w:r>
        <w:rPr>
          <w:rStyle w:val="FootnoteReference"/>
        </w:rPr>
        <w:footnoteRef/>
      </w:r>
      <w:r>
        <w:t xml:space="preserve"> Kopējais nepieciešamais finansējuma apjoms ietver arī KPVIS </w:t>
      </w:r>
      <w:r w:rsidR="00542B93" w:rsidRPr="00542B93">
        <w:t>Atveseļošanas fonda</w:t>
      </w:r>
      <w:r w:rsidR="00542B93">
        <w:t xml:space="preserve"> </w:t>
      </w:r>
      <w:r w:rsidRPr="00FF5B5D">
        <w:t>izveides un pielāgošanas izmaksas</w:t>
      </w:r>
      <w:r>
        <w:t>.</w:t>
      </w:r>
    </w:p>
  </w:footnote>
  <w:footnote w:id="18">
    <w:p w14:paraId="4F8FD9A0" w14:textId="4B6D7592" w:rsidR="00B730C3" w:rsidRDefault="00B730C3">
      <w:pPr>
        <w:pStyle w:val="FootnoteText"/>
      </w:pPr>
      <w:r>
        <w:rPr>
          <w:rStyle w:val="FootnoteReference"/>
        </w:rPr>
        <w:footnoteRef/>
      </w:r>
      <w:r>
        <w:t xml:space="preserve"> ES fondu vadošā iestāde</w:t>
      </w:r>
    </w:p>
  </w:footnote>
  <w:footnote w:id="19">
    <w:p w14:paraId="55FBE6AD" w14:textId="5CEBCC78" w:rsidR="00BF21FC" w:rsidRDefault="00BF21FC">
      <w:pPr>
        <w:pStyle w:val="FootnoteText"/>
      </w:pPr>
      <w:r>
        <w:rPr>
          <w:rStyle w:val="FootnoteReference"/>
        </w:rPr>
        <w:footnoteRef/>
      </w:r>
      <w:r>
        <w:t xml:space="preserve"> FM </w:t>
      </w:r>
      <w:r w:rsidRPr="009612F5">
        <w:t>Komunikācijas departaments</w:t>
      </w:r>
    </w:p>
  </w:footnote>
  <w:footnote w:id="20">
    <w:p w14:paraId="2FDA3DB9" w14:textId="650263B6" w:rsidR="00BF21FC" w:rsidRDefault="00BF21FC" w:rsidP="005C6ED3">
      <w:pPr>
        <w:pStyle w:val="FootnoteText"/>
        <w:jc w:val="both"/>
      </w:pPr>
      <w:r>
        <w:rPr>
          <w:rStyle w:val="FootnoteReference"/>
        </w:rPr>
        <w:footnoteRef/>
      </w:r>
      <w:r>
        <w:t xml:space="preserve"> Angļu valodā - </w:t>
      </w:r>
      <w:r w:rsidRPr="005C6ED3">
        <w:rPr>
          <w:i/>
          <w:iCs/>
          <w:lang w:val="en-US"/>
        </w:rPr>
        <w:t>RECOVERY AND RESILIENCE FACILITY FINANCING AGREEMENT between the Commission and Member State</w:t>
      </w:r>
    </w:p>
  </w:footnote>
  <w:footnote w:id="21">
    <w:p w14:paraId="0BE5A41A" w14:textId="122CF74D" w:rsidR="00BF21FC" w:rsidRDefault="00BF21FC">
      <w:pPr>
        <w:pStyle w:val="FootnoteText"/>
      </w:pPr>
      <w:r>
        <w:rPr>
          <w:rStyle w:val="FootnoteReference"/>
        </w:rPr>
        <w:footnoteRef/>
      </w:r>
      <w:r>
        <w:t xml:space="preserve"> </w:t>
      </w:r>
      <w:r w:rsidRPr="005C6ED3">
        <w:t xml:space="preserve">Angļu valodā - </w:t>
      </w:r>
      <w:r w:rsidRPr="006406E3">
        <w:rPr>
          <w:i/>
          <w:iCs/>
        </w:rPr>
        <w:t>COUNCIL IMPLEMENTING DECISION</w:t>
      </w:r>
    </w:p>
  </w:footnote>
  <w:footnote w:id="22">
    <w:p w14:paraId="18801782" w14:textId="5AE2E369" w:rsidR="00BF21FC" w:rsidRDefault="00BF21FC" w:rsidP="00AA69B4">
      <w:pPr>
        <w:pStyle w:val="FootnoteText"/>
        <w:jc w:val="both"/>
      </w:pPr>
      <w:r>
        <w:rPr>
          <w:rStyle w:val="FootnoteReference"/>
        </w:rPr>
        <w:footnoteRef/>
      </w:r>
      <w:r>
        <w:t xml:space="preserve"> </w:t>
      </w:r>
      <w:r w:rsidRPr="00AA69B4">
        <w:t>Angļu valodā -</w:t>
      </w:r>
      <w:r>
        <w:t xml:space="preserve"> </w:t>
      </w:r>
      <w:r w:rsidRPr="006406E3">
        <w:rPr>
          <w:i/>
          <w:iCs/>
        </w:rPr>
        <w:t>DISCUSSION NOTE ON THE PAYMENT REQUESTS IN THE CONTEXT OF THE RECOVERY AND RESILIENCE FACILITY</w:t>
      </w:r>
    </w:p>
  </w:footnote>
  <w:footnote w:id="23">
    <w:p w14:paraId="0816388D" w14:textId="77777777" w:rsidR="00BF21FC" w:rsidRDefault="00BF21FC" w:rsidP="0011363F">
      <w:pPr>
        <w:pStyle w:val="FootnoteText"/>
      </w:pPr>
      <w:r>
        <w:rPr>
          <w:rStyle w:val="FootnoteReference"/>
        </w:rPr>
        <w:footnoteRef/>
      </w:r>
      <w:r>
        <w:t xml:space="preserve"> ERAF 3.5%, KF 2.5%, ESF+ 4%</w:t>
      </w:r>
    </w:p>
  </w:footnote>
  <w:footnote w:id="24">
    <w:p w14:paraId="7F0B4430" w14:textId="7748B6E8" w:rsidR="00BF21FC" w:rsidRDefault="00BF21FC">
      <w:pPr>
        <w:pStyle w:val="FootnoteText"/>
      </w:pPr>
      <w:r>
        <w:rPr>
          <w:rStyle w:val="FootnoteReference"/>
        </w:rPr>
        <w:footnoteRef/>
      </w:r>
      <w:r>
        <w:t xml:space="preserve"> </w:t>
      </w:r>
      <w:r w:rsidRPr="005B69E3">
        <w:t>Rēķināts uz 6 gadiem</w:t>
      </w:r>
    </w:p>
  </w:footnote>
  <w:footnote w:id="25">
    <w:p w14:paraId="781B496F" w14:textId="071358D1" w:rsidR="00BF21FC" w:rsidRDefault="00BF21FC">
      <w:pPr>
        <w:pStyle w:val="FootnoteText"/>
      </w:pPr>
      <w:r>
        <w:rPr>
          <w:rStyle w:val="FootnoteReference"/>
        </w:rPr>
        <w:footnoteRef/>
      </w:r>
      <w:r>
        <w:t xml:space="preserve"> Indikatīvais slodžu skaits balstīts uz institūciju sniegto informāciju.</w:t>
      </w:r>
    </w:p>
  </w:footnote>
  <w:footnote w:id="26">
    <w:p w14:paraId="489353B4" w14:textId="2623C5F0" w:rsidR="00BF21FC" w:rsidRDefault="00BF21FC" w:rsidP="00F20CF2">
      <w:pPr>
        <w:pStyle w:val="FootnoteText"/>
        <w:jc w:val="both"/>
      </w:pPr>
      <w:r>
        <w:rPr>
          <w:rStyle w:val="FootnoteReference"/>
        </w:rPr>
        <w:footnoteRef/>
      </w:r>
      <w:r>
        <w:t xml:space="preserve"> V</w:t>
      </w:r>
      <w:r w:rsidRPr="00F20CF2">
        <w:t>ienas slodzes aprēķina likme balstīta uz ES fondu tehniskās palīdzības aktuālajiem FM datiem, kas arī tiek izmantoti kopējo aprēķinu veidošanā. Vienas slodzes izmaksu summa 34 000 EUR gadā ietver visas izmaksas, kas nepieciešamas vienas slodzes funkcijas nodrošināšanai, tajā skaitā vidējie atlīdzības izdevumi 28 791 EUR apmērā (atalgojums 23 059 EUR; Darba devēja VSAOI un sociālās garantijas 5 732 EUR), uzturēšanas izdevumi 5 209 EUR (apmācību izdevumi, informācijas tehnoloģijas pakalpojumi u.c.).</w:t>
      </w:r>
    </w:p>
  </w:footnote>
  <w:footnote w:id="27">
    <w:p w14:paraId="7FB59989" w14:textId="58E26532" w:rsidR="00AF1A6C" w:rsidRDefault="00AF1A6C">
      <w:pPr>
        <w:pStyle w:val="FootnoteText"/>
      </w:pPr>
      <w:r>
        <w:rPr>
          <w:rStyle w:val="FootnoteReference"/>
        </w:rPr>
        <w:footnoteRef/>
      </w:r>
      <w:r>
        <w:t xml:space="preserve"> Izņemot CFLA un IUB</w:t>
      </w:r>
    </w:p>
  </w:footnote>
  <w:footnote w:id="28">
    <w:p w14:paraId="1F9BF306" w14:textId="1742F184" w:rsidR="00BF21FC" w:rsidRDefault="00BF21FC" w:rsidP="00781A1B">
      <w:pPr>
        <w:pStyle w:val="FootnoteText"/>
        <w:jc w:val="both"/>
      </w:pPr>
      <w:r>
        <w:rPr>
          <w:rStyle w:val="FootnoteReference"/>
        </w:rPr>
        <w:footnoteRef/>
      </w:r>
      <w:r>
        <w:t xml:space="preserve"> Pēc līdzības kā ES fondu tehniskās palīdzības aprēķinos, lai nodrošinātu vienādu pieeju starp institūcijām vienas slodzes aprēķinam. </w:t>
      </w:r>
    </w:p>
  </w:footnote>
  <w:footnote w:id="29">
    <w:p w14:paraId="683C9A13" w14:textId="31198DA3" w:rsidR="00BF21FC" w:rsidRDefault="00BF21FC" w:rsidP="00A25E72">
      <w:pPr>
        <w:pStyle w:val="FootnoteText"/>
        <w:jc w:val="both"/>
      </w:pPr>
      <w:r>
        <w:rPr>
          <w:rStyle w:val="FootnoteReference"/>
        </w:rPr>
        <w:footnoteRef/>
      </w:r>
      <w:r>
        <w:t xml:space="preserve"> Kopējais nepieciešamais finansējuma apjoms ietver arī KPVIS </w:t>
      </w:r>
      <w:r w:rsidR="00823867" w:rsidRPr="00823867">
        <w:t>Atveseļošanas fonda</w:t>
      </w:r>
      <w:r w:rsidRPr="00FF5B5D">
        <w:t xml:space="preserve"> izveides un pielāgošanas izmaksas</w:t>
      </w:r>
      <w:r>
        <w:t>.</w:t>
      </w:r>
    </w:p>
  </w:footnote>
  <w:footnote w:id="30">
    <w:p w14:paraId="62930D0E" w14:textId="0ECB95B8" w:rsidR="00BF21FC" w:rsidRDefault="00BF21FC" w:rsidP="00A25E72">
      <w:pPr>
        <w:pStyle w:val="FootnoteText"/>
        <w:jc w:val="both"/>
      </w:pPr>
      <w:r>
        <w:rPr>
          <w:rStyle w:val="FootnoteReference"/>
        </w:rPr>
        <w:footnoteRef/>
      </w:r>
      <w:r>
        <w:t xml:space="preserve"> </w:t>
      </w:r>
      <w:hyperlink r:id="rId4" w:history="1">
        <w:r w:rsidRPr="00D52887">
          <w:rPr>
            <w:rStyle w:val="Hyperlink"/>
          </w:rPr>
          <w:t>http://tap.mk.gov.lv/doc/2017_11/MKPl_141117_VPRP2020.2492.pdf</w:t>
        </w:r>
      </w:hyperlink>
      <w:r>
        <w:t xml:space="preserve"> </w:t>
      </w:r>
    </w:p>
  </w:footnote>
  <w:footnote w:id="31">
    <w:p w14:paraId="2BC647AC" w14:textId="3654A01E" w:rsidR="00BF21FC" w:rsidRDefault="00BF21FC" w:rsidP="00A25E72">
      <w:pPr>
        <w:pStyle w:val="FootnoteText"/>
        <w:jc w:val="both"/>
      </w:pPr>
      <w:r>
        <w:rPr>
          <w:rStyle w:val="FootnoteReference"/>
        </w:rPr>
        <w:footnoteRef/>
      </w:r>
      <w:r>
        <w:t xml:space="preserve"> </w:t>
      </w:r>
      <w:proofErr w:type="spellStart"/>
      <w:r>
        <w:t>Normatīvisma</w:t>
      </w:r>
      <w:proofErr w:type="spellEnd"/>
      <w:r>
        <w:t xml:space="preserve"> mazināšana, labāka regulējuma politikas attīstīšana, pāreja uz efektivitātes auditiem, </w:t>
      </w:r>
    </w:p>
    <w:p w14:paraId="6E3522E8" w14:textId="047F8EB3" w:rsidR="00BF21FC" w:rsidRDefault="00BF21FC" w:rsidP="00A25E72">
      <w:pPr>
        <w:pStyle w:val="FootnoteText"/>
        <w:jc w:val="both"/>
      </w:pPr>
      <w:r>
        <w:t>administratīvo procedūru vienkāršošana un atskaišu mazināšana</w:t>
      </w:r>
    </w:p>
  </w:footnote>
  <w:footnote w:id="32">
    <w:p w14:paraId="3938D972" w14:textId="7B90E7AB" w:rsidR="008E230C" w:rsidRDefault="008E230C">
      <w:pPr>
        <w:pStyle w:val="FootnoteText"/>
      </w:pPr>
      <w:r>
        <w:rPr>
          <w:rStyle w:val="FootnoteReference"/>
        </w:rPr>
        <w:footnoteRef/>
      </w:r>
      <w:r>
        <w:t xml:space="preserve"> Aprēķins veidots uz 6 mēnešiem</w:t>
      </w:r>
      <w:r w:rsidR="000C115F">
        <w:t xml:space="preserve"> (izņemot CFLA)</w:t>
      </w:r>
      <w:r>
        <w:t xml:space="preserve">. </w:t>
      </w:r>
    </w:p>
  </w:footnote>
  <w:footnote w:id="33">
    <w:p w14:paraId="5677E64F" w14:textId="06B73D98" w:rsidR="00BF21FC" w:rsidRDefault="00BF21FC" w:rsidP="00A25E72">
      <w:pPr>
        <w:pStyle w:val="FootnoteText"/>
        <w:jc w:val="both"/>
      </w:pPr>
      <w:r>
        <w:rPr>
          <w:rStyle w:val="FootnoteReference"/>
        </w:rPr>
        <w:footnoteRef/>
      </w:r>
      <w:r>
        <w:t xml:space="preserve"> </w:t>
      </w:r>
      <w:r w:rsidRPr="00F275DE">
        <w:t>Kohēzijas politikas fondu vadības informācijas sistēma 2014.-2020.</w:t>
      </w:r>
      <w:r w:rsidR="003C3BB9">
        <w:t> </w:t>
      </w:r>
      <w:r w:rsidRPr="00F275DE">
        <w:t>gadam</w:t>
      </w:r>
      <w:r>
        <w:t xml:space="preserve"> datu analīzes rīks </w:t>
      </w:r>
    </w:p>
  </w:footnote>
  <w:footnote w:id="34">
    <w:p w14:paraId="0A8E6613" w14:textId="778E872B" w:rsidR="00BF21FC" w:rsidRDefault="00BF21FC">
      <w:pPr>
        <w:pStyle w:val="FootnoteText"/>
      </w:pPr>
      <w:r>
        <w:rPr>
          <w:rStyle w:val="FootnoteReference"/>
        </w:rPr>
        <w:footnoteRef/>
      </w:r>
      <w:r>
        <w:t xml:space="preserve"> Dalījumu pa gadiem skatīt Tabulā Nr.5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896"/>
    <w:multiLevelType w:val="hybridMultilevel"/>
    <w:tmpl w:val="AABA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584793"/>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B319DF"/>
    <w:multiLevelType w:val="multilevel"/>
    <w:tmpl w:val="4A46F3A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35AA5"/>
    <w:multiLevelType w:val="hybridMultilevel"/>
    <w:tmpl w:val="3CAE4F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80140D"/>
    <w:multiLevelType w:val="hybridMultilevel"/>
    <w:tmpl w:val="DF0C57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946F5E"/>
    <w:multiLevelType w:val="hybridMultilevel"/>
    <w:tmpl w:val="D122B2D0"/>
    <w:lvl w:ilvl="0" w:tplc="2420690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3A30CE"/>
    <w:multiLevelType w:val="hybridMultilevel"/>
    <w:tmpl w:val="79CCE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8750B5"/>
    <w:multiLevelType w:val="hybridMultilevel"/>
    <w:tmpl w:val="506A76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BFD0C6D"/>
    <w:multiLevelType w:val="hybridMultilevel"/>
    <w:tmpl w:val="BFF82DCC"/>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F54B1D"/>
    <w:multiLevelType w:val="multilevel"/>
    <w:tmpl w:val="988480FE"/>
    <w:lvl w:ilvl="0">
      <w:start w:val="19"/>
      <w:numFmt w:val="decimal"/>
      <w:lvlText w:val="%1"/>
      <w:lvlJc w:val="left"/>
      <w:pPr>
        <w:ind w:left="390" w:hanging="390"/>
      </w:pPr>
      <w:rPr>
        <w:rFonts w:hint="default"/>
        <w:b/>
      </w:rPr>
    </w:lvl>
    <w:lvl w:ilvl="1">
      <w:start w:val="3"/>
      <w:numFmt w:val="decimal"/>
      <w:lvlText w:val="%1.%2"/>
      <w:lvlJc w:val="left"/>
      <w:pPr>
        <w:ind w:left="630" w:hanging="390"/>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1" w15:restartNumberingAfterBreak="0">
    <w:nsid w:val="414D5A88"/>
    <w:multiLevelType w:val="hybridMultilevel"/>
    <w:tmpl w:val="83025036"/>
    <w:lvl w:ilvl="0" w:tplc="64FA50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CD1934"/>
    <w:multiLevelType w:val="hybridMultilevel"/>
    <w:tmpl w:val="45424304"/>
    <w:lvl w:ilvl="0" w:tplc="649406C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BF3DE4"/>
    <w:multiLevelType w:val="hybridMultilevel"/>
    <w:tmpl w:val="2048DF8C"/>
    <w:lvl w:ilvl="0" w:tplc="9AAE6C56">
      <w:start w:val="1"/>
      <w:numFmt w:val="bullet"/>
      <w:lvlText w:val="-"/>
      <w:lvlJc w:val="left"/>
      <w:pPr>
        <w:tabs>
          <w:tab w:val="num" w:pos="720"/>
        </w:tabs>
        <w:ind w:left="720" w:hanging="360"/>
      </w:pPr>
      <w:rPr>
        <w:rFonts w:ascii="Times New Roman" w:hAnsi="Times New Roman" w:hint="default"/>
      </w:rPr>
    </w:lvl>
    <w:lvl w:ilvl="1" w:tplc="98625606" w:tentative="1">
      <w:start w:val="1"/>
      <w:numFmt w:val="bullet"/>
      <w:lvlText w:val="-"/>
      <w:lvlJc w:val="left"/>
      <w:pPr>
        <w:tabs>
          <w:tab w:val="num" w:pos="1440"/>
        </w:tabs>
        <w:ind w:left="1440" w:hanging="360"/>
      </w:pPr>
      <w:rPr>
        <w:rFonts w:ascii="Times New Roman" w:hAnsi="Times New Roman" w:hint="default"/>
      </w:rPr>
    </w:lvl>
    <w:lvl w:ilvl="2" w:tplc="7D302706" w:tentative="1">
      <w:start w:val="1"/>
      <w:numFmt w:val="bullet"/>
      <w:lvlText w:val="-"/>
      <w:lvlJc w:val="left"/>
      <w:pPr>
        <w:tabs>
          <w:tab w:val="num" w:pos="2160"/>
        </w:tabs>
        <w:ind w:left="2160" w:hanging="360"/>
      </w:pPr>
      <w:rPr>
        <w:rFonts w:ascii="Times New Roman" w:hAnsi="Times New Roman" w:hint="default"/>
      </w:rPr>
    </w:lvl>
    <w:lvl w:ilvl="3" w:tplc="711CA76C" w:tentative="1">
      <w:start w:val="1"/>
      <w:numFmt w:val="bullet"/>
      <w:lvlText w:val="-"/>
      <w:lvlJc w:val="left"/>
      <w:pPr>
        <w:tabs>
          <w:tab w:val="num" w:pos="2880"/>
        </w:tabs>
        <w:ind w:left="2880" w:hanging="360"/>
      </w:pPr>
      <w:rPr>
        <w:rFonts w:ascii="Times New Roman" w:hAnsi="Times New Roman" w:hint="default"/>
      </w:rPr>
    </w:lvl>
    <w:lvl w:ilvl="4" w:tplc="53E84248" w:tentative="1">
      <w:start w:val="1"/>
      <w:numFmt w:val="bullet"/>
      <w:lvlText w:val="-"/>
      <w:lvlJc w:val="left"/>
      <w:pPr>
        <w:tabs>
          <w:tab w:val="num" w:pos="3600"/>
        </w:tabs>
        <w:ind w:left="3600" w:hanging="360"/>
      </w:pPr>
      <w:rPr>
        <w:rFonts w:ascii="Times New Roman" w:hAnsi="Times New Roman" w:hint="default"/>
      </w:rPr>
    </w:lvl>
    <w:lvl w:ilvl="5" w:tplc="3C8EA622" w:tentative="1">
      <w:start w:val="1"/>
      <w:numFmt w:val="bullet"/>
      <w:lvlText w:val="-"/>
      <w:lvlJc w:val="left"/>
      <w:pPr>
        <w:tabs>
          <w:tab w:val="num" w:pos="4320"/>
        </w:tabs>
        <w:ind w:left="4320" w:hanging="360"/>
      </w:pPr>
      <w:rPr>
        <w:rFonts w:ascii="Times New Roman" w:hAnsi="Times New Roman" w:hint="default"/>
      </w:rPr>
    </w:lvl>
    <w:lvl w:ilvl="6" w:tplc="181E76D8" w:tentative="1">
      <w:start w:val="1"/>
      <w:numFmt w:val="bullet"/>
      <w:lvlText w:val="-"/>
      <w:lvlJc w:val="left"/>
      <w:pPr>
        <w:tabs>
          <w:tab w:val="num" w:pos="5040"/>
        </w:tabs>
        <w:ind w:left="5040" w:hanging="360"/>
      </w:pPr>
      <w:rPr>
        <w:rFonts w:ascii="Times New Roman" w:hAnsi="Times New Roman" w:hint="default"/>
      </w:rPr>
    </w:lvl>
    <w:lvl w:ilvl="7" w:tplc="D16CC37C" w:tentative="1">
      <w:start w:val="1"/>
      <w:numFmt w:val="bullet"/>
      <w:lvlText w:val="-"/>
      <w:lvlJc w:val="left"/>
      <w:pPr>
        <w:tabs>
          <w:tab w:val="num" w:pos="5760"/>
        </w:tabs>
        <w:ind w:left="5760" w:hanging="360"/>
      </w:pPr>
      <w:rPr>
        <w:rFonts w:ascii="Times New Roman" w:hAnsi="Times New Roman" w:hint="default"/>
      </w:rPr>
    </w:lvl>
    <w:lvl w:ilvl="8" w:tplc="F9166F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AC0A8E"/>
    <w:multiLevelType w:val="hybridMultilevel"/>
    <w:tmpl w:val="326849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6291B8F"/>
    <w:multiLevelType w:val="multilevel"/>
    <w:tmpl w:val="E020C25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803330"/>
    <w:multiLevelType w:val="multilevel"/>
    <w:tmpl w:val="37DE9E4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65E53E3B"/>
    <w:multiLevelType w:val="hybridMultilevel"/>
    <w:tmpl w:val="9F32DD32"/>
    <w:lvl w:ilvl="0" w:tplc="5D3AFAAE">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37C8B"/>
    <w:multiLevelType w:val="hybridMultilevel"/>
    <w:tmpl w:val="825C8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51437A"/>
    <w:multiLevelType w:val="hybridMultilevel"/>
    <w:tmpl w:val="6380BB30"/>
    <w:lvl w:ilvl="0" w:tplc="2B42F90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C5078A0"/>
    <w:multiLevelType w:val="hybridMultilevel"/>
    <w:tmpl w:val="81787888"/>
    <w:lvl w:ilvl="0" w:tplc="DCA40CF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2" w15:restartNumberingAfterBreak="0">
    <w:nsid w:val="72171EFE"/>
    <w:multiLevelType w:val="hybridMultilevel"/>
    <w:tmpl w:val="F6D4C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6764AD"/>
    <w:multiLevelType w:val="hybridMultilevel"/>
    <w:tmpl w:val="60FE6DCC"/>
    <w:lvl w:ilvl="0" w:tplc="0426000F">
      <w:start w:val="1"/>
      <w:numFmt w:val="decimal"/>
      <w:lvlText w:val="%1."/>
      <w:lvlJc w:val="left"/>
      <w:pPr>
        <w:ind w:left="720" w:hanging="360"/>
      </w:pPr>
    </w:lvl>
    <w:lvl w:ilvl="1" w:tplc="CC7C48FE">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5" w15:restartNumberingAfterBreak="0">
    <w:nsid w:val="7E6A07F1"/>
    <w:multiLevelType w:val="hybridMultilevel"/>
    <w:tmpl w:val="1A3E0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24"/>
  </w:num>
  <w:num w:numId="5">
    <w:abstractNumId w:val="14"/>
  </w:num>
  <w:num w:numId="6">
    <w:abstractNumId w:val="7"/>
  </w:num>
  <w:num w:numId="7">
    <w:abstractNumId w:val="1"/>
  </w:num>
  <w:num w:numId="8">
    <w:abstractNumId w:val="19"/>
  </w:num>
  <w:num w:numId="9">
    <w:abstractNumId w:val="25"/>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 w:numId="15">
    <w:abstractNumId w:val="13"/>
  </w:num>
  <w:num w:numId="16">
    <w:abstractNumId w:val="6"/>
  </w:num>
  <w:num w:numId="17">
    <w:abstractNumId w:val="20"/>
  </w:num>
  <w:num w:numId="18">
    <w:abstractNumId w:val="21"/>
  </w:num>
  <w:num w:numId="19">
    <w:abstractNumId w:val="12"/>
  </w:num>
  <w:num w:numId="20">
    <w:abstractNumId w:val="2"/>
  </w:num>
  <w:num w:numId="21">
    <w:abstractNumId w:val="16"/>
  </w:num>
  <w:num w:numId="22">
    <w:abstractNumId w:val="17"/>
  </w:num>
  <w:num w:numId="23">
    <w:abstractNumId w:val="8"/>
  </w:num>
  <w:num w:numId="24">
    <w:abstractNumId w:val="15"/>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03"/>
    <w:rsid w:val="00000B30"/>
    <w:rsid w:val="00001067"/>
    <w:rsid w:val="00001DE4"/>
    <w:rsid w:val="0000441D"/>
    <w:rsid w:val="000063DF"/>
    <w:rsid w:val="00011FC0"/>
    <w:rsid w:val="00014CA9"/>
    <w:rsid w:val="00015AD3"/>
    <w:rsid w:val="00015D6A"/>
    <w:rsid w:val="00021EDE"/>
    <w:rsid w:val="000257B9"/>
    <w:rsid w:val="00025C9E"/>
    <w:rsid w:val="0003149F"/>
    <w:rsid w:val="00031E47"/>
    <w:rsid w:val="0003492F"/>
    <w:rsid w:val="000368E4"/>
    <w:rsid w:val="00037337"/>
    <w:rsid w:val="000376E2"/>
    <w:rsid w:val="00037C0A"/>
    <w:rsid w:val="00041BD7"/>
    <w:rsid w:val="000439EB"/>
    <w:rsid w:val="0004423B"/>
    <w:rsid w:val="00044DB5"/>
    <w:rsid w:val="00045B2C"/>
    <w:rsid w:val="00047700"/>
    <w:rsid w:val="000505D9"/>
    <w:rsid w:val="00050EA3"/>
    <w:rsid w:val="00051BFD"/>
    <w:rsid w:val="00051ECE"/>
    <w:rsid w:val="0005248F"/>
    <w:rsid w:val="0005633C"/>
    <w:rsid w:val="0005729D"/>
    <w:rsid w:val="0005751D"/>
    <w:rsid w:val="000610EB"/>
    <w:rsid w:val="00061A1C"/>
    <w:rsid w:val="00062D1D"/>
    <w:rsid w:val="00063DFD"/>
    <w:rsid w:val="0006562E"/>
    <w:rsid w:val="00066146"/>
    <w:rsid w:val="00070874"/>
    <w:rsid w:val="00070B71"/>
    <w:rsid w:val="00071705"/>
    <w:rsid w:val="000718CF"/>
    <w:rsid w:val="000726F8"/>
    <w:rsid w:val="0007373C"/>
    <w:rsid w:val="00073E97"/>
    <w:rsid w:val="00075641"/>
    <w:rsid w:val="0008009E"/>
    <w:rsid w:val="00080FB9"/>
    <w:rsid w:val="000829C6"/>
    <w:rsid w:val="00082BBA"/>
    <w:rsid w:val="00084A0C"/>
    <w:rsid w:val="000859B5"/>
    <w:rsid w:val="00092E81"/>
    <w:rsid w:val="00093A83"/>
    <w:rsid w:val="000950D7"/>
    <w:rsid w:val="000A1AC2"/>
    <w:rsid w:val="000A37B6"/>
    <w:rsid w:val="000A4866"/>
    <w:rsid w:val="000A4EB0"/>
    <w:rsid w:val="000A6FC7"/>
    <w:rsid w:val="000B3874"/>
    <w:rsid w:val="000B5382"/>
    <w:rsid w:val="000C115F"/>
    <w:rsid w:val="000C2C44"/>
    <w:rsid w:val="000C3B40"/>
    <w:rsid w:val="000C47D9"/>
    <w:rsid w:val="000C611A"/>
    <w:rsid w:val="000C7BF4"/>
    <w:rsid w:val="000D4C5C"/>
    <w:rsid w:val="000D5FFB"/>
    <w:rsid w:val="000D60AD"/>
    <w:rsid w:val="000E0DB8"/>
    <w:rsid w:val="000E3A91"/>
    <w:rsid w:val="000E53E8"/>
    <w:rsid w:val="000E7622"/>
    <w:rsid w:val="000F0108"/>
    <w:rsid w:val="000F07D4"/>
    <w:rsid w:val="000F0D79"/>
    <w:rsid w:val="000F2C56"/>
    <w:rsid w:val="000F2FB4"/>
    <w:rsid w:val="000F4582"/>
    <w:rsid w:val="000F4768"/>
    <w:rsid w:val="000F4A5D"/>
    <w:rsid w:val="000F57FF"/>
    <w:rsid w:val="000F6718"/>
    <w:rsid w:val="000F6BB0"/>
    <w:rsid w:val="0010151D"/>
    <w:rsid w:val="00101557"/>
    <w:rsid w:val="00110C81"/>
    <w:rsid w:val="001129A0"/>
    <w:rsid w:val="00112C81"/>
    <w:rsid w:val="00112DAC"/>
    <w:rsid w:val="0011363F"/>
    <w:rsid w:val="001170EE"/>
    <w:rsid w:val="00122D99"/>
    <w:rsid w:val="001235E9"/>
    <w:rsid w:val="00123C40"/>
    <w:rsid w:val="00125956"/>
    <w:rsid w:val="001306C8"/>
    <w:rsid w:val="0013616B"/>
    <w:rsid w:val="00142751"/>
    <w:rsid w:val="0014623A"/>
    <w:rsid w:val="0014687A"/>
    <w:rsid w:val="00146899"/>
    <w:rsid w:val="00146E25"/>
    <w:rsid w:val="00155042"/>
    <w:rsid w:val="001551C7"/>
    <w:rsid w:val="001561B9"/>
    <w:rsid w:val="0016107F"/>
    <w:rsid w:val="0016202D"/>
    <w:rsid w:val="00163958"/>
    <w:rsid w:val="00165167"/>
    <w:rsid w:val="00166A0A"/>
    <w:rsid w:val="0017147F"/>
    <w:rsid w:val="00171D06"/>
    <w:rsid w:val="00173DD9"/>
    <w:rsid w:val="00174A02"/>
    <w:rsid w:val="0017760D"/>
    <w:rsid w:val="00177ACC"/>
    <w:rsid w:val="0018019D"/>
    <w:rsid w:val="0018160B"/>
    <w:rsid w:val="00184051"/>
    <w:rsid w:val="001875B5"/>
    <w:rsid w:val="001879E7"/>
    <w:rsid w:val="00193227"/>
    <w:rsid w:val="00193FC2"/>
    <w:rsid w:val="00195BE2"/>
    <w:rsid w:val="001A5624"/>
    <w:rsid w:val="001A6DB3"/>
    <w:rsid w:val="001A7774"/>
    <w:rsid w:val="001A7A1F"/>
    <w:rsid w:val="001B02AA"/>
    <w:rsid w:val="001B04F5"/>
    <w:rsid w:val="001B12CA"/>
    <w:rsid w:val="001B3E7E"/>
    <w:rsid w:val="001B5A00"/>
    <w:rsid w:val="001B6F96"/>
    <w:rsid w:val="001C11B9"/>
    <w:rsid w:val="001C36A3"/>
    <w:rsid w:val="001C3EA6"/>
    <w:rsid w:val="001C5499"/>
    <w:rsid w:val="001C7A71"/>
    <w:rsid w:val="001D13F7"/>
    <w:rsid w:val="001D329F"/>
    <w:rsid w:val="001D3320"/>
    <w:rsid w:val="001D3D76"/>
    <w:rsid w:val="001D4D7A"/>
    <w:rsid w:val="001D5330"/>
    <w:rsid w:val="001D76C4"/>
    <w:rsid w:val="001E37A5"/>
    <w:rsid w:val="001E58EA"/>
    <w:rsid w:val="001E7553"/>
    <w:rsid w:val="001E75E5"/>
    <w:rsid w:val="001F1C02"/>
    <w:rsid w:val="001F2DC0"/>
    <w:rsid w:val="001F4003"/>
    <w:rsid w:val="001F5B17"/>
    <w:rsid w:val="001F67AE"/>
    <w:rsid w:val="001F6F60"/>
    <w:rsid w:val="002004A0"/>
    <w:rsid w:val="00201224"/>
    <w:rsid w:val="00204F25"/>
    <w:rsid w:val="00205051"/>
    <w:rsid w:val="00205119"/>
    <w:rsid w:val="00206BF7"/>
    <w:rsid w:val="00206C7B"/>
    <w:rsid w:val="00210698"/>
    <w:rsid w:val="002111EF"/>
    <w:rsid w:val="00211EAE"/>
    <w:rsid w:val="00212672"/>
    <w:rsid w:val="00212EEE"/>
    <w:rsid w:val="0021405A"/>
    <w:rsid w:val="0021570D"/>
    <w:rsid w:val="0022092B"/>
    <w:rsid w:val="00220A39"/>
    <w:rsid w:val="002232E1"/>
    <w:rsid w:val="002243CE"/>
    <w:rsid w:val="00225298"/>
    <w:rsid w:val="00230A32"/>
    <w:rsid w:val="00230E94"/>
    <w:rsid w:val="00231EF5"/>
    <w:rsid w:val="00232AC2"/>
    <w:rsid w:val="00237591"/>
    <w:rsid w:val="002376B0"/>
    <w:rsid w:val="00237E34"/>
    <w:rsid w:val="00240F23"/>
    <w:rsid w:val="00242A51"/>
    <w:rsid w:val="0024416F"/>
    <w:rsid w:val="002443EF"/>
    <w:rsid w:val="00245903"/>
    <w:rsid w:val="002472F2"/>
    <w:rsid w:val="002507FD"/>
    <w:rsid w:val="00250DC9"/>
    <w:rsid w:val="00250DD1"/>
    <w:rsid w:val="002524F9"/>
    <w:rsid w:val="00255B5F"/>
    <w:rsid w:val="00260A26"/>
    <w:rsid w:val="00264954"/>
    <w:rsid w:val="00264F5C"/>
    <w:rsid w:val="002724D3"/>
    <w:rsid w:val="00274806"/>
    <w:rsid w:val="002822EA"/>
    <w:rsid w:val="002859BC"/>
    <w:rsid w:val="00285B56"/>
    <w:rsid w:val="00286FEA"/>
    <w:rsid w:val="0028703E"/>
    <w:rsid w:val="0028731B"/>
    <w:rsid w:val="002879E3"/>
    <w:rsid w:val="00290A3C"/>
    <w:rsid w:val="00291CB6"/>
    <w:rsid w:val="00292906"/>
    <w:rsid w:val="002943E0"/>
    <w:rsid w:val="00294700"/>
    <w:rsid w:val="0029598C"/>
    <w:rsid w:val="00295A2F"/>
    <w:rsid w:val="00295BE2"/>
    <w:rsid w:val="00297827"/>
    <w:rsid w:val="002A0C57"/>
    <w:rsid w:val="002A1056"/>
    <w:rsid w:val="002A4BF5"/>
    <w:rsid w:val="002A4F4D"/>
    <w:rsid w:val="002A511B"/>
    <w:rsid w:val="002A6B06"/>
    <w:rsid w:val="002B6667"/>
    <w:rsid w:val="002B7228"/>
    <w:rsid w:val="002C0B21"/>
    <w:rsid w:val="002C1371"/>
    <w:rsid w:val="002C1F3C"/>
    <w:rsid w:val="002C2499"/>
    <w:rsid w:val="002C77E6"/>
    <w:rsid w:val="002D032D"/>
    <w:rsid w:val="002D1D05"/>
    <w:rsid w:val="002D36B8"/>
    <w:rsid w:val="002D4597"/>
    <w:rsid w:val="002E106C"/>
    <w:rsid w:val="002E166C"/>
    <w:rsid w:val="002E1AC7"/>
    <w:rsid w:val="002E1E05"/>
    <w:rsid w:val="002E21F2"/>
    <w:rsid w:val="002E26F5"/>
    <w:rsid w:val="002E3EDF"/>
    <w:rsid w:val="002E6E6B"/>
    <w:rsid w:val="002E7CB7"/>
    <w:rsid w:val="002F5489"/>
    <w:rsid w:val="002F5EFE"/>
    <w:rsid w:val="0030229F"/>
    <w:rsid w:val="00303589"/>
    <w:rsid w:val="003047EF"/>
    <w:rsid w:val="00305489"/>
    <w:rsid w:val="00306D79"/>
    <w:rsid w:val="00312418"/>
    <w:rsid w:val="003163C7"/>
    <w:rsid w:val="00317413"/>
    <w:rsid w:val="00317881"/>
    <w:rsid w:val="00317B6B"/>
    <w:rsid w:val="00324285"/>
    <w:rsid w:val="00324BFF"/>
    <w:rsid w:val="00325C11"/>
    <w:rsid w:val="00325F18"/>
    <w:rsid w:val="00326E51"/>
    <w:rsid w:val="00327F37"/>
    <w:rsid w:val="00327FEE"/>
    <w:rsid w:val="00331E2B"/>
    <w:rsid w:val="003320D8"/>
    <w:rsid w:val="00333244"/>
    <w:rsid w:val="00340841"/>
    <w:rsid w:val="00341AAB"/>
    <w:rsid w:val="0034402C"/>
    <w:rsid w:val="003502A7"/>
    <w:rsid w:val="00350642"/>
    <w:rsid w:val="0035309A"/>
    <w:rsid w:val="0035482A"/>
    <w:rsid w:val="00354C1D"/>
    <w:rsid w:val="00355A1B"/>
    <w:rsid w:val="00356ED5"/>
    <w:rsid w:val="003571CD"/>
    <w:rsid w:val="003577AD"/>
    <w:rsid w:val="00360CA8"/>
    <w:rsid w:val="003624FF"/>
    <w:rsid w:val="00362761"/>
    <w:rsid w:val="0036462F"/>
    <w:rsid w:val="003658AB"/>
    <w:rsid w:val="00367066"/>
    <w:rsid w:val="003672C2"/>
    <w:rsid w:val="00367906"/>
    <w:rsid w:val="00370E85"/>
    <w:rsid w:val="0037177A"/>
    <w:rsid w:val="00371C5B"/>
    <w:rsid w:val="003728BC"/>
    <w:rsid w:val="003733EF"/>
    <w:rsid w:val="00373EFF"/>
    <w:rsid w:val="0037766E"/>
    <w:rsid w:val="00380E08"/>
    <w:rsid w:val="003814D2"/>
    <w:rsid w:val="00382A8F"/>
    <w:rsid w:val="00385BC6"/>
    <w:rsid w:val="00387FAB"/>
    <w:rsid w:val="00390030"/>
    <w:rsid w:val="0039135F"/>
    <w:rsid w:val="00391763"/>
    <w:rsid w:val="00391962"/>
    <w:rsid w:val="00392040"/>
    <w:rsid w:val="00393E2E"/>
    <w:rsid w:val="00395337"/>
    <w:rsid w:val="00397484"/>
    <w:rsid w:val="003A00EA"/>
    <w:rsid w:val="003A2318"/>
    <w:rsid w:val="003A23FF"/>
    <w:rsid w:val="003A45D0"/>
    <w:rsid w:val="003A520B"/>
    <w:rsid w:val="003B0B05"/>
    <w:rsid w:val="003B2740"/>
    <w:rsid w:val="003B3BA8"/>
    <w:rsid w:val="003B43A6"/>
    <w:rsid w:val="003B5DA4"/>
    <w:rsid w:val="003C0446"/>
    <w:rsid w:val="003C0805"/>
    <w:rsid w:val="003C1E4C"/>
    <w:rsid w:val="003C2FAD"/>
    <w:rsid w:val="003C3BB9"/>
    <w:rsid w:val="003C4503"/>
    <w:rsid w:val="003C60C3"/>
    <w:rsid w:val="003C66CE"/>
    <w:rsid w:val="003C702B"/>
    <w:rsid w:val="003D17DA"/>
    <w:rsid w:val="003D2338"/>
    <w:rsid w:val="003D2704"/>
    <w:rsid w:val="003D2ABE"/>
    <w:rsid w:val="003D3309"/>
    <w:rsid w:val="003D3CEF"/>
    <w:rsid w:val="003D5D8F"/>
    <w:rsid w:val="003E0F5A"/>
    <w:rsid w:val="003E103D"/>
    <w:rsid w:val="003E246F"/>
    <w:rsid w:val="003E5537"/>
    <w:rsid w:val="003E6924"/>
    <w:rsid w:val="003E7D27"/>
    <w:rsid w:val="003F63D6"/>
    <w:rsid w:val="00402F29"/>
    <w:rsid w:val="00403CBA"/>
    <w:rsid w:val="00407C6D"/>
    <w:rsid w:val="00410EB0"/>
    <w:rsid w:val="004118F3"/>
    <w:rsid w:val="00411B77"/>
    <w:rsid w:val="0041554F"/>
    <w:rsid w:val="00415BC1"/>
    <w:rsid w:val="00416B97"/>
    <w:rsid w:val="004176AD"/>
    <w:rsid w:val="004222BE"/>
    <w:rsid w:val="00422DE1"/>
    <w:rsid w:val="0042332E"/>
    <w:rsid w:val="004243D8"/>
    <w:rsid w:val="00427726"/>
    <w:rsid w:val="00427D9A"/>
    <w:rsid w:val="004303AB"/>
    <w:rsid w:val="00430791"/>
    <w:rsid w:val="00432121"/>
    <w:rsid w:val="00432306"/>
    <w:rsid w:val="0043281F"/>
    <w:rsid w:val="0044509D"/>
    <w:rsid w:val="00454928"/>
    <w:rsid w:val="00454C47"/>
    <w:rsid w:val="00456885"/>
    <w:rsid w:val="00456EDF"/>
    <w:rsid w:val="00457FC0"/>
    <w:rsid w:val="0046224F"/>
    <w:rsid w:val="00462C7B"/>
    <w:rsid w:val="0046313C"/>
    <w:rsid w:val="004634BA"/>
    <w:rsid w:val="004639C8"/>
    <w:rsid w:val="00464699"/>
    <w:rsid w:val="00465442"/>
    <w:rsid w:val="00466AC3"/>
    <w:rsid w:val="00470854"/>
    <w:rsid w:val="00474E12"/>
    <w:rsid w:val="00480044"/>
    <w:rsid w:val="00480388"/>
    <w:rsid w:val="004829BB"/>
    <w:rsid w:val="004844E5"/>
    <w:rsid w:val="004878D0"/>
    <w:rsid w:val="00490907"/>
    <w:rsid w:val="00491BB9"/>
    <w:rsid w:val="00493C16"/>
    <w:rsid w:val="004946CB"/>
    <w:rsid w:val="0049508D"/>
    <w:rsid w:val="004A06E2"/>
    <w:rsid w:val="004A0F20"/>
    <w:rsid w:val="004A123F"/>
    <w:rsid w:val="004A40D2"/>
    <w:rsid w:val="004A4C78"/>
    <w:rsid w:val="004B304E"/>
    <w:rsid w:val="004B3A36"/>
    <w:rsid w:val="004B3DB7"/>
    <w:rsid w:val="004B4954"/>
    <w:rsid w:val="004B661D"/>
    <w:rsid w:val="004B78C0"/>
    <w:rsid w:val="004C0727"/>
    <w:rsid w:val="004C5284"/>
    <w:rsid w:val="004C53BA"/>
    <w:rsid w:val="004C617F"/>
    <w:rsid w:val="004D09D9"/>
    <w:rsid w:val="004D1EF7"/>
    <w:rsid w:val="004D363A"/>
    <w:rsid w:val="004D37DE"/>
    <w:rsid w:val="004D4DC3"/>
    <w:rsid w:val="004D5484"/>
    <w:rsid w:val="004E13D3"/>
    <w:rsid w:val="004E162B"/>
    <w:rsid w:val="004E1B07"/>
    <w:rsid w:val="004E3C16"/>
    <w:rsid w:val="004E4F7C"/>
    <w:rsid w:val="004E5298"/>
    <w:rsid w:val="004E5A31"/>
    <w:rsid w:val="004E66FE"/>
    <w:rsid w:val="004F02D6"/>
    <w:rsid w:val="004F1083"/>
    <w:rsid w:val="004F1623"/>
    <w:rsid w:val="004F1898"/>
    <w:rsid w:val="004F1B0B"/>
    <w:rsid w:val="004F2132"/>
    <w:rsid w:val="004F2E80"/>
    <w:rsid w:val="004F38E5"/>
    <w:rsid w:val="004F4227"/>
    <w:rsid w:val="004F6277"/>
    <w:rsid w:val="00500548"/>
    <w:rsid w:val="00500E1F"/>
    <w:rsid w:val="00500EDD"/>
    <w:rsid w:val="00505B00"/>
    <w:rsid w:val="00505E70"/>
    <w:rsid w:val="00507211"/>
    <w:rsid w:val="00507A69"/>
    <w:rsid w:val="00511A26"/>
    <w:rsid w:val="0051558B"/>
    <w:rsid w:val="005162FB"/>
    <w:rsid w:val="005206FA"/>
    <w:rsid w:val="00522BD5"/>
    <w:rsid w:val="00523C86"/>
    <w:rsid w:val="00523D3B"/>
    <w:rsid w:val="005256F6"/>
    <w:rsid w:val="00527E03"/>
    <w:rsid w:val="00527FC8"/>
    <w:rsid w:val="005328BA"/>
    <w:rsid w:val="00533637"/>
    <w:rsid w:val="005340CA"/>
    <w:rsid w:val="00534FD2"/>
    <w:rsid w:val="005359BE"/>
    <w:rsid w:val="00535CDD"/>
    <w:rsid w:val="00542B93"/>
    <w:rsid w:val="00543C85"/>
    <w:rsid w:val="00547223"/>
    <w:rsid w:val="00550A35"/>
    <w:rsid w:val="00551DCC"/>
    <w:rsid w:val="00552385"/>
    <w:rsid w:val="0055265C"/>
    <w:rsid w:val="0055608A"/>
    <w:rsid w:val="005601AA"/>
    <w:rsid w:val="005605DF"/>
    <w:rsid w:val="00561654"/>
    <w:rsid w:val="00561C8A"/>
    <w:rsid w:val="00565733"/>
    <w:rsid w:val="0056622B"/>
    <w:rsid w:val="00566241"/>
    <w:rsid w:val="00566426"/>
    <w:rsid w:val="00566F71"/>
    <w:rsid w:val="005704E4"/>
    <w:rsid w:val="00570F17"/>
    <w:rsid w:val="005733BD"/>
    <w:rsid w:val="00575E64"/>
    <w:rsid w:val="00577441"/>
    <w:rsid w:val="0057777B"/>
    <w:rsid w:val="00577FAA"/>
    <w:rsid w:val="0058016E"/>
    <w:rsid w:val="005808BD"/>
    <w:rsid w:val="005816F4"/>
    <w:rsid w:val="0058247A"/>
    <w:rsid w:val="00583174"/>
    <w:rsid w:val="005831D2"/>
    <w:rsid w:val="00585276"/>
    <w:rsid w:val="005857BB"/>
    <w:rsid w:val="00585E8E"/>
    <w:rsid w:val="005861C3"/>
    <w:rsid w:val="00586960"/>
    <w:rsid w:val="00586E10"/>
    <w:rsid w:val="0059607C"/>
    <w:rsid w:val="00597F33"/>
    <w:rsid w:val="005A1B69"/>
    <w:rsid w:val="005A23BF"/>
    <w:rsid w:val="005A3598"/>
    <w:rsid w:val="005A4C7A"/>
    <w:rsid w:val="005A4F22"/>
    <w:rsid w:val="005A7AD2"/>
    <w:rsid w:val="005B2D5F"/>
    <w:rsid w:val="005B3005"/>
    <w:rsid w:val="005B420A"/>
    <w:rsid w:val="005B4331"/>
    <w:rsid w:val="005B43E9"/>
    <w:rsid w:val="005B5000"/>
    <w:rsid w:val="005B628C"/>
    <w:rsid w:val="005B69E3"/>
    <w:rsid w:val="005B799E"/>
    <w:rsid w:val="005C341E"/>
    <w:rsid w:val="005C3C19"/>
    <w:rsid w:val="005C42B3"/>
    <w:rsid w:val="005C579F"/>
    <w:rsid w:val="005C59EE"/>
    <w:rsid w:val="005C682A"/>
    <w:rsid w:val="005C6ED3"/>
    <w:rsid w:val="005D0B67"/>
    <w:rsid w:val="005D0B9D"/>
    <w:rsid w:val="005D0E66"/>
    <w:rsid w:val="005D2AE5"/>
    <w:rsid w:val="005D3475"/>
    <w:rsid w:val="005D43E2"/>
    <w:rsid w:val="005E017E"/>
    <w:rsid w:val="005E0D37"/>
    <w:rsid w:val="005E39D8"/>
    <w:rsid w:val="005E492E"/>
    <w:rsid w:val="005E5FE5"/>
    <w:rsid w:val="005F00B9"/>
    <w:rsid w:val="005F07EE"/>
    <w:rsid w:val="005F0E99"/>
    <w:rsid w:val="005F3226"/>
    <w:rsid w:val="005F45AA"/>
    <w:rsid w:val="00600B3A"/>
    <w:rsid w:val="00606D63"/>
    <w:rsid w:val="00610607"/>
    <w:rsid w:val="006106DD"/>
    <w:rsid w:val="00616105"/>
    <w:rsid w:val="0061644E"/>
    <w:rsid w:val="0062113A"/>
    <w:rsid w:val="00621D50"/>
    <w:rsid w:val="00626540"/>
    <w:rsid w:val="006317A0"/>
    <w:rsid w:val="00632538"/>
    <w:rsid w:val="00632AD6"/>
    <w:rsid w:val="0063303A"/>
    <w:rsid w:val="0063342A"/>
    <w:rsid w:val="00633760"/>
    <w:rsid w:val="006406E3"/>
    <w:rsid w:val="0064613B"/>
    <w:rsid w:val="00653F62"/>
    <w:rsid w:val="00654324"/>
    <w:rsid w:val="006546A3"/>
    <w:rsid w:val="0065544C"/>
    <w:rsid w:val="006566F6"/>
    <w:rsid w:val="006602E4"/>
    <w:rsid w:val="00664317"/>
    <w:rsid w:val="00665C53"/>
    <w:rsid w:val="0066658D"/>
    <w:rsid w:val="006666CA"/>
    <w:rsid w:val="006717E4"/>
    <w:rsid w:val="00674E11"/>
    <w:rsid w:val="00677CF8"/>
    <w:rsid w:val="00677D04"/>
    <w:rsid w:val="006819B4"/>
    <w:rsid w:val="00682AF3"/>
    <w:rsid w:val="00686119"/>
    <w:rsid w:val="006864BB"/>
    <w:rsid w:val="006870F4"/>
    <w:rsid w:val="0069053E"/>
    <w:rsid w:val="00690F76"/>
    <w:rsid w:val="00693A75"/>
    <w:rsid w:val="006944CB"/>
    <w:rsid w:val="00694CDE"/>
    <w:rsid w:val="00695AAC"/>
    <w:rsid w:val="00695B32"/>
    <w:rsid w:val="00696FAB"/>
    <w:rsid w:val="006A0F86"/>
    <w:rsid w:val="006A55F5"/>
    <w:rsid w:val="006A684D"/>
    <w:rsid w:val="006A6A8B"/>
    <w:rsid w:val="006B0416"/>
    <w:rsid w:val="006B071D"/>
    <w:rsid w:val="006B5659"/>
    <w:rsid w:val="006C0BE3"/>
    <w:rsid w:val="006C1654"/>
    <w:rsid w:val="006C1FC5"/>
    <w:rsid w:val="006C3194"/>
    <w:rsid w:val="006C393A"/>
    <w:rsid w:val="006C5AA7"/>
    <w:rsid w:val="006C7C5B"/>
    <w:rsid w:val="006D08E7"/>
    <w:rsid w:val="006D1313"/>
    <w:rsid w:val="006D1435"/>
    <w:rsid w:val="006D2D38"/>
    <w:rsid w:val="006D3A7E"/>
    <w:rsid w:val="006D4BF7"/>
    <w:rsid w:val="006D575D"/>
    <w:rsid w:val="006D79E9"/>
    <w:rsid w:val="006E31D6"/>
    <w:rsid w:val="006E5026"/>
    <w:rsid w:val="006F1279"/>
    <w:rsid w:val="006F1F80"/>
    <w:rsid w:val="006F2FEC"/>
    <w:rsid w:val="006F30F8"/>
    <w:rsid w:val="006F3C17"/>
    <w:rsid w:val="006F3D30"/>
    <w:rsid w:val="006F3FC4"/>
    <w:rsid w:val="006F5BDA"/>
    <w:rsid w:val="006F7288"/>
    <w:rsid w:val="00700B64"/>
    <w:rsid w:val="00704418"/>
    <w:rsid w:val="0070563C"/>
    <w:rsid w:val="00707F5A"/>
    <w:rsid w:val="00710E5B"/>
    <w:rsid w:val="00712BDA"/>
    <w:rsid w:val="007150BC"/>
    <w:rsid w:val="0071517D"/>
    <w:rsid w:val="007159C5"/>
    <w:rsid w:val="00715D08"/>
    <w:rsid w:val="007166B8"/>
    <w:rsid w:val="0072006F"/>
    <w:rsid w:val="0072063F"/>
    <w:rsid w:val="00730B37"/>
    <w:rsid w:val="00730FC5"/>
    <w:rsid w:val="007347F0"/>
    <w:rsid w:val="00735392"/>
    <w:rsid w:val="0073686F"/>
    <w:rsid w:val="00736B0A"/>
    <w:rsid w:val="00737072"/>
    <w:rsid w:val="007370AC"/>
    <w:rsid w:val="007375B5"/>
    <w:rsid w:val="00742FB3"/>
    <w:rsid w:val="00745511"/>
    <w:rsid w:val="00750A04"/>
    <w:rsid w:val="007514EA"/>
    <w:rsid w:val="00752CEA"/>
    <w:rsid w:val="00757348"/>
    <w:rsid w:val="00764440"/>
    <w:rsid w:val="0076667F"/>
    <w:rsid w:val="0077066A"/>
    <w:rsid w:val="0077160D"/>
    <w:rsid w:val="0077264C"/>
    <w:rsid w:val="0077304A"/>
    <w:rsid w:val="00773863"/>
    <w:rsid w:val="0077520F"/>
    <w:rsid w:val="007811AC"/>
    <w:rsid w:val="00781A1B"/>
    <w:rsid w:val="00784E94"/>
    <w:rsid w:val="00791CC2"/>
    <w:rsid w:val="00792D39"/>
    <w:rsid w:val="00793717"/>
    <w:rsid w:val="00795FA7"/>
    <w:rsid w:val="007967C9"/>
    <w:rsid w:val="00797A19"/>
    <w:rsid w:val="007A19EE"/>
    <w:rsid w:val="007A39CC"/>
    <w:rsid w:val="007A486B"/>
    <w:rsid w:val="007A4AAC"/>
    <w:rsid w:val="007A4FCE"/>
    <w:rsid w:val="007B0639"/>
    <w:rsid w:val="007B18DE"/>
    <w:rsid w:val="007B3D75"/>
    <w:rsid w:val="007B5B6C"/>
    <w:rsid w:val="007B74A8"/>
    <w:rsid w:val="007C0169"/>
    <w:rsid w:val="007C02B7"/>
    <w:rsid w:val="007C2FA6"/>
    <w:rsid w:val="007C37AC"/>
    <w:rsid w:val="007C5325"/>
    <w:rsid w:val="007D1639"/>
    <w:rsid w:val="007D435E"/>
    <w:rsid w:val="007D53DB"/>
    <w:rsid w:val="007D6204"/>
    <w:rsid w:val="007D77D4"/>
    <w:rsid w:val="007D7FE9"/>
    <w:rsid w:val="007E046A"/>
    <w:rsid w:val="007E0B7F"/>
    <w:rsid w:val="007E2BBC"/>
    <w:rsid w:val="007E3E87"/>
    <w:rsid w:val="007E3F62"/>
    <w:rsid w:val="007E5612"/>
    <w:rsid w:val="007E5A95"/>
    <w:rsid w:val="007F1635"/>
    <w:rsid w:val="007F1DF3"/>
    <w:rsid w:val="007F3991"/>
    <w:rsid w:val="007F5512"/>
    <w:rsid w:val="007F5621"/>
    <w:rsid w:val="007F72FD"/>
    <w:rsid w:val="008006FC"/>
    <w:rsid w:val="008007C5"/>
    <w:rsid w:val="00802041"/>
    <w:rsid w:val="008034FE"/>
    <w:rsid w:val="00803D46"/>
    <w:rsid w:val="008114DE"/>
    <w:rsid w:val="00812D26"/>
    <w:rsid w:val="008140D2"/>
    <w:rsid w:val="00817866"/>
    <w:rsid w:val="0082034C"/>
    <w:rsid w:val="00822E68"/>
    <w:rsid w:val="00823867"/>
    <w:rsid w:val="0082572E"/>
    <w:rsid w:val="00826AC2"/>
    <w:rsid w:val="00827CC8"/>
    <w:rsid w:val="00827F29"/>
    <w:rsid w:val="0083199C"/>
    <w:rsid w:val="00833FD6"/>
    <w:rsid w:val="0083430E"/>
    <w:rsid w:val="00835B03"/>
    <w:rsid w:val="00835FB0"/>
    <w:rsid w:val="0084193B"/>
    <w:rsid w:val="00841F54"/>
    <w:rsid w:val="008424D6"/>
    <w:rsid w:val="008424D9"/>
    <w:rsid w:val="008425C3"/>
    <w:rsid w:val="00842D09"/>
    <w:rsid w:val="00843770"/>
    <w:rsid w:val="00843F0C"/>
    <w:rsid w:val="008461A6"/>
    <w:rsid w:val="008500CF"/>
    <w:rsid w:val="00851858"/>
    <w:rsid w:val="00852589"/>
    <w:rsid w:val="00852CE5"/>
    <w:rsid w:val="00852D4B"/>
    <w:rsid w:val="00853E9E"/>
    <w:rsid w:val="0085461F"/>
    <w:rsid w:val="0085607B"/>
    <w:rsid w:val="008610B4"/>
    <w:rsid w:val="008619E8"/>
    <w:rsid w:val="00861A4C"/>
    <w:rsid w:val="00861AD4"/>
    <w:rsid w:val="008624B4"/>
    <w:rsid w:val="00863408"/>
    <w:rsid w:val="0086408D"/>
    <w:rsid w:val="008649D1"/>
    <w:rsid w:val="00865321"/>
    <w:rsid w:val="00866103"/>
    <w:rsid w:val="00870256"/>
    <w:rsid w:val="0087413B"/>
    <w:rsid w:val="00876B50"/>
    <w:rsid w:val="00880897"/>
    <w:rsid w:val="00880F63"/>
    <w:rsid w:val="0088269B"/>
    <w:rsid w:val="00882F7D"/>
    <w:rsid w:val="008833EB"/>
    <w:rsid w:val="00887BDE"/>
    <w:rsid w:val="008919D2"/>
    <w:rsid w:val="008943CB"/>
    <w:rsid w:val="008975C0"/>
    <w:rsid w:val="008A1227"/>
    <w:rsid w:val="008A147E"/>
    <w:rsid w:val="008A15C8"/>
    <w:rsid w:val="008B0E89"/>
    <w:rsid w:val="008C13CB"/>
    <w:rsid w:val="008C1AE0"/>
    <w:rsid w:val="008C3D2F"/>
    <w:rsid w:val="008C684D"/>
    <w:rsid w:val="008C6E2B"/>
    <w:rsid w:val="008D0052"/>
    <w:rsid w:val="008D1405"/>
    <w:rsid w:val="008D22EB"/>
    <w:rsid w:val="008D265B"/>
    <w:rsid w:val="008D3E5F"/>
    <w:rsid w:val="008D3F65"/>
    <w:rsid w:val="008D49AD"/>
    <w:rsid w:val="008D60F1"/>
    <w:rsid w:val="008D74B4"/>
    <w:rsid w:val="008E230C"/>
    <w:rsid w:val="008E24AA"/>
    <w:rsid w:val="008E2739"/>
    <w:rsid w:val="008E2AFD"/>
    <w:rsid w:val="008E4754"/>
    <w:rsid w:val="008E5D30"/>
    <w:rsid w:val="008E766F"/>
    <w:rsid w:val="008F0F4E"/>
    <w:rsid w:val="008F4A8C"/>
    <w:rsid w:val="008F53C5"/>
    <w:rsid w:val="008F6F08"/>
    <w:rsid w:val="00900480"/>
    <w:rsid w:val="0090072C"/>
    <w:rsid w:val="00900EA9"/>
    <w:rsid w:val="009014B6"/>
    <w:rsid w:val="0090327B"/>
    <w:rsid w:val="00903933"/>
    <w:rsid w:val="009072A1"/>
    <w:rsid w:val="00907629"/>
    <w:rsid w:val="009123EF"/>
    <w:rsid w:val="00912D06"/>
    <w:rsid w:val="009141EA"/>
    <w:rsid w:val="00917B0D"/>
    <w:rsid w:val="00917D1D"/>
    <w:rsid w:val="00917EA9"/>
    <w:rsid w:val="00921C59"/>
    <w:rsid w:val="00923124"/>
    <w:rsid w:val="009232E7"/>
    <w:rsid w:val="00924026"/>
    <w:rsid w:val="00924846"/>
    <w:rsid w:val="009266BB"/>
    <w:rsid w:val="00926AE7"/>
    <w:rsid w:val="0093059C"/>
    <w:rsid w:val="00933820"/>
    <w:rsid w:val="00934C7F"/>
    <w:rsid w:val="009360B0"/>
    <w:rsid w:val="00936AE6"/>
    <w:rsid w:val="009419FE"/>
    <w:rsid w:val="00941DF2"/>
    <w:rsid w:val="0094580E"/>
    <w:rsid w:val="00946812"/>
    <w:rsid w:val="00946ACE"/>
    <w:rsid w:val="009474C8"/>
    <w:rsid w:val="00947E6A"/>
    <w:rsid w:val="00951C52"/>
    <w:rsid w:val="00951FFE"/>
    <w:rsid w:val="0095280A"/>
    <w:rsid w:val="0095282A"/>
    <w:rsid w:val="009553A1"/>
    <w:rsid w:val="00957E6E"/>
    <w:rsid w:val="009612F5"/>
    <w:rsid w:val="0096145D"/>
    <w:rsid w:val="0096343D"/>
    <w:rsid w:val="009674FF"/>
    <w:rsid w:val="009706DB"/>
    <w:rsid w:val="00970869"/>
    <w:rsid w:val="00970DBB"/>
    <w:rsid w:val="00971129"/>
    <w:rsid w:val="009712B1"/>
    <w:rsid w:val="00973D08"/>
    <w:rsid w:val="00976287"/>
    <w:rsid w:val="00980854"/>
    <w:rsid w:val="00982CF2"/>
    <w:rsid w:val="00985BFE"/>
    <w:rsid w:val="0098629F"/>
    <w:rsid w:val="00986C36"/>
    <w:rsid w:val="00990198"/>
    <w:rsid w:val="00990C98"/>
    <w:rsid w:val="00991962"/>
    <w:rsid w:val="00992DC3"/>
    <w:rsid w:val="0099394E"/>
    <w:rsid w:val="00996A2F"/>
    <w:rsid w:val="009A1AD2"/>
    <w:rsid w:val="009A2A11"/>
    <w:rsid w:val="009A3C1F"/>
    <w:rsid w:val="009A5A19"/>
    <w:rsid w:val="009A7875"/>
    <w:rsid w:val="009B0273"/>
    <w:rsid w:val="009B31E3"/>
    <w:rsid w:val="009B3B7D"/>
    <w:rsid w:val="009B49BF"/>
    <w:rsid w:val="009B6C78"/>
    <w:rsid w:val="009C1E4C"/>
    <w:rsid w:val="009C468B"/>
    <w:rsid w:val="009C6CA4"/>
    <w:rsid w:val="009C73B1"/>
    <w:rsid w:val="009C7CF3"/>
    <w:rsid w:val="009D0E03"/>
    <w:rsid w:val="009D426A"/>
    <w:rsid w:val="009D5BFF"/>
    <w:rsid w:val="009D6F2D"/>
    <w:rsid w:val="009D7B61"/>
    <w:rsid w:val="009E0652"/>
    <w:rsid w:val="009E461B"/>
    <w:rsid w:val="009E57AC"/>
    <w:rsid w:val="009F07DF"/>
    <w:rsid w:val="009F35DB"/>
    <w:rsid w:val="009F6981"/>
    <w:rsid w:val="00A0013D"/>
    <w:rsid w:val="00A00146"/>
    <w:rsid w:val="00A00191"/>
    <w:rsid w:val="00A00432"/>
    <w:rsid w:val="00A00F98"/>
    <w:rsid w:val="00A04506"/>
    <w:rsid w:val="00A067DF"/>
    <w:rsid w:val="00A0745A"/>
    <w:rsid w:val="00A07522"/>
    <w:rsid w:val="00A07BD0"/>
    <w:rsid w:val="00A11EDC"/>
    <w:rsid w:val="00A13943"/>
    <w:rsid w:val="00A15252"/>
    <w:rsid w:val="00A154DD"/>
    <w:rsid w:val="00A1594A"/>
    <w:rsid w:val="00A17843"/>
    <w:rsid w:val="00A20E94"/>
    <w:rsid w:val="00A216D7"/>
    <w:rsid w:val="00A242CE"/>
    <w:rsid w:val="00A258E3"/>
    <w:rsid w:val="00A25E72"/>
    <w:rsid w:val="00A27144"/>
    <w:rsid w:val="00A30401"/>
    <w:rsid w:val="00A3094A"/>
    <w:rsid w:val="00A31A4F"/>
    <w:rsid w:val="00A31F6C"/>
    <w:rsid w:val="00A33503"/>
    <w:rsid w:val="00A33ECD"/>
    <w:rsid w:val="00A34148"/>
    <w:rsid w:val="00A36344"/>
    <w:rsid w:val="00A36869"/>
    <w:rsid w:val="00A409ED"/>
    <w:rsid w:val="00A41592"/>
    <w:rsid w:val="00A43E2D"/>
    <w:rsid w:val="00A44D28"/>
    <w:rsid w:val="00A45076"/>
    <w:rsid w:val="00A45F98"/>
    <w:rsid w:val="00A47A0A"/>
    <w:rsid w:val="00A508CB"/>
    <w:rsid w:val="00A535C1"/>
    <w:rsid w:val="00A53B14"/>
    <w:rsid w:val="00A54673"/>
    <w:rsid w:val="00A55999"/>
    <w:rsid w:val="00A60255"/>
    <w:rsid w:val="00A602FB"/>
    <w:rsid w:val="00A615B9"/>
    <w:rsid w:val="00A637E6"/>
    <w:rsid w:val="00A64523"/>
    <w:rsid w:val="00A65E89"/>
    <w:rsid w:val="00A730FF"/>
    <w:rsid w:val="00A73C07"/>
    <w:rsid w:val="00A74E25"/>
    <w:rsid w:val="00A75706"/>
    <w:rsid w:val="00A75810"/>
    <w:rsid w:val="00A7697D"/>
    <w:rsid w:val="00A82F45"/>
    <w:rsid w:val="00A834E4"/>
    <w:rsid w:val="00A841C6"/>
    <w:rsid w:val="00A905C6"/>
    <w:rsid w:val="00A91409"/>
    <w:rsid w:val="00A94111"/>
    <w:rsid w:val="00A94238"/>
    <w:rsid w:val="00A95F48"/>
    <w:rsid w:val="00AA105F"/>
    <w:rsid w:val="00AA1892"/>
    <w:rsid w:val="00AA1E0F"/>
    <w:rsid w:val="00AA26CE"/>
    <w:rsid w:val="00AA5212"/>
    <w:rsid w:val="00AA5C61"/>
    <w:rsid w:val="00AA5C9B"/>
    <w:rsid w:val="00AA69B4"/>
    <w:rsid w:val="00AA7538"/>
    <w:rsid w:val="00AB24F0"/>
    <w:rsid w:val="00AB61A6"/>
    <w:rsid w:val="00AB6CB4"/>
    <w:rsid w:val="00AC26CF"/>
    <w:rsid w:val="00AC34C3"/>
    <w:rsid w:val="00AC4A0A"/>
    <w:rsid w:val="00AC4ED9"/>
    <w:rsid w:val="00AC53CB"/>
    <w:rsid w:val="00AC577A"/>
    <w:rsid w:val="00AC7915"/>
    <w:rsid w:val="00AC7ABA"/>
    <w:rsid w:val="00AD09DB"/>
    <w:rsid w:val="00AD3BC6"/>
    <w:rsid w:val="00AD42FD"/>
    <w:rsid w:val="00AD5AE3"/>
    <w:rsid w:val="00AD6667"/>
    <w:rsid w:val="00AD66EF"/>
    <w:rsid w:val="00AD6BCB"/>
    <w:rsid w:val="00AE16D0"/>
    <w:rsid w:val="00AE1FD3"/>
    <w:rsid w:val="00AE22E5"/>
    <w:rsid w:val="00AE26C4"/>
    <w:rsid w:val="00AE2703"/>
    <w:rsid w:val="00AE3124"/>
    <w:rsid w:val="00AE3D8A"/>
    <w:rsid w:val="00AE4CF4"/>
    <w:rsid w:val="00AE5382"/>
    <w:rsid w:val="00AE6B0B"/>
    <w:rsid w:val="00AE6C2C"/>
    <w:rsid w:val="00AE6FEA"/>
    <w:rsid w:val="00AF1A6C"/>
    <w:rsid w:val="00AF7BDD"/>
    <w:rsid w:val="00B00B4E"/>
    <w:rsid w:val="00B02B61"/>
    <w:rsid w:val="00B02FF7"/>
    <w:rsid w:val="00B04E96"/>
    <w:rsid w:val="00B06A68"/>
    <w:rsid w:val="00B07297"/>
    <w:rsid w:val="00B073EA"/>
    <w:rsid w:val="00B106A9"/>
    <w:rsid w:val="00B10F5F"/>
    <w:rsid w:val="00B11418"/>
    <w:rsid w:val="00B11F18"/>
    <w:rsid w:val="00B17295"/>
    <w:rsid w:val="00B17955"/>
    <w:rsid w:val="00B17F77"/>
    <w:rsid w:val="00B21219"/>
    <w:rsid w:val="00B258AE"/>
    <w:rsid w:val="00B26A4C"/>
    <w:rsid w:val="00B27E2B"/>
    <w:rsid w:val="00B30DF9"/>
    <w:rsid w:val="00B31F8B"/>
    <w:rsid w:val="00B32C65"/>
    <w:rsid w:val="00B333C5"/>
    <w:rsid w:val="00B33F6C"/>
    <w:rsid w:val="00B34AC5"/>
    <w:rsid w:val="00B3561D"/>
    <w:rsid w:val="00B4012D"/>
    <w:rsid w:val="00B40F47"/>
    <w:rsid w:val="00B419B4"/>
    <w:rsid w:val="00B42BF3"/>
    <w:rsid w:val="00B430F9"/>
    <w:rsid w:val="00B4349E"/>
    <w:rsid w:val="00B45B85"/>
    <w:rsid w:val="00B470CF"/>
    <w:rsid w:val="00B5016C"/>
    <w:rsid w:val="00B50913"/>
    <w:rsid w:val="00B513FF"/>
    <w:rsid w:val="00B517B8"/>
    <w:rsid w:val="00B51A1E"/>
    <w:rsid w:val="00B51CBA"/>
    <w:rsid w:val="00B521EB"/>
    <w:rsid w:val="00B5391E"/>
    <w:rsid w:val="00B53A19"/>
    <w:rsid w:val="00B540DA"/>
    <w:rsid w:val="00B56449"/>
    <w:rsid w:val="00B5702D"/>
    <w:rsid w:val="00B603E3"/>
    <w:rsid w:val="00B61F6F"/>
    <w:rsid w:val="00B644DD"/>
    <w:rsid w:val="00B6529E"/>
    <w:rsid w:val="00B66AC7"/>
    <w:rsid w:val="00B6762A"/>
    <w:rsid w:val="00B711B0"/>
    <w:rsid w:val="00B730C3"/>
    <w:rsid w:val="00B73292"/>
    <w:rsid w:val="00B8093F"/>
    <w:rsid w:val="00B8260B"/>
    <w:rsid w:val="00B82FE7"/>
    <w:rsid w:val="00B830F2"/>
    <w:rsid w:val="00B838C2"/>
    <w:rsid w:val="00B90284"/>
    <w:rsid w:val="00B92331"/>
    <w:rsid w:val="00B92CD7"/>
    <w:rsid w:val="00B92CE9"/>
    <w:rsid w:val="00B93A34"/>
    <w:rsid w:val="00B94DA0"/>
    <w:rsid w:val="00B94E6D"/>
    <w:rsid w:val="00B95EAD"/>
    <w:rsid w:val="00B9626B"/>
    <w:rsid w:val="00BA0FFB"/>
    <w:rsid w:val="00BA498A"/>
    <w:rsid w:val="00BA574A"/>
    <w:rsid w:val="00BA590E"/>
    <w:rsid w:val="00BA6EBE"/>
    <w:rsid w:val="00BA746F"/>
    <w:rsid w:val="00BA77DC"/>
    <w:rsid w:val="00BB4CFF"/>
    <w:rsid w:val="00BB74CE"/>
    <w:rsid w:val="00BB7712"/>
    <w:rsid w:val="00BC1FF8"/>
    <w:rsid w:val="00BC24BE"/>
    <w:rsid w:val="00BC2760"/>
    <w:rsid w:val="00BC4843"/>
    <w:rsid w:val="00BD2999"/>
    <w:rsid w:val="00BD4FE3"/>
    <w:rsid w:val="00BD70D0"/>
    <w:rsid w:val="00BE0485"/>
    <w:rsid w:val="00BE3459"/>
    <w:rsid w:val="00BE3640"/>
    <w:rsid w:val="00BE5F99"/>
    <w:rsid w:val="00BE7DD9"/>
    <w:rsid w:val="00BE7E5C"/>
    <w:rsid w:val="00BF08C8"/>
    <w:rsid w:val="00BF21FC"/>
    <w:rsid w:val="00BF3E6C"/>
    <w:rsid w:val="00BF42FB"/>
    <w:rsid w:val="00BF5970"/>
    <w:rsid w:val="00BF7280"/>
    <w:rsid w:val="00BF77B8"/>
    <w:rsid w:val="00BF7B09"/>
    <w:rsid w:val="00C009B8"/>
    <w:rsid w:val="00C01870"/>
    <w:rsid w:val="00C01B3D"/>
    <w:rsid w:val="00C05422"/>
    <w:rsid w:val="00C057CB"/>
    <w:rsid w:val="00C062B5"/>
    <w:rsid w:val="00C0683B"/>
    <w:rsid w:val="00C06BB9"/>
    <w:rsid w:val="00C11CA3"/>
    <w:rsid w:val="00C13226"/>
    <w:rsid w:val="00C14053"/>
    <w:rsid w:val="00C14909"/>
    <w:rsid w:val="00C152CD"/>
    <w:rsid w:val="00C2037A"/>
    <w:rsid w:val="00C207E6"/>
    <w:rsid w:val="00C22811"/>
    <w:rsid w:val="00C23D00"/>
    <w:rsid w:val="00C24388"/>
    <w:rsid w:val="00C244F5"/>
    <w:rsid w:val="00C26372"/>
    <w:rsid w:val="00C30BFA"/>
    <w:rsid w:val="00C31CBB"/>
    <w:rsid w:val="00C34D70"/>
    <w:rsid w:val="00C34F83"/>
    <w:rsid w:val="00C36214"/>
    <w:rsid w:val="00C37F62"/>
    <w:rsid w:val="00C41B96"/>
    <w:rsid w:val="00C41D8A"/>
    <w:rsid w:val="00C43EB2"/>
    <w:rsid w:val="00C4674B"/>
    <w:rsid w:val="00C472F7"/>
    <w:rsid w:val="00C51589"/>
    <w:rsid w:val="00C5384B"/>
    <w:rsid w:val="00C54403"/>
    <w:rsid w:val="00C56247"/>
    <w:rsid w:val="00C61663"/>
    <w:rsid w:val="00C62A70"/>
    <w:rsid w:val="00C64E4F"/>
    <w:rsid w:val="00C6695F"/>
    <w:rsid w:val="00C66DF5"/>
    <w:rsid w:val="00C67877"/>
    <w:rsid w:val="00C67BEF"/>
    <w:rsid w:val="00C71AE0"/>
    <w:rsid w:val="00C8042B"/>
    <w:rsid w:val="00C83967"/>
    <w:rsid w:val="00C849D8"/>
    <w:rsid w:val="00C87FD0"/>
    <w:rsid w:val="00C9232A"/>
    <w:rsid w:val="00C92DBD"/>
    <w:rsid w:val="00C93202"/>
    <w:rsid w:val="00C946FB"/>
    <w:rsid w:val="00C94ED9"/>
    <w:rsid w:val="00C954E5"/>
    <w:rsid w:val="00C96959"/>
    <w:rsid w:val="00C97D2E"/>
    <w:rsid w:val="00CA2B5E"/>
    <w:rsid w:val="00CA747A"/>
    <w:rsid w:val="00CB0896"/>
    <w:rsid w:val="00CB13F6"/>
    <w:rsid w:val="00CB1660"/>
    <w:rsid w:val="00CB1CE6"/>
    <w:rsid w:val="00CB2E9C"/>
    <w:rsid w:val="00CB3BA5"/>
    <w:rsid w:val="00CB3E13"/>
    <w:rsid w:val="00CB440F"/>
    <w:rsid w:val="00CB67EA"/>
    <w:rsid w:val="00CB782A"/>
    <w:rsid w:val="00CC0EFB"/>
    <w:rsid w:val="00CC5257"/>
    <w:rsid w:val="00CC5B33"/>
    <w:rsid w:val="00CC6C86"/>
    <w:rsid w:val="00CD06CF"/>
    <w:rsid w:val="00CD06FE"/>
    <w:rsid w:val="00CD0DFB"/>
    <w:rsid w:val="00CD131C"/>
    <w:rsid w:val="00CD6F1B"/>
    <w:rsid w:val="00CD7E88"/>
    <w:rsid w:val="00CE0434"/>
    <w:rsid w:val="00CE1929"/>
    <w:rsid w:val="00CE19AC"/>
    <w:rsid w:val="00CE43C8"/>
    <w:rsid w:val="00CE4BA2"/>
    <w:rsid w:val="00CE4D23"/>
    <w:rsid w:val="00CE558C"/>
    <w:rsid w:val="00CE592A"/>
    <w:rsid w:val="00CE7AF9"/>
    <w:rsid w:val="00CF1131"/>
    <w:rsid w:val="00CF2A15"/>
    <w:rsid w:val="00CF33DA"/>
    <w:rsid w:val="00D00102"/>
    <w:rsid w:val="00D02CFB"/>
    <w:rsid w:val="00D03710"/>
    <w:rsid w:val="00D043D4"/>
    <w:rsid w:val="00D10809"/>
    <w:rsid w:val="00D1105C"/>
    <w:rsid w:val="00D114F4"/>
    <w:rsid w:val="00D1158A"/>
    <w:rsid w:val="00D153A4"/>
    <w:rsid w:val="00D20DB8"/>
    <w:rsid w:val="00D21DF8"/>
    <w:rsid w:val="00D22065"/>
    <w:rsid w:val="00D226A9"/>
    <w:rsid w:val="00D227CE"/>
    <w:rsid w:val="00D22DB6"/>
    <w:rsid w:val="00D2319F"/>
    <w:rsid w:val="00D23789"/>
    <w:rsid w:val="00D25167"/>
    <w:rsid w:val="00D25321"/>
    <w:rsid w:val="00D25624"/>
    <w:rsid w:val="00D267DA"/>
    <w:rsid w:val="00D26CC2"/>
    <w:rsid w:val="00D274AA"/>
    <w:rsid w:val="00D275AA"/>
    <w:rsid w:val="00D30B9E"/>
    <w:rsid w:val="00D32289"/>
    <w:rsid w:val="00D3316C"/>
    <w:rsid w:val="00D35B11"/>
    <w:rsid w:val="00D41245"/>
    <w:rsid w:val="00D41F51"/>
    <w:rsid w:val="00D432A7"/>
    <w:rsid w:val="00D4661A"/>
    <w:rsid w:val="00D47077"/>
    <w:rsid w:val="00D47FEC"/>
    <w:rsid w:val="00D50DA2"/>
    <w:rsid w:val="00D50FB5"/>
    <w:rsid w:val="00D5161F"/>
    <w:rsid w:val="00D51845"/>
    <w:rsid w:val="00D52C72"/>
    <w:rsid w:val="00D52E95"/>
    <w:rsid w:val="00D54584"/>
    <w:rsid w:val="00D55465"/>
    <w:rsid w:val="00D55EC6"/>
    <w:rsid w:val="00D57EB6"/>
    <w:rsid w:val="00D60548"/>
    <w:rsid w:val="00D60756"/>
    <w:rsid w:val="00D62AF0"/>
    <w:rsid w:val="00D644D2"/>
    <w:rsid w:val="00D66FB6"/>
    <w:rsid w:val="00D70175"/>
    <w:rsid w:val="00D71772"/>
    <w:rsid w:val="00D7535B"/>
    <w:rsid w:val="00D7752E"/>
    <w:rsid w:val="00D82119"/>
    <w:rsid w:val="00D842B5"/>
    <w:rsid w:val="00D843E8"/>
    <w:rsid w:val="00D84E0B"/>
    <w:rsid w:val="00D861E4"/>
    <w:rsid w:val="00D866F7"/>
    <w:rsid w:val="00D86C1C"/>
    <w:rsid w:val="00D90403"/>
    <w:rsid w:val="00D90DC3"/>
    <w:rsid w:val="00D91141"/>
    <w:rsid w:val="00D91502"/>
    <w:rsid w:val="00D9435F"/>
    <w:rsid w:val="00D949DB"/>
    <w:rsid w:val="00D94F40"/>
    <w:rsid w:val="00D950A1"/>
    <w:rsid w:val="00D958EE"/>
    <w:rsid w:val="00D95956"/>
    <w:rsid w:val="00D95FB8"/>
    <w:rsid w:val="00DA0156"/>
    <w:rsid w:val="00DA0AB9"/>
    <w:rsid w:val="00DA187D"/>
    <w:rsid w:val="00DA2327"/>
    <w:rsid w:val="00DA2B65"/>
    <w:rsid w:val="00DA38E0"/>
    <w:rsid w:val="00DA4D0C"/>
    <w:rsid w:val="00DA6AD3"/>
    <w:rsid w:val="00DB0202"/>
    <w:rsid w:val="00DB1EE3"/>
    <w:rsid w:val="00DC0FC1"/>
    <w:rsid w:val="00DC683D"/>
    <w:rsid w:val="00DC6D22"/>
    <w:rsid w:val="00DC79F5"/>
    <w:rsid w:val="00DC7B87"/>
    <w:rsid w:val="00DD22BF"/>
    <w:rsid w:val="00DD264A"/>
    <w:rsid w:val="00DD2BDA"/>
    <w:rsid w:val="00DD3F50"/>
    <w:rsid w:val="00DD4465"/>
    <w:rsid w:val="00DD4CB5"/>
    <w:rsid w:val="00DD6CBE"/>
    <w:rsid w:val="00DD75C4"/>
    <w:rsid w:val="00DD7707"/>
    <w:rsid w:val="00DE73D2"/>
    <w:rsid w:val="00DE7A09"/>
    <w:rsid w:val="00DE7CEE"/>
    <w:rsid w:val="00DF066F"/>
    <w:rsid w:val="00DF13F6"/>
    <w:rsid w:val="00DF217D"/>
    <w:rsid w:val="00DF4FD2"/>
    <w:rsid w:val="00DF5668"/>
    <w:rsid w:val="00E0298A"/>
    <w:rsid w:val="00E02B1A"/>
    <w:rsid w:val="00E02B29"/>
    <w:rsid w:val="00E03116"/>
    <w:rsid w:val="00E03477"/>
    <w:rsid w:val="00E047DA"/>
    <w:rsid w:val="00E06954"/>
    <w:rsid w:val="00E06CC3"/>
    <w:rsid w:val="00E15354"/>
    <w:rsid w:val="00E158E8"/>
    <w:rsid w:val="00E16B64"/>
    <w:rsid w:val="00E20B01"/>
    <w:rsid w:val="00E2295D"/>
    <w:rsid w:val="00E26177"/>
    <w:rsid w:val="00E265AC"/>
    <w:rsid w:val="00E27BC6"/>
    <w:rsid w:val="00E27EDD"/>
    <w:rsid w:val="00E27FB1"/>
    <w:rsid w:val="00E37E9E"/>
    <w:rsid w:val="00E4029E"/>
    <w:rsid w:val="00E42AF7"/>
    <w:rsid w:val="00E43176"/>
    <w:rsid w:val="00E44A72"/>
    <w:rsid w:val="00E45B3F"/>
    <w:rsid w:val="00E503FD"/>
    <w:rsid w:val="00E5073A"/>
    <w:rsid w:val="00E5331A"/>
    <w:rsid w:val="00E53B67"/>
    <w:rsid w:val="00E558DC"/>
    <w:rsid w:val="00E60CC9"/>
    <w:rsid w:val="00E61BDE"/>
    <w:rsid w:val="00E6266E"/>
    <w:rsid w:val="00E62944"/>
    <w:rsid w:val="00E64265"/>
    <w:rsid w:val="00E64713"/>
    <w:rsid w:val="00E65293"/>
    <w:rsid w:val="00E668ED"/>
    <w:rsid w:val="00E70C79"/>
    <w:rsid w:val="00E7273B"/>
    <w:rsid w:val="00E739F4"/>
    <w:rsid w:val="00E74038"/>
    <w:rsid w:val="00E7508F"/>
    <w:rsid w:val="00E75A78"/>
    <w:rsid w:val="00E77AEA"/>
    <w:rsid w:val="00E82A9D"/>
    <w:rsid w:val="00E831C1"/>
    <w:rsid w:val="00E8565D"/>
    <w:rsid w:val="00E876AF"/>
    <w:rsid w:val="00E90778"/>
    <w:rsid w:val="00E9172D"/>
    <w:rsid w:val="00E92794"/>
    <w:rsid w:val="00E942D5"/>
    <w:rsid w:val="00E94991"/>
    <w:rsid w:val="00E9511C"/>
    <w:rsid w:val="00E96831"/>
    <w:rsid w:val="00E96AF9"/>
    <w:rsid w:val="00E971A5"/>
    <w:rsid w:val="00EA1627"/>
    <w:rsid w:val="00EA47A3"/>
    <w:rsid w:val="00EA4EB2"/>
    <w:rsid w:val="00EA5D95"/>
    <w:rsid w:val="00EA7732"/>
    <w:rsid w:val="00EB10EA"/>
    <w:rsid w:val="00EB1FF8"/>
    <w:rsid w:val="00EB2870"/>
    <w:rsid w:val="00EB2B02"/>
    <w:rsid w:val="00EB4872"/>
    <w:rsid w:val="00EB5652"/>
    <w:rsid w:val="00EC1963"/>
    <w:rsid w:val="00EC25BA"/>
    <w:rsid w:val="00EC290C"/>
    <w:rsid w:val="00EC3EF8"/>
    <w:rsid w:val="00EC4CD7"/>
    <w:rsid w:val="00EC75E1"/>
    <w:rsid w:val="00EC775D"/>
    <w:rsid w:val="00EC7F09"/>
    <w:rsid w:val="00ED1613"/>
    <w:rsid w:val="00ED2972"/>
    <w:rsid w:val="00ED36BA"/>
    <w:rsid w:val="00ED3D3C"/>
    <w:rsid w:val="00ED5AAA"/>
    <w:rsid w:val="00ED778A"/>
    <w:rsid w:val="00EE00C2"/>
    <w:rsid w:val="00EE02EA"/>
    <w:rsid w:val="00EE0818"/>
    <w:rsid w:val="00EE19EE"/>
    <w:rsid w:val="00EE1ADE"/>
    <w:rsid w:val="00EE390C"/>
    <w:rsid w:val="00EE3CBF"/>
    <w:rsid w:val="00EF1B50"/>
    <w:rsid w:val="00EF275D"/>
    <w:rsid w:val="00F01CAA"/>
    <w:rsid w:val="00F069C1"/>
    <w:rsid w:val="00F071D4"/>
    <w:rsid w:val="00F10728"/>
    <w:rsid w:val="00F12A48"/>
    <w:rsid w:val="00F130C4"/>
    <w:rsid w:val="00F131BC"/>
    <w:rsid w:val="00F153CB"/>
    <w:rsid w:val="00F1671F"/>
    <w:rsid w:val="00F17A78"/>
    <w:rsid w:val="00F20CF2"/>
    <w:rsid w:val="00F275DE"/>
    <w:rsid w:val="00F3028E"/>
    <w:rsid w:val="00F307C3"/>
    <w:rsid w:val="00F314B7"/>
    <w:rsid w:val="00F3784C"/>
    <w:rsid w:val="00F46368"/>
    <w:rsid w:val="00F4693F"/>
    <w:rsid w:val="00F47748"/>
    <w:rsid w:val="00F47A70"/>
    <w:rsid w:val="00F50B0E"/>
    <w:rsid w:val="00F53A6E"/>
    <w:rsid w:val="00F54757"/>
    <w:rsid w:val="00F555AC"/>
    <w:rsid w:val="00F567B9"/>
    <w:rsid w:val="00F6115E"/>
    <w:rsid w:val="00F634F4"/>
    <w:rsid w:val="00F6684E"/>
    <w:rsid w:val="00F66D02"/>
    <w:rsid w:val="00F671B4"/>
    <w:rsid w:val="00F73812"/>
    <w:rsid w:val="00F74A34"/>
    <w:rsid w:val="00F776BE"/>
    <w:rsid w:val="00F8030E"/>
    <w:rsid w:val="00F81C9D"/>
    <w:rsid w:val="00F81E93"/>
    <w:rsid w:val="00F82CFF"/>
    <w:rsid w:val="00F84F25"/>
    <w:rsid w:val="00F8694E"/>
    <w:rsid w:val="00F87AD7"/>
    <w:rsid w:val="00F90B37"/>
    <w:rsid w:val="00F918AE"/>
    <w:rsid w:val="00F91CB4"/>
    <w:rsid w:val="00F94667"/>
    <w:rsid w:val="00F9647A"/>
    <w:rsid w:val="00F9682C"/>
    <w:rsid w:val="00F973E6"/>
    <w:rsid w:val="00FA3859"/>
    <w:rsid w:val="00FA39E5"/>
    <w:rsid w:val="00FA5DC4"/>
    <w:rsid w:val="00FB0F20"/>
    <w:rsid w:val="00FB1E64"/>
    <w:rsid w:val="00FB3786"/>
    <w:rsid w:val="00FB3F7B"/>
    <w:rsid w:val="00FB4D47"/>
    <w:rsid w:val="00FB51B3"/>
    <w:rsid w:val="00FC19B2"/>
    <w:rsid w:val="00FC2E91"/>
    <w:rsid w:val="00FC2EFD"/>
    <w:rsid w:val="00FC4D73"/>
    <w:rsid w:val="00FC6C37"/>
    <w:rsid w:val="00FC725B"/>
    <w:rsid w:val="00FD1761"/>
    <w:rsid w:val="00FD1D03"/>
    <w:rsid w:val="00FD793C"/>
    <w:rsid w:val="00FE0744"/>
    <w:rsid w:val="00FE2094"/>
    <w:rsid w:val="00FE3A99"/>
    <w:rsid w:val="00FE3F41"/>
    <w:rsid w:val="00FE50E8"/>
    <w:rsid w:val="00FE6854"/>
    <w:rsid w:val="00FE68AC"/>
    <w:rsid w:val="00FE71AC"/>
    <w:rsid w:val="00FE79F7"/>
    <w:rsid w:val="00FF1525"/>
    <w:rsid w:val="00FF3B26"/>
    <w:rsid w:val="00FF46AF"/>
    <w:rsid w:val="00FF597C"/>
    <w:rsid w:val="00FF5B5D"/>
    <w:rsid w:val="00FF7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7670F"/>
  <w15:chartTrackingRefBased/>
  <w15:docId w15:val="{161500A7-D585-4570-A9DC-2044E01B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CC8"/>
    <w:pPr>
      <w:suppressAutoHyphens/>
      <w:autoSpaceDN w:val="0"/>
      <w:spacing w:after="0" w:line="240" w:lineRule="auto"/>
      <w:textAlignment w:val="baseline"/>
    </w:pPr>
    <w:rPr>
      <w:rFonts w:eastAsia="Calibri"/>
      <w:sz w:val="20"/>
      <w:szCs w:val="20"/>
    </w:rPr>
  </w:style>
  <w:style w:type="character" w:customStyle="1" w:styleId="FootnoteTextChar">
    <w:name w:val="Footnote Text Char"/>
    <w:basedOn w:val="DefaultParagraphFont"/>
    <w:link w:val="FootnoteText"/>
    <w:uiPriority w:val="99"/>
    <w:rsid w:val="00827CC8"/>
    <w:rPr>
      <w:rFonts w:eastAsia="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827CC8"/>
    <w:rPr>
      <w:vertAlign w:val="superscript"/>
    </w:rPr>
  </w:style>
  <w:style w:type="paragraph" w:styleId="ListParagraph">
    <w:name w:val="List Paragraph"/>
    <w:basedOn w:val="Normal"/>
    <w:uiPriority w:val="34"/>
    <w:qFormat/>
    <w:rsid w:val="00827CC8"/>
    <w:pPr>
      <w:ind w:left="720"/>
      <w:contextualSpacing/>
    </w:pPr>
  </w:style>
  <w:style w:type="paragraph" w:styleId="BalloonText">
    <w:name w:val="Balloon Text"/>
    <w:basedOn w:val="Normal"/>
    <w:link w:val="BalloonTextChar"/>
    <w:uiPriority w:val="99"/>
    <w:semiHidden/>
    <w:unhideWhenUsed/>
    <w:rsid w:val="00B0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61"/>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B02B61"/>
    <w:pPr>
      <w:spacing w:line="240" w:lineRule="exact"/>
      <w:ind w:left="567" w:hanging="499"/>
      <w:jc w:val="both"/>
      <w:textAlignment w:val="baseline"/>
    </w:pPr>
    <w:rPr>
      <w:vertAlign w:val="superscript"/>
    </w:rPr>
  </w:style>
  <w:style w:type="character" w:customStyle="1" w:styleId="Hyperlink1">
    <w:name w:val="Hyperlink1"/>
    <w:basedOn w:val="DefaultParagraphFont"/>
    <w:uiPriority w:val="99"/>
    <w:unhideWhenUsed/>
    <w:rsid w:val="00B02B61"/>
    <w:rPr>
      <w:color w:val="0563C1"/>
      <w:u w:val="single"/>
    </w:rPr>
  </w:style>
  <w:style w:type="character" w:styleId="Hyperlink">
    <w:name w:val="Hyperlink"/>
    <w:basedOn w:val="DefaultParagraphFont"/>
    <w:uiPriority w:val="99"/>
    <w:unhideWhenUsed/>
    <w:rsid w:val="00B02B61"/>
    <w:rPr>
      <w:color w:val="0563C1" w:themeColor="hyperlink"/>
      <w:u w:val="single"/>
    </w:rPr>
  </w:style>
  <w:style w:type="character" w:customStyle="1" w:styleId="UnresolvedMention1">
    <w:name w:val="Unresolved Mention1"/>
    <w:basedOn w:val="DefaultParagraphFont"/>
    <w:uiPriority w:val="99"/>
    <w:semiHidden/>
    <w:unhideWhenUsed/>
    <w:rsid w:val="0005633C"/>
    <w:rPr>
      <w:color w:val="605E5C"/>
      <w:shd w:val="clear" w:color="auto" w:fill="E1DFDD"/>
    </w:rPr>
  </w:style>
  <w:style w:type="paragraph" w:styleId="Header">
    <w:name w:val="header"/>
    <w:basedOn w:val="Normal"/>
    <w:link w:val="HeaderChar"/>
    <w:uiPriority w:val="99"/>
    <w:unhideWhenUsed/>
    <w:rsid w:val="003A23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23FF"/>
  </w:style>
  <w:style w:type="paragraph" w:styleId="Footer">
    <w:name w:val="footer"/>
    <w:basedOn w:val="Normal"/>
    <w:link w:val="FooterChar"/>
    <w:uiPriority w:val="99"/>
    <w:unhideWhenUsed/>
    <w:rsid w:val="003A23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23FF"/>
  </w:style>
  <w:style w:type="character" w:styleId="CommentReference">
    <w:name w:val="annotation reference"/>
    <w:basedOn w:val="DefaultParagraphFont"/>
    <w:unhideWhenUsed/>
    <w:rsid w:val="00EA47A3"/>
    <w:rPr>
      <w:sz w:val="16"/>
      <w:szCs w:val="16"/>
    </w:rPr>
  </w:style>
  <w:style w:type="paragraph" w:styleId="CommentText">
    <w:name w:val="annotation text"/>
    <w:basedOn w:val="Normal"/>
    <w:link w:val="CommentTextChar"/>
    <w:uiPriority w:val="99"/>
    <w:semiHidden/>
    <w:unhideWhenUsed/>
    <w:rsid w:val="00EA47A3"/>
    <w:pPr>
      <w:spacing w:line="240" w:lineRule="auto"/>
    </w:pPr>
    <w:rPr>
      <w:sz w:val="20"/>
      <w:szCs w:val="20"/>
    </w:rPr>
  </w:style>
  <w:style w:type="character" w:customStyle="1" w:styleId="CommentTextChar">
    <w:name w:val="Comment Text Char"/>
    <w:basedOn w:val="DefaultParagraphFont"/>
    <w:link w:val="CommentText"/>
    <w:uiPriority w:val="99"/>
    <w:semiHidden/>
    <w:rsid w:val="00EA47A3"/>
    <w:rPr>
      <w:sz w:val="20"/>
      <w:szCs w:val="20"/>
    </w:rPr>
  </w:style>
  <w:style w:type="paragraph" w:styleId="CommentSubject">
    <w:name w:val="annotation subject"/>
    <w:basedOn w:val="CommentText"/>
    <w:next w:val="CommentText"/>
    <w:link w:val="CommentSubjectChar"/>
    <w:uiPriority w:val="99"/>
    <w:semiHidden/>
    <w:unhideWhenUsed/>
    <w:rsid w:val="00EA47A3"/>
    <w:rPr>
      <w:b/>
      <w:bCs/>
    </w:rPr>
  </w:style>
  <w:style w:type="character" w:customStyle="1" w:styleId="CommentSubjectChar">
    <w:name w:val="Comment Subject Char"/>
    <w:basedOn w:val="CommentTextChar"/>
    <w:link w:val="CommentSubject"/>
    <w:uiPriority w:val="99"/>
    <w:semiHidden/>
    <w:rsid w:val="00EA47A3"/>
    <w:rPr>
      <w:b/>
      <w:bCs/>
      <w:sz w:val="20"/>
      <w:szCs w:val="20"/>
    </w:rPr>
  </w:style>
  <w:style w:type="character" w:customStyle="1" w:styleId="Footnote">
    <w:name w:val="Footnote_"/>
    <w:basedOn w:val="DefaultParagraphFont"/>
    <w:link w:val="Footnote0"/>
    <w:rsid w:val="009C6CA4"/>
    <w:rPr>
      <w:rFonts w:eastAsia="Times New Roman"/>
      <w:color w:val="0000FF"/>
      <w:sz w:val="20"/>
      <w:szCs w:val="20"/>
      <w:u w:val="single"/>
      <w:shd w:val="clear" w:color="auto" w:fill="FFFFFF"/>
    </w:rPr>
  </w:style>
  <w:style w:type="paragraph" w:customStyle="1" w:styleId="Footnote0">
    <w:name w:val="Footnote"/>
    <w:basedOn w:val="Normal"/>
    <w:link w:val="Footnote"/>
    <w:rsid w:val="009C6CA4"/>
    <w:pPr>
      <w:widowControl w:val="0"/>
      <w:shd w:val="clear" w:color="auto" w:fill="FFFFFF"/>
      <w:spacing w:after="0" w:line="240" w:lineRule="auto"/>
    </w:pPr>
    <w:rPr>
      <w:rFonts w:eastAsia="Times New Roman"/>
      <w:color w:val="0000FF"/>
      <w:sz w:val="20"/>
      <w:szCs w:val="20"/>
      <w:u w:val="single"/>
    </w:rPr>
  </w:style>
  <w:style w:type="paragraph" w:styleId="NormalWeb">
    <w:name w:val="Normal (Web)"/>
    <w:basedOn w:val="Normal"/>
    <w:uiPriority w:val="99"/>
    <w:unhideWhenUsed/>
    <w:rsid w:val="00E27BC6"/>
  </w:style>
  <w:style w:type="table" w:styleId="TableGrid">
    <w:name w:val="Table Grid"/>
    <w:basedOn w:val="TableNormal"/>
    <w:uiPriority w:val="39"/>
    <w:rsid w:val="0008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A4AAC"/>
    <w:rPr>
      <w:color w:val="605E5C"/>
      <w:shd w:val="clear" w:color="auto" w:fill="E1DFDD"/>
    </w:rPr>
  </w:style>
  <w:style w:type="character" w:customStyle="1" w:styleId="UnresolvedMention3">
    <w:name w:val="Unresolved Mention3"/>
    <w:basedOn w:val="DefaultParagraphFont"/>
    <w:uiPriority w:val="99"/>
    <w:semiHidden/>
    <w:unhideWhenUsed/>
    <w:rsid w:val="00211EAE"/>
    <w:rPr>
      <w:color w:val="605E5C"/>
      <w:shd w:val="clear" w:color="auto" w:fill="E1DFDD"/>
    </w:rPr>
  </w:style>
  <w:style w:type="character" w:styleId="FollowedHyperlink">
    <w:name w:val="FollowedHyperlink"/>
    <w:basedOn w:val="DefaultParagraphFont"/>
    <w:uiPriority w:val="99"/>
    <w:semiHidden/>
    <w:unhideWhenUsed/>
    <w:rsid w:val="00211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849">
      <w:bodyDiv w:val="1"/>
      <w:marLeft w:val="0"/>
      <w:marRight w:val="0"/>
      <w:marTop w:val="0"/>
      <w:marBottom w:val="0"/>
      <w:divBdr>
        <w:top w:val="none" w:sz="0" w:space="0" w:color="auto"/>
        <w:left w:val="none" w:sz="0" w:space="0" w:color="auto"/>
        <w:bottom w:val="none" w:sz="0" w:space="0" w:color="auto"/>
        <w:right w:val="none" w:sz="0" w:space="0" w:color="auto"/>
      </w:divBdr>
    </w:div>
    <w:div w:id="221333762">
      <w:bodyDiv w:val="1"/>
      <w:marLeft w:val="0"/>
      <w:marRight w:val="0"/>
      <w:marTop w:val="0"/>
      <w:marBottom w:val="0"/>
      <w:divBdr>
        <w:top w:val="none" w:sz="0" w:space="0" w:color="auto"/>
        <w:left w:val="none" w:sz="0" w:space="0" w:color="auto"/>
        <w:bottom w:val="none" w:sz="0" w:space="0" w:color="auto"/>
        <w:right w:val="none" w:sz="0" w:space="0" w:color="auto"/>
      </w:divBdr>
    </w:div>
    <w:div w:id="290088621">
      <w:bodyDiv w:val="1"/>
      <w:marLeft w:val="0"/>
      <w:marRight w:val="0"/>
      <w:marTop w:val="0"/>
      <w:marBottom w:val="0"/>
      <w:divBdr>
        <w:top w:val="none" w:sz="0" w:space="0" w:color="auto"/>
        <w:left w:val="none" w:sz="0" w:space="0" w:color="auto"/>
        <w:bottom w:val="none" w:sz="0" w:space="0" w:color="auto"/>
        <w:right w:val="none" w:sz="0" w:space="0" w:color="auto"/>
      </w:divBdr>
    </w:div>
    <w:div w:id="375547454">
      <w:bodyDiv w:val="1"/>
      <w:marLeft w:val="0"/>
      <w:marRight w:val="0"/>
      <w:marTop w:val="0"/>
      <w:marBottom w:val="0"/>
      <w:divBdr>
        <w:top w:val="none" w:sz="0" w:space="0" w:color="auto"/>
        <w:left w:val="none" w:sz="0" w:space="0" w:color="auto"/>
        <w:bottom w:val="none" w:sz="0" w:space="0" w:color="auto"/>
        <w:right w:val="none" w:sz="0" w:space="0" w:color="auto"/>
      </w:divBdr>
    </w:div>
    <w:div w:id="400635857">
      <w:bodyDiv w:val="1"/>
      <w:marLeft w:val="0"/>
      <w:marRight w:val="0"/>
      <w:marTop w:val="0"/>
      <w:marBottom w:val="0"/>
      <w:divBdr>
        <w:top w:val="none" w:sz="0" w:space="0" w:color="auto"/>
        <w:left w:val="none" w:sz="0" w:space="0" w:color="auto"/>
        <w:bottom w:val="none" w:sz="0" w:space="0" w:color="auto"/>
        <w:right w:val="none" w:sz="0" w:space="0" w:color="auto"/>
      </w:divBdr>
    </w:div>
    <w:div w:id="582225477">
      <w:bodyDiv w:val="1"/>
      <w:marLeft w:val="0"/>
      <w:marRight w:val="0"/>
      <w:marTop w:val="0"/>
      <w:marBottom w:val="0"/>
      <w:divBdr>
        <w:top w:val="none" w:sz="0" w:space="0" w:color="auto"/>
        <w:left w:val="none" w:sz="0" w:space="0" w:color="auto"/>
        <w:bottom w:val="none" w:sz="0" w:space="0" w:color="auto"/>
        <w:right w:val="none" w:sz="0" w:space="0" w:color="auto"/>
      </w:divBdr>
    </w:div>
    <w:div w:id="709572989">
      <w:bodyDiv w:val="1"/>
      <w:marLeft w:val="0"/>
      <w:marRight w:val="0"/>
      <w:marTop w:val="0"/>
      <w:marBottom w:val="0"/>
      <w:divBdr>
        <w:top w:val="none" w:sz="0" w:space="0" w:color="auto"/>
        <w:left w:val="none" w:sz="0" w:space="0" w:color="auto"/>
        <w:bottom w:val="none" w:sz="0" w:space="0" w:color="auto"/>
        <w:right w:val="none" w:sz="0" w:space="0" w:color="auto"/>
      </w:divBdr>
    </w:div>
    <w:div w:id="1244876963">
      <w:bodyDiv w:val="1"/>
      <w:marLeft w:val="0"/>
      <w:marRight w:val="0"/>
      <w:marTop w:val="0"/>
      <w:marBottom w:val="0"/>
      <w:divBdr>
        <w:top w:val="none" w:sz="0" w:space="0" w:color="auto"/>
        <w:left w:val="none" w:sz="0" w:space="0" w:color="auto"/>
        <w:bottom w:val="none" w:sz="0" w:space="0" w:color="auto"/>
        <w:right w:val="none" w:sz="0" w:space="0" w:color="auto"/>
      </w:divBdr>
    </w:div>
    <w:div w:id="1494906912">
      <w:bodyDiv w:val="1"/>
      <w:marLeft w:val="0"/>
      <w:marRight w:val="0"/>
      <w:marTop w:val="0"/>
      <w:marBottom w:val="0"/>
      <w:divBdr>
        <w:top w:val="none" w:sz="0" w:space="0" w:color="auto"/>
        <w:left w:val="none" w:sz="0" w:space="0" w:color="auto"/>
        <w:bottom w:val="none" w:sz="0" w:space="0" w:color="auto"/>
        <w:right w:val="none" w:sz="0" w:space="0" w:color="auto"/>
      </w:divBdr>
    </w:div>
    <w:div w:id="1496141531">
      <w:bodyDiv w:val="1"/>
      <w:marLeft w:val="0"/>
      <w:marRight w:val="0"/>
      <w:marTop w:val="0"/>
      <w:marBottom w:val="0"/>
      <w:divBdr>
        <w:top w:val="none" w:sz="0" w:space="0" w:color="auto"/>
        <w:left w:val="none" w:sz="0" w:space="0" w:color="auto"/>
        <w:bottom w:val="none" w:sz="0" w:space="0" w:color="auto"/>
        <w:right w:val="none" w:sz="0" w:space="0" w:color="auto"/>
      </w:divBdr>
    </w:div>
    <w:div w:id="20143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8057-likums-par-budzetu-un-finansu-vadibu" TargetMode="External"/><Relationship Id="rId2" Type="http://schemas.openxmlformats.org/officeDocument/2006/relationships/hyperlink" Target="https://eur-lex.europa.eu/legal-content/lv/TXT/?uri=CELEX%3A32021R0241" TargetMode="External"/><Relationship Id="rId1" Type="http://schemas.openxmlformats.org/officeDocument/2006/relationships/hyperlink" Target="https://likumi.lv/ta/id/322858-par-latvijas-atveselosanas-un-noturibas-mehanisma-planu" TargetMode="External"/><Relationship Id="rId4" Type="http://schemas.openxmlformats.org/officeDocument/2006/relationships/hyperlink" Target="http://tap.mk.gov.lv/doc/2017_11/MKPl_141117_VPRP2020.2492.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local_cf-maksi\INetCache\Content.Outlook\HU8XLJ1S\Copy%20of%20RRF_4var_ar_proj_laika_graf_18.05%20(0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t>Indikatīvas prognozes Atveseļošanas fondu, 14-20 un 21-27 ES fondu periodu budžeta plūsmai, ikgadēji</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8.2549487138325967E-2"/>
          <c:y val="0.13114033138495726"/>
          <c:w val="0.90645426929188944"/>
          <c:h val="0.42106680836674559"/>
        </c:manualLayout>
      </c:layout>
      <c:lineChart>
        <c:grouping val="standard"/>
        <c:varyColors val="0"/>
        <c:ser>
          <c:idx val="2"/>
          <c:order val="0"/>
          <c:tx>
            <c:strRef>
              <c:f>'Izmaiņas budžeta prognozēs'!$A$4</c:f>
              <c:strCache>
                <c:ptCount val="1"/>
                <c:pt idx="0">
                  <c:v>1. 22.07.2021. 2014-2020 perioda budžeta plūsmas prognoze, t.sk. React-EU (288 milj. EUR), EUR. Kopā 5 318 milj. EUR</c:v>
                </c:pt>
              </c:strCache>
            </c:strRef>
          </c:tx>
          <c:spPr>
            <a:ln w="28575" cap="rnd">
              <a:solidFill>
                <a:srgbClr val="C00000"/>
              </a:solidFill>
              <a:round/>
            </a:ln>
            <a:effectLst/>
          </c:spPr>
          <c:marker>
            <c:symbol val="none"/>
          </c:marker>
          <c:dLbls>
            <c:dLbl>
              <c:idx val="6"/>
              <c:layout>
                <c:manualLayout>
                  <c:x val="-3.9656192440908726E-2"/>
                  <c:y val="3.361218072996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EC-4409-AF7B-1BF6CD74C4D9}"/>
                </c:ext>
              </c:extLst>
            </c:dLbl>
            <c:dLbl>
              <c:idx val="7"/>
              <c:layout>
                <c:manualLayout>
                  <c:x val="-2.0200823188437394E-2"/>
                  <c:y val="1.8717361698514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EC-4409-AF7B-1BF6CD74C4D9}"/>
                </c:ext>
              </c:extLst>
            </c:dLbl>
            <c:dLbl>
              <c:idx val="8"/>
              <c:layout>
                <c:manualLayout>
                  <c:x val="-2.577195632374479E-2"/>
                  <c:y val="-1.7932066864609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EC-4409-AF7B-1BF6CD74C4D9}"/>
                </c:ext>
              </c:extLst>
            </c:dLbl>
            <c:dLbl>
              <c:idx val="9"/>
              <c:layout>
                <c:manualLayout>
                  <c:x val="-3.5683511114309382E-2"/>
                  <c:y val="-3.08791125053182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EC-4409-AF7B-1BF6CD74C4D9}"/>
                </c:ext>
              </c:extLst>
            </c:dLbl>
            <c:dLbl>
              <c:idx val="10"/>
              <c:layout>
                <c:manualLayout>
                  <c:x val="-1.1532428287499485E-2"/>
                  <c:y val="-1.758174353507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EC-4409-AF7B-1BF6CD74C4D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'Izmaiņas budžeta prognozēs'!$B$2:$R$2</c:f>
              <c:strCache>
                <c:ptCount val="17"/>
                <c:pt idx="0">
                  <c:v>2014
Fakts</c:v>
                </c:pt>
                <c:pt idx="1">
                  <c:v>2015
Fakts</c:v>
                </c:pt>
                <c:pt idx="2">
                  <c:v>2016
Fakts</c:v>
                </c:pt>
                <c:pt idx="3">
                  <c:v>2017
Fakts</c:v>
                </c:pt>
                <c:pt idx="4">
                  <c:v>2018
Fakts</c:v>
                </c:pt>
                <c:pt idx="5">
                  <c:v>2019
Fakts</c:v>
                </c:pt>
                <c:pt idx="6">
                  <c:v>2020
Fakts</c:v>
                </c:pt>
                <c:pt idx="7">
                  <c:v>2021
Prognoze</c:v>
                </c:pt>
                <c:pt idx="8">
                  <c:v>2022
Prognoze</c:v>
                </c:pt>
                <c:pt idx="9">
                  <c:v>2023
Prognoze</c:v>
                </c:pt>
                <c:pt idx="10">
                  <c:v>2024
Prognoze</c:v>
                </c:pt>
                <c:pt idx="11">
                  <c:v>2025
Prognoze</c:v>
                </c:pt>
                <c:pt idx="12">
                  <c:v>2026
Prognoze</c:v>
                </c:pt>
                <c:pt idx="13">
                  <c:v>2027
Prognoze</c:v>
                </c:pt>
                <c:pt idx="14">
                  <c:v>2028
Prognoze</c:v>
                </c:pt>
                <c:pt idx="15">
                  <c:v>2029
Prognoze</c:v>
                </c:pt>
                <c:pt idx="16">
                  <c:v>2030
Prognoze</c:v>
                </c:pt>
              </c:strCache>
            </c:strRef>
          </c:cat>
          <c:val>
            <c:numRef>
              <c:f>'Izmaiņas budžeta prognozēs'!$B$4:$R$4</c:f>
              <c:numCache>
                <c:formatCode>#,##0</c:formatCode>
                <c:ptCount val="17"/>
                <c:pt idx="0">
                  <c:v>13517517.059999999</c:v>
                </c:pt>
                <c:pt idx="1">
                  <c:v>127363439</c:v>
                </c:pt>
                <c:pt idx="2">
                  <c:v>225217764.69</c:v>
                </c:pt>
                <c:pt idx="3">
                  <c:v>403698156.03999996</c:v>
                </c:pt>
                <c:pt idx="4">
                  <c:v>719425911.32999992</c:v>
                </c:pt>
                <c:pt idx="5">
                  <c:v>712210417.15999985</c:v>
                </c:pt>
                <c:pt idx="6">
                  <c:v>630871565</c:v>
                </c:pt>
                <c:pt idx="7">
                  <c:v>590000000</c:v>
                </c:pt>
                <c:pt idx="8">
                  <c:v>720000000</c:v>
                </c:pt>
                <c:pt idx="9">
                  <c:v>700000000</c:v>
                </c:pt>
                <c:pt idx="10">
                  <c:v>475417087.24000025</c:v>
                </c:pt>
              </c:numCache>
            </c:numRef>
          </c:val>
          <c:smooth val="0"/>
          <c:extLst>
            <c:ext xmlns:c16="http://schemas.microsoft.com/office/drawing/2014/chart" uri="{C3380CC4-5D6E-409C-BE32-E72D297353CC}">
              <c16:uniqueId val="{00000005-11EC-4409-AF7B-1BF6CD74C4D9}"/>
            </c:ext>
          </c:extLst>
        </c:ser>
        <c:ser>
          <c:idx val="5"/>
          <c:order val="1"/>
          <c:tx>
            <c:strRef>
              <c:f>'Izmaiņas budžeta prognozēs'!$A$6</c:f>
              <c:strCache>
                <c:ptCount val="1"/>
                <c:pt idx="0">
                  <c:v>2. 22.07.2021. N+3 izpildei nepieciešamā valsts budžeta izdevumu plūsmas prognoze 2021-2027 periodā, ja izdevumi tiek sākti jau perioda sākumā, EUR (Kopā 4 868 milj. EUR)</c:v>
                </c:pt>
              </c:strCache>
            </c:strRef>
          </c:tx>
          <c:spPr>
            <a:ln w="28575" cap="rnd">
              <a:solidFill>
                <a:srgbClr val="CD27A9"/>
              </a:solidFill>
              <a:round/>
            </a:ln>
            <a:effectLst/>
          </c:spPr>
          <c:marker>
            <c:symbol val="none"/>
          </c:marker>
          <c:dLbls>
            <c:dLbl>
              <c:idx val="7"/>
              <c:layout>
                <c:manualLayout>
                  <c:x val="-3.6060292256357235E-2"/>
                  <c:y val="-4.1948041477750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EC-4409-AF7B-1BF6CD74C4D9}"/>
                </c:ext>
              </c:extLst>
            </c:dLbl>
            <c:dLbl>
              <c:idx val="8"/>
              <c:layout>
                <c:manualLayout>
                  <c:x val="-1.2965946793239714E-2"/>
                  <c:y val="1.2670869018106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EC-4409-AF7B-1BF6CD74C4D9}"/>
                </c:ext>
              </c:extLst>
            </c:dLbl>
            <c:dLbl>
              <c:idx val="9"/>
              <c:layout>
                <c:manualLayout>
                  <c:x val="-1.7354974040804591E-2"/>
                  <c:y val="1.87189786346162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EC-4409-AF7B-1BF6CD74C4D9}"/>
                </c:ext>
              </c:extLst>
            </c:dLbl>
            <c:dLbl>
              <c:idx val="10"/>
              <c:layout>
                <c:manualLayout>
                  <c:x val="-3.2792544011045907E-2"/>
                  <c:y val="-3.00951715506551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EC-4409-AF7B-1BF6CD74C4D9}"/>
                </c:ext>
              </c:extLst>
            </c:dLbl>
            <c:dLbl>
              <c:idx val="11"/>
              <c:layout>
                <c:manualLayout>
                  <c:x val="-3.5093775169715881E-2"/>
                  <c:y val="-2.7403599643366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1EC-4409-AF7B-1BF6CD74C4D9}"/>
                </c:ext>
              </c:extLst>
            </c:dLbl>
            <c:dLbl>
              <c:idx val="12"/>
              <c:layout>
                <c:manualLayout>
                  <c:x val="-3.7395006328385855E-2"/>
                  <c:y val="-2.74035996433668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1EC-4409-AF7B-1BF6CD74C4D9}"/>
                </c:ext>
              </c:extLst>
            </c:dLbl>
            <c:dLbl>
              <c:idx val="13"/>
              <c:layout>
                <c:manualLayout>
                  <c:x val="-1.7354974040804591E-2"/>
                  <c:y val="-2.1601752142118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1EC-4409-AF7B-1BF6CD74C4D9}"/>
                </c:ext>
              </c:extLst>
            </c:dLbl>
            <c:dLbl>
              <c:idx val="14"/>
              <c:layout>
                <c:manualLayout>
                  <c:x val="-2.8190081693706133E-2"/>
                  <c:y val="-2.3255943069331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1EC-4409-AF7B-1BF6CD74C4D9}"/>
                </c:ext>
              </c:extLst>
            </c:dLbl>
            <c:dLbl>
              <c:idx val="15"/>
              <c:layout>
                <c:manualLayout>
                  <c:x val="-3.5093775169715964E-2"/>
                  <c:y val="-3.38968049980894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1EC-4409-AF7B-1BF6CD74C4D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'Izmaiņas budžeta prognozēs'!$B$6:$R$6</c:f>
              <c:numCache>
                <c:formatCode>General</c:formatCode>
                <c:ptCount val="17"/>
                <c:pt idx="7" formatCode="#,##0">
                  <c:v>20000000</c:v>
                </c:pt>
                <c:pt idx="8" formatCode="#,##0">
                  <c:v>200000000</c:v>
                </c:pt>
                <c:pt idx="9" formatCode="#,##0">
                  <c:v>398000000</c:v>
                </c:pt>
                <c:pt idx="10" formatCode="#,##0">
                  <c:v>634000000</c:v>
                </c:pt>
                <c:pt idx="11" formatCode="#,##0">
                  <c:v>725000000</c:v>
                </c:pt>
                <c:pt idx="12" formatCode="#,##0">
                  <c:v>738800000</c:v>
                </c:pt>
                <c:pt idx="13" formatCode="#,##0">
                  <c:v>739000000</c:v>
                </c:pt>
                <c:pt idx="14" formatCode="#,##0">
                  <c:v>638000000</c:v>
                </c:pt>
                <c:pt idx="15" formatCode="#,##0">
                  <c:v>516000000</c:v>
                </c:pt>
                <c:pt idx="16" formatCode="#,##0">
                  <c:v>259644700.00000012</c:v>
                </c:pt>
              </c:numCache>
            </c:numRef>
          </c:val>
          <c:smooth val="0"/>
          <c:extLst>
            <c:ext xmlns:c16="http://schemas.microsoft.com/office/drawing/2014/chart" uri="{C3380CC4-5D6E-409C-BE32-E72D297353CC}">
              <c16:uniqueId val="{0000000F-11EC-4409-AF7B-1BF6CD74C4D9}"/>
            </c:ext>
          </c:extLst>
        </c:ser>
        <c:ser>
          <c:idx val="7"/>
          <c:order val="2"/>
          <c:tx>
            <c:strRef>
              <c:f>'Izmaiņas budžeta prognozēs'!$A$8</c:f>
              <c:strCache>
                <c:ptCount val="1"/>
                <c:pt idx="0">
                  <c:v>3. 22.07.2021. Atveseļošanas fonda budžeta izdevumu plūsmas prognoze garantētā finansējuma ietvaros (1 826 milj. euro)</c:v>
                </c:pt>
              </c:strCache>
            </c:strRef>
          </c:tx>
          <c:spPr>
            <a:ln w="28575" cap="rnd">
              <a:solidFill>
                <a:sysClr val="windowText" lastClr="000000"/>
              </a:solidFill>
              <a:round/>
            </a:ln>
            <a:effectLst/>
          </c:spPr>
          <c:marker>
            <c:symbol val="none"/>
          </c:marker>
          <c:dLbls>
            <c:dLbl>
              <c:idx val="7"/>
              <c:layout>
                <c:manualLayout>
                  <c:x val="-4.0178046435945594E-2"/>
                  <c:y val="-1.0590186465599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1EC-4409-AF7B-1BF6CD74C4D9}"/>
                </c:ext>
              </c:extLst>
            </c:dLbl>
            <c:dLbl>
              <c:idx val="8"/>
              <c:layout>
                <c:manualLayout>
                  <c:x val="-5.4413788542224506E-2"/>
                  <c:y val="-1.8663835962484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1EC-4409-AF7B-1BF6CD74C4D9}"/>
                </c:ext>
              </c:extLst>
            </c:dLbl>
            <c:dLbl>
              <c:idx val="9"/>
              <c:layout>
                <c:manualLayout>
                  <c:x val="-4.6459773301550975E-2"/>
                  <c:y val="-3.1193349124874748E-2"/>
                </c:manualLayout>
              </c:layout>
              <c:showLegendKey val="0"/>
              <c:showVal val="1"/>
              <c:showCatName val="0"/>
              <c:showSerName val="0"/>
              <c:showPercent val="0"/>
              <c:showBubbleSize val="0"/>
              <c:extLst>
                <c:ext xmlns:c15="http://schemas.microsoft.com/office/drawing/2012/chart" uri="{CE6537A1-D6FC-4f65-9D91-7224C49458BB}">
                  <c15:layout>
                    <c:manualLayout>
                      <c:w val="4.487400759406282E-2"/>
                      <c:h val="6.019034310131028E-2"/>
                    </c:manualLayout>
                  </c15:layout>
                </c:ext>
                <c:ext xmlns:c16="http://schemas.microsoft.com/office/drawing/2014/chart" uri="{C3380CC4-5D6E-409C-BE32-E72D297353CC}">
                  <c16:uniqueId val="{00000012-11EC-4409-AF7B-1BF6CD74C4D9}"/>
                </c:ext>
              </c:extLst>
            </c:dLbl>
            <c:dLbl>
              <c:idx val="10"/>
              <c:layout>
                <c:manualLayout>
                  <c:x val="-2.3629657614855359E-2"/>
                  <c:y val="3.3932362550244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1EC-4409-AF7B-1BF6CD74C4D9}"/>
                </c:ext>
              </c:extLst>
            </c:dLbl>
            <c:dLbl>
              <c:idx val="11"/>
              <c:layout>
                <c:manualLayout>
                  <c:x val="-1.2971152164833468E-2"/>
                  <c:y val="-2.9594551534300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1EC-4409-AF7B-1BF6CD74C4D9}"/>
                </c:ext>
              </c:extLst>
            </c:dLbl>
            <c:dLbl>
              <c:idx val="12"/>
              <c:layout>
                <c:manualLayout>
                  <c:x val="-5.8601554648488648E-3"/>
                  <c:y val="-4.03669707274310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1EC-4409-AF7B-1BF6CD74C4D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'Izmaiņas budžeta prognozēs'!$B$8:$R$8</c:f>
              <c:numCache>
                <c:formatCode>General</c:formatCode>
                <c:ptCount val="17"/>
                <c:pt idx="7" formatCode="#,##0">
                  <c:v>4073396</c:v>
                </c:pt>
                <c:pt idx="8" formatCode="#,##0">
                  <c:v>254649754</c:v>
                </c:pt>
                <c:pt idx="9" formatCode="#,##0">
                  <c:v>394247718</c:v>
                </c:pt>
                <c:pt idx="10" formatCode="#,##0">
                  <c:v>458112544</c:v>
                </c:pt>
                <c:pt idx="11" formatCode="#,##0">
                  <c:v>411710648</c:v>
                </c:pt>
                <c:pt idx="12" formatCode="#,##0">
                  <c:v>303205940</c:v>
                </c:pt>
              </c:numCache>
            </c:numRef>
          </c:val>
          <c:smooth val="0"/>
          <c:extLst>
            <c:ext xmlns:c16="http://schemas.microsoft.com/office/drawing/2014/chart" uri="{C3380CC4-5D6E-409C-BE32-E72D297353CC}">
              <c16:uniqueId val="{00000016-11EC-4409-AF7B-1BF6CD74C4D9}"/>
            </c:ext>
          </c:extLst>
        </c:ser>
        <c:ser>
          <c:idx val="3"/>
          <c:order val="3"/>
          <c:tx>
            <c:strRef>
              <c:f>'Izmaiņas budžeta prognozēs'!$A$10</c:f>
              <c:strCache>
                <c:ptCount val="1"/>
                <c:pt idx="0">
                  <c:v>4. 22.07.2021. prognoze AF un 2014-2020, 2021-2027 periodiem kopā</c:v>
                </c:pt>
              </c:strCache>
            </c:strRef>
          </c:tx>
          <c:spPr>
            <a:ln w="28575" cap="rnd">
              <a:solidFill>
                <a:srgbClr val="00B050"/>
              </a:solidFill>
              <a:round/>
            </a:ln>
            <a:effectLst/>
          </c:spPr>
          <c:marker>
            <c:symbol val="none"/>
          </c:marker>
          <c:dLbls>
            <c:dLbl>
              <c:idx val="6"/>
              <c:delete val="1"/>
              <c:extLst>
                <c:ext xmlns:c15="http://schemas.microsoft.com/office/drawing/2012/chart" uri="{CE6537A1-D6FC-4f65-9D91-7224C49458BB}"/>
                <c:ext xmlns:c16="http://schemas.microsoft.com/office/drawing/2014/chart" uri="{C3380CC4-5D6E-409C-BE32-E72D297353CC}">
                  <c16:uniqueId val="{00000017-11EC-4409-AF7B-1BF6CD74C4D9}"/>
                </c:ext>
              </c:extLst>
            </c:dLbl>
            <c:dLbl>
              <c:idx val="7"/>
              <c:layout>
                <c:manualLayout>
                  <c:x val="-4.8156432982984561E-2"/>
                  <c:y val="-3.8647558133731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1EC-4409-AF7B-1BF6CD74C4D9}"/>
                </c:ext>
              </c:extLst>
            </c:dLbl>
            <c:dLbl>
              <c:idx val="8"/>
              <c:layout>
                <c:manualLayout>
                  <c:x val="-4.9653837075391852E-2"/>
                  <c:y val="-2.3647156142347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1EC-4409-AF7B-1BF6CD74C4D9}"/>
                </c:ext>
              </c:extLst>
            </c:dLbl>
            <c:dLbl>
              <c:idx val="11"/>
              <c:layout>
                <c:manualLayout>
                  <c:x val="-2.7842541428955914E-2"/>
                  <c:y val="-3.6361231494756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1EC-4409-AF7B-1BF6CD74C4D9}"/>
                </c:ext>
              </c:extLst>
            </c:dLbl>
            <c:dLbl>
              <c:idx val="12"/>
              <c:layout>
                <c:manualLayout>
                  <c:x val="-2.4450671660519566E-2"/>
                  <c:y val="-4.47221827646971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1EC-4409-AF7B-1BF6CD74C4D9}"/>
                </c:ext>
              </c:extLst>
            </c:dLbl>
            <c:dLbl>
              <c:idx val="13"/>
              <c:delete val="1"/>
              <c:extLst>
                <c:ext xmlns:c15="http://schemas.microsoft.com/office/drawing/2012/chart" uri="{CE6537A1-D6FC-4f65-9D91-7224C49458BB}"/>
                <c:ext xmlns:c16="http://schemas.microsoft.com/office/drawing/2014/chart" uri="{C3380CC4-5D6E-409C-BE32-E72D297353CC}">
                  <c16:uniqueId val="{0000001C-11EC-4409-AF7B-1BF6CD74C4D9}"/>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'Izmaiņas budžeta prognozēs'!$B$2:$R$2</c:f>
              <c:strCache>
                <c:ptCount val="17"/>
                <c:pt idx="0">
                  <c:v>2014
Fakts</c:v>
                </c:pt>
                <c:pt idx="1">
                  <c:v>2015
Fakts</c:v>
                </c:pt>
                <c:pt idx="2">
                  <c:v>2016
Fakts</c:v>
                </c:pt>
                <c:pt idx="3">
                  <c:v>2017
Fakts</c:v>
                </c:pt>
                <c:pt idx="4">
                  <c:v>2018
Fakts</c:v>
                </c:pt>
                <c:pt idx="5">
                  <c:v>2019
Fakts</c:v>
                </c:pt>
                <c:pt idx="6">
                  <c:v>2020
Fakts</c:v>
                </c:pt>
                <c:pt idx="7">
                  <c:v>2021
Prognoze</c:v>
                </c:pt>
                <c:pt idx="8">
                  <c:v>2022
Prognoze</c:v>
                </c:pt>
                <c:pt idx="9">
                  <c:v>2023
Prognoze</c:v>
                </c:pt>
                <c:pt idx="10">
                  <c:v>2024
Prognoze</c:v>
                </c:pt>
                <c:pt idx="11">
                  <c:v>2025
Prognoze</c:v>
                </c:pt>
                <c:pt idx="12">
                  <c:v>2026
Prognoze</c:v>
                </c:pt>
                <c:pt idx="13">
                  <c:v>2027
Prognoze</c:v>
                </c:pt>
                <c:pt idx="14">
                  <c:v>2028
Prognoze</c:v>
                </c:pt>
                <c:pt idx="15">
                  <c:v>2029
Prognoze</c:v>
                </c:pt>
                <c:pt idx="16">
                  <c:v>2030
Prognoze</c:v>
                </c:pt>
              </c:strCache>
            </c:strRef>
          </c:cat>
          <c:val>
            <c:numRef>
              <c:f>'Izmaiņas budžeta prognozēs'!$B$10:$R$10</c:f>
              <c:numCache>
                <c:formatCode>General</c:formatCode>
                <c:ptCount val="17"/>
                <c:pt idx="6" formatCode="#,##0">
                  <c:v>630871565</c:v>
                </c:pt>
                <c:pt idx="7" formatCode="#,##0">
                  <c:v>614073396</c:v>
                </c:pt>
                <c:pt idx="8" formatCode="#,##0">
                  <c:v>1174649754</c:v>
                </c:pt>
                <c:pt idx="9" formatCode="#,##0">
                  <c:v>1492247718</c:v>
                </c:pt>
                <c:pt idx="10" formatCode="#,##0">
                  <c:v>1567529631.2400002</c:v>
                </c:pt>
                <c:pt idx="11" formatCode="#,##0">
                  <c:v>1136710648</c:v>
                </c:pt>
                <c:pt idx="12" formatCode="#,##0">
                  <c:v>1042005940</c:v>
                </c:pt>
                <c:pt idx="13" formatCode="#,##0">
                  <c:v>739000000</c:v>
                </c:pt>
              </c:numCache>
            </c:numRef>
          </c:val>
          <c:smooth val="0"/>
          <c:extLst>
            <c:ext xmlns:c16="http://schemas.microsoft.com/office/drawing/2014/chart" uri="{C3380CC4-5D6E-409C-BE32-E72D297353CC}">
              <c16:uniqueId val="{0000001D-11EC-4409-AF7B-1BF6CD74C4D9}"/>
            </c:ext>
          </c:extLst>
        </c:ser>
        <c:dLbls>
          <c:showLegendKey val="0"/>
          <c:showVal val="0"/>
          <c:showCatName val="0"/>
          <c:showSerName val="0"/>
          <c:showPercent val="0"/>
          <c:showBubbleSize val="0"/>
        </c:dLbls>
        <c:smooth val="0"/>
        <c:axId val="2131920656"/>
        <c:axId val="496000192"/>
      </c:lineChart>
      <c:catAx>
        <c:axId val="21319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6000192"/>
        <c:crosses val="autoZero"/>
        <c:auto val="1"/>
        <c:lblAlgn val="ctr"/>
        <c:lblOffset val="100"/>
        <c:noMultiLvlLbl val="0"/>
      </c:catAx>
      <c:valAx>
        <c:axId val="4960001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31920656"/>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Milj. euro</a:t>
                  </a:r>
                </a:p>
              </c:rich>
            </c:tx>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ispUnitsLbl>
        </c:dispUnits>
      </c:valAx>
      <c:spPr>
        <a:noFill/>
        <a:ln>
          <a:noFill/>
        </a:ln>
        <a:effectLst/>
      </c:spPr>
    </c:plotArea>
    <c:legend>
      <c:legendPos val="b"/>
      <c:layout>
        <c:manualLayout>
          <c:xMode val="edge"/>
          <c:yMode val="edge"/>
          <c:x val="8.4238473338786451E-3"/>
          <c:y val="0.68677996232066085"/>
          <c:w val="0.97888429099963181"/>
          <c:h val="0.313220037679339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v-LV" sz="1200" b="1"/>
              <a:t>Indikatīvais projektu skaits</a:t>
            </a:r>
          </a:p>
        </c:rich>
      </c:tx>
      <c:overlay val="0"/>
      <c:spPr>
        <a:noFill/>
        <a:ln>
          <a:noFill/>
        </a:ln>
        <a:effectLst/>
      </c:spPr>
    </c:title>
    <c:autoTitleDeleted val="0"/>
    <c:plotArea>
      <c:layout>
        <c:manualLayout>
          <c:layoutTarget val="inner"/>
          <c:xMode val="edge"/>
          <c:yMode val="edge"/>
          <c:x val="0.10266284896206156"/>
          <c:y val="0.14355101828112282"/>
          <c:w val="0.60119204535169779"/>
          <c:h val="0.76666373089475315"/>
        </c:manualLayout>
      </c:layout>
      <c:lineChart>
        <c:grouping val="standard"/>
        <c:varyColors val="0"/>
        <c:ser>
          <c:idx val="0"/>
          <c:order val="0"/>
          <c:tx>
            <c:strRef>
              <c:f>'Projektu skaits'!$B$5</c:f>
              <c:strCache>
                <c:ptCount val="1"/>
                <c:pt idx="0">
                  <c:v>ES fondi 14-20 (DP)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'Projektu skaits'!$C$4:$N$4</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cat>
          <c:val>
            <c:numRef>
              <c:f>'Projektu skaits'!$C$5:$N$5</c:f>
              <c:numCache>
                <c:formatCode>#,##0</c:formatCode>
                <c:ptCount val="12"/>
                <c:pt idx="0">
                  <c:v>176</c:v>
                </c:pt>
                <c:pt idx="1">
                  <c:v>675</c:v>
                </c:pt>
                <c:pt idx="2">
                  <c:v>1077</c:v>
                </c:pt>
                <c:pt idx="3">
                  <c:v>1289</c:v>
                </c:pt>
                <c:pt idx="4">
                  <c:v>1253</c:v>
                </c:pt>
                <c:pt idx="5">
                  <c:v>1192</c:v>
                </c:pt>
                <c:pt idx="6">
                  <c:v>1263</c:v>
                </c:pt>
                <c:pt idx="7">
                  <c:v>992</c:v>
                </c:pt>
                <c:pt idx="8">
                  <c:v>398</c:v>
                </c:pt>
              </c:numCache>
            </c:numRef>
          </c:val>
          <c:smooth val="0"/>
          <c:extLst>
            <c:ext xmlns:c16="http://schemas.microsoft.com/office/drawing/2014/chart" uri="{C3380CC4-5D6E-409C-BE32-E72D297353CC}">
              <c16:uniqueId val="{00000000-5FB5-48FD-B623-5877EDE1B2B1}"/>
            </c:ext>
          </c:extLst>
        </c:ser>
        <c:ser>
          <c:idx val="1"/>
          <c:order val="1"/>
          <c:tx>
            <c:strRef>
              <c:f>'Projektu skaits'!$B$6</c:f>
              <c:strCache>
                <c:ptCount val="1"/>
                <c:pt idx="0">
                  <c:v>ES fondi 21-27 (DP)</c:v>
                </c:pt>
              </c:strCache>
            </c:strRef>
          </c:tx>
          <c:spPr>
            <a:ln w="28575" cap="rnd">
              <a:solidFill>
                <a:srgbClr val="00B050"/>
              </a:solidFill>
              <a:round/>
            </a:ln>
            <a:effectLst/>
          </c:spPr>
          <c:marker>
            <c:symbol val="circle"/>
            <c:size val="5"/>
            <c:spPr>
              <a:solidFill>
                <a:srgbClr val="00B050"/>
              </a:solidFill>
              <a:ln w="9525">
                <a:noFill/>
              </a:ln>
              <a:effectLst/>
            </c:spPr>
          </c:marker>
          <c:cat>
            <c:numRef>
              <c:f>'Projektu skaits'!$C$4:$N$4</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cat>
          <c:val>
            <c:numRef>
              <c:f>'Projektu skaits'!$C$6:$N$6</c:f>
              <c:numCache>
                <c:formatCode>General</c:formatCode>
                <c:ptCount val="12"/>
                <c:pt idx="6" formatCode="#,##0">
                  <c:v>168.95999999999998</c:v>
                </c:pt>
                <c:pt idx="7" formatCode="#,##0">
                  <c:v>648</c:v>
                </c:pt>
                <c:pt idx="8" formatCode="#,##0">
                  <c:v>1033.92</c:v>
                </c:pt>
                <c:pt idx="9" formatCode="#,##0">
                  <c:v>1237.44</c:v>
                </c:pt>
                <c:pt idx="10" formatCode="#,##0">
                  <c:v>1202.8799999999999</c:v>
                </c:pt>
                <c:pt idx="11" formatCode="#,##0">
                  <c:v>1212.48</c:v>
                </c:pt>
              </c:numCache>
            </c:numRef>
          </c:val>
          <c:smooth val="0"/>
          <c:extLst>
            <c:ext xmlns:c16="http://schemas.microsoft.com/office/drawing/2014/chart" uri="{C3380CC4-5D6E-409C-BE32-E72D297353CC}">
              <c16:uniqueId val="{00000001-5FB5-48FD-B623-5877EDE1B2B1}"/>
            </c:ext>
          </c:extLst>
        </c:ser>
        <c:ser>
          <c:idx val="2"/>
          <c:order val="2"/>
          <c:tx>
            <c:strRef>
              <c:f>'Projektu skaits'!$B$7</c:f>
              <c:strCache>
                <c:ptCount val="1"/>
                <c:pt idx="0">
                  <c:v>ANM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'Projektu skaits'!$C$4:$N$4</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cat>
          <c:val>
            <c:numRef>
              <c:f>'Projektu skaits'!$C$7:$N$7</c:f>
              <c:numCache>
                <c:formatCode>General</c:formatCode>
                <c:ptCount val="12"/>
                <c:pt idx="6" formatCode="#,##0">
                  <c:v>694</c:v>
                </c:pt>
                <c:pt idx="7" formatCode="#,##0">
                  <c:v>719</c:v>
                </c:pt>
                <c:pt idx="8" formatCode="#,##0">
                  <c:v>469</c:v>
                </c:pt>
                <c:pt idx="9" formatCode="#,##0">
                  <c:v>470</c:v>
                </c:pt>
                <c:pt idx="10" formatCode="#,##0">
                  <c:v>320</c:v>
                </c:pt>
              </c:numCache>
            </c:numRef>
          </c:val>
          <c:smooth val="0"/>
          <c:extLst>
            <c:ext xmlns:c16="http://schemas.microsoft.com/office/drawing/2014/chart" uri="{C3380CC4-5D6E-409C-BE32-E72D297353CC}">
              <c16:uniqueId val="{00000002-5FB5-48FD-B623-5877EDE1B2B1}"/>
            </c:ext>
          </c:extLst>
        </c:ser>
        <c:ser>
          <c:idx val="3"/>
          <c:order val="3"/>
          <c:tx>
            <c:strRef>
              <c:f>'Projektu skaits'!$B$8</c:f>
              <c:strCache>
                <c:ptCount val="1"/>
                <c:pt idx="0">
                  <c:v>Kopā </c:v>
                </c:pt>
              </c:strCache>
            </c:strRef>
          </c:tx>
          <c:spPr>
            <a:ln w="28575" cap="rnd">
              <a:solidFill>
                <a:srgbClr val="FF0000">
                  <a:alpha val="56000"/>
                </a:srgbClr>
              </a:solidFill>
              <a:round/>
            </a:ln>
            <a:effectLst/>
          </c:spPr>
          <c:marker>
            <c:symbol val="circle"/>
            <c:size val="5"/>
            <c:spPr>
              <a:solidFill>
                <a:srgbClr val="FF0000">
                  <a:alpha val="66000"/>
                </a:srgbClr>
              </a:solidFill>
              <a:ln w="9525">
                <a:noFill/>
              </a:ln>
              <a:effectLst/>
            </c:spPr>
          </c:marker>
          <c:dPt>
            <c:idx val="0"/>
            <c:bubble3D val="0"/>
            <c:extLst>
              <c:ext xmlns:c16="http://schemas.microsoft.com/office/drawing/2014/chart" uri="{C3380CC4-5D6E-409C-BE32-E72D297353CC}">
                <c16:uniqueId val="{00000003-5FB5-48FD-B623-5877EDE1B2B1}"/>
              </c:ext>
            </c:extLst>
          </c:dPt>
          <c:dPt>
            <c:idx val="1"/>
            <c:bubble3D val="0"/>
            <c:extLst>
              <c:ext xmlns:c16="http://schemas.microsoft.com/office/drawing/2014/chart" uri="{C3380CC4-5D6E-409C-BE32-E72D297353CC}">
                <c16:uniqueId val="{00000004-5FB5-48FD-B623-5877EDE1B2B1}"/>
              </c:ext>
            </c:extLst>
          </c:dPt>
          <c:dPt>
            <c:idx val="2"/>
            <c:bubble3D val="0"/>
            <c:extLst>
              <c:ext xmlns:c16="http://schemas.microsoft.com/office/drawing/2014/chart" uri="{C3380CC4-5D6E-409C-BE32-E72D297353CC}">
                <c16:uniqueId val="{00000005-5FB5-48FD-B623-5877EDE1B2B1}"/>
              </c:ext>
            </c:extLst>
          </c:dPt>
          <c:dPt>
            <c:idx val="3"/>
            <c:bubble3D val="0"/>
            <c:extLst>
              <c:ext xmlns:c16="http://schemas.microsoft.com/office/drawing/2014/chart" uri="{C3380CC4-5D6E-409C-BE32-E72D297353CC}">
                <c16:uniqueId val="{00000006-5FB5-48FD-B623-5877EDE1B2B1}"/>
              </c:ext>
            </c:extLst>
          </c:dPt>
          <c:dPt>
            <c:idx val="4"/>
            <c:bubble3D val="0"/>
            <c:extLst>
              <c:ext xmlns:c16="http://schemas.microsoft.com/office/drawing/2014/chart" uri="{C3380CC4-5D6E-409C-BE32-E72D297353CC}">
                <c16:uniqueId val="{00000007-5FB5-48FD-B623-5877EDE1B2B1}"/>
              </c:ext>
            </c:extLst>
          </c:dPt>
          <c:dPt>
            <c:idx val="5"/>
            <c:bubble3D val="0"/>
            <c:extLst>
              <c:ext xmlns:c16="http://schemas.microsoft.com/office/drawing/2014/chart" uri="{C3380CC4-5D6E-409C-BE32-E72D297353CC}">
                <c16:uniqueId val="{00000008-5FB5-48FD-B623-5877EDE1B2B1}"/>
              </c:ext>
            </c:extLst>
          </c:dPt>
          <c:cat>
            <c:numRef>
              <c:f>'Projektu skaits'!$C$4:$N$4</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cat>
          <c:val>
            <c:numRef>
              <c:f>'Projektu skaits'!$C$8:$N$8</c:f>
              <c:numCache>
                <c:formatCode>#,##0</c:formatCode>
                <c:ptCount val="12"/>
                <c:pt idx="0">
                  <c:v>176</c:v>
                </c:pt>
                <c:pt idx="1">
                  <c:v>675</c:v>
                </c:pt>
                <c:pt idx="2">
                  <c:v>1077</c:v>
                </c:pt>
                <c:pt idx="3">
                  <c:v>1289</c:v>
                </c:pt>
                <c:pt idx="4">
                  <c:v>1253</c:v>
                </c:pt>
                <c:pt idx="5">
                  <c:v>1192</c:v>
                </c:pt>
                <c:pt idx="6">
                  <c:v>2125.96</c:v>
                </c:pt>
                <c:pt idx="7">
                  <c:v>2359</c:v>
                </c:pt>
                <c:pt idx="8">
                  <c:v>1900.92</c:v>
                </c:pt>
                <c:pt idx="9">
                  <c:v>1707.44</c:v>
                </c:pt>
                <c:pt idx="10">
                  <c:v>1522.8799999999999</c:v>
                </c:pt>
                <c:pt idx="11">
                  <c:v>1212.48</c:v>
                </c:pt>
              </c:numCache>
            </c:numRef>
          </c:val>
          <c:smooth val="0"/>
          <c:extLst>
            <c:ext xmlns:c16="http://schemas.microsoft.com/office/drawing/2014/chart" uri="{C3380CC4-5D6E-409C-BE32-E72D297353CC}">
              <c16:uniqueId val="{00000009-5FB5-48FD-B623-5877EDE1B2B1}"/>
            </c:ext>
          </c:extLst>
        </c:ser>
        <c:dLbls>
          <c:showLegendKey val="0"/>
          <c:showVal val="0"/>
          <c:showCatName val="0"/>
          <c:showSerName val="0"/>
          <c:showPercent val="0"/>
          <c:showBubbleSize val="0"/>
        </c:dLbls>
        <c:marker val="1"/>
        <c:smooth val="0"/>
        <c:axId val="165487600"/>
        <c:axId val="157022288"/>
      </c:lineChart>
      <c:catAx>
        <c:axId val="16548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lv-LV"/>
          </a:p>
        </c:txPr>
        <c:crossAx val="157022288"/>
        <c:crosses val="autoZero"/>
        <c:auto val="1"/>
        <c:lblAlgn val="ctr"/>
        <c:lblOffset val="100"/>
        <c:noMultiLvlLbl val="0"/>
      </c:catAx>
      <c:valAx>
        <c:axId val="157022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165487600"/>
        <c:crosses val="autoZero"/>
        <c:crossBetween val="between"/>
      </c:valAx>
      <c:spPr>
        <a:noFill/>
        <a:ln>
          <a:noFill/>
        </a:ln>
        <a:effectLst/>
      </c:spPr>
    </c:plotArea>
    <c:legend>
      <c:legendPos val="r"/>
      <c:overlay val="0"/>
      <c:spPr>
        <a:noFill/>
        <a:ln>
          <a:noFill/>
        </a:ln>
        <a:effectLst/>
      </c:spPr>
      <c:txPr>
        <a:bodyPr rot="0" vert="horz"/>
        <a:lstStyle/>
        <a:p>
          <a:pPr>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AFF4-834E-4ACF-9EFE-F58AD9A9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16</Pages>
  <Words>21747</Words>
  <Characters>12397</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Informatīvais ziņojums par Latvijas Atveseļošanas un noturības mehānisma plāna ieviešanu</vt:lpstr>
    </vt:vector>
  </TitlesOfParts>
  <Company>Finanšu ministrija</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Atveseļošanas un noturības mehānisma plāna ieviešanu</dc:title>
  <dc:subject>Informatīvā ziņojuma projekts</dc:subject>
  <dc:creator>Kristaps Konrāds</dc:creator>
  <cp:keywords/>
  <dc:description>67095692, kristaps.konrads@fm.gov.lv</dc:description>
  <cp:lastModifiedBy>Inita Petrova</cp:lastModifiedBy>
  <cp:revision>1033</cp:revision>
  <cp:lastPrinted>2021-07-28T07:31:00Z</cp:lastPrinted>
  <dcterms:created xsi:type="dcterms:W3CDTF">2021-07-23T05:59:00Z</dcterms:created>
  <dcterms:modified xsi:type="dcterms:W3CDTF">2021-08-27T17:41:00Z</dcterms:modified>
</cp:coreProperties>
</file>