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D60A5D" w14:textId="120BB1DD" w:rsidR="004F5333" w:rsidRPr="0078598A" w:rsidRDefault="00B82F91" w:rsidP="00B82F91">
      <w:pPr>
        <w:shd w:val="clear" w:color="auto" w:fill="FFFFFF"/>
        <w:jc w:val="center"/>
        <w:outlineLvl w:val="2"/>
        <w:rPr>
          <w:b/>
          <w:bCs/>
          <w:lang w:eastAsia="lv-LV"/>
        </w:rPr>
      </w:pPr>
      <w:r w:rsidRPr="0078598A">
        <w:rPr>
          <w:b/>
          <w:bCs/>
          <w:lang w:eastAsia="lv-LV"/>
        </w:rPr>
        <w:t>Ministru kabineta  noteikum</w:t>
      </w:r>
      <w:r w:rsidR="00C21412" w:rsidRPr="0078598A">
        <w:rPr>
          <w:b/>
          <w:bCs/>
          <w:lang w:eastAsia="lv-LV"/>
        </w:rPr>
        <w:t xml:space="preserve">u projekta </w:t>
      </w:r>
    </w:p>
    <w:p w14:paraId="1427804D" w14:textId="1D1900AD" w:rsidR="00B82F91" w:rsidRPr="0078598A" w:rsidRDefault="00B82F91" w:rsidP="00B82F91">
      <w:pPr>
        <w:shd w:val="clear" w:color="auto" w:fill="FFFFFF"/>
        <w:jc w:val="center"/>
        <w:outlineLvl w:val="2"/>
        <w:rPr>
          <w:b/>
          <w:bCs/>
          <w:lang w:eastAsia="lv-LV"/>
        </w:rPr>
      </w:pPr>
      <w:r w:rsidRPr="0078598A">
        <w:rPr>
          <w:b/>
          <w:bCs/>
          <w:lang w:eastAsia="lv-LV"/>
        </w:rPr>
        <w:t xml:space="preserve"> “</w:t>
      </w:r>
      <w:hyperlink r:id="rId8" w:tgtFrame="_blank" w:history="1">
        <w:r w:rsidRPr="0078598A">
          <w:rPr>
            <w:b/>
            <w:bCs/>
            <w:lang w:eastAsia="lv-LV"/>
          </w:rPr>
          <w:t>Valsts bērnu tiesību aizsardzības inspekcijas nolikums</w:t>
        </w:r>
      </w:hyperlink>
      <w:r w:rsidRPr="0078598A">
        <w:rPr>
          <w:b/>
          <w:bCs/>
          <w:lang w:eastAsia="lv-LV"/>
        </w:rPr>
        <w:t>”</w:t>
      </w:r>
    </w:p>
    <w:p w14:paraId="4A71CFCE" w14:textId="77777777" w:rsidR="005B0BE8" w:rsidRPr="00F50461" w:rsidRDefault="005B0BE8" w:rsidP="00B82F91">
      <w:pPr>
        <w:jc w:val="center"/>
      </w:pPr>
      <w:r w:rsidRPr="0078598A">
        <w:rPr>
          <w:b/>
        </w:rPr>
        <w:t>sākotnējās ietekmes novērtējuma ziņojums (anotācija)</w:t>
      </w:r>
    </w:p>
    <w:p w14:paraId="0B3DF6C5" w14:textId="77777777" w:rsidR="005B0BE8" w:rsidRPr="00F50461" w:rsidRDefault="005B0BE8">
      <w:pPr>
        <w:ind w:firstLine="300"/>
        <w:jc w:val="center"/>
        <w:rPr>
          <w:b/>
          <w:bCs/>
          <w:lang w:eastAsia="lv-LV"/>
        </w:rPr>
      </w:pPr>
    </w:p>
    <w:tbl>
      <w:tblPr>
        <w:tblW w:w="9540" w:type="dxa"/>
        <w:tblInd w:w="28" w:type="dxa"/>
        <w:tblLayout w:type="fixed"/>
        <w:tblCellMar>
          <w:top w:w="28" w:type="dxa"/>
          <w:left w:w="28" w:type="dxa"/>
          <w:bottom w:w="28" w:type="dxa"/>
          <w:right w:w="28" w:type="dxa"/>
        </w:tblCellMar>
        <w:tblLook w:val="0000" w:firstRow="0" w:lastRow="0" w:firstColumn="0" w:lastColumn="0" w:noHBand="0" w:noVBand="0"/>
      </w:tblPr>
      <w:tblGrid>
        <w:gridCol w:w="4080"/>
        <w:gridCol w:w="5460"/>
      </w:tblGrid>
      <w:tr w:rsidR="005B0BE8" w:rsidRPr="00F50461" w14:paraId="58398886" w14:textId="77777777" w:rsidTr="48E5EC5E">
        <w:tc>
          <w:tcPr>
            <w:tcW w:w="9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3308A61" w14:textId="77777777" w:rsidR="005B0BE8" w:rsidRPr="00F50461" w:rsidRDefault="005B0BE8">
            <w:pPr>
              <w:jc w:val="center"/>
            </w:pPr>
            <w:r w:rsidRPr="00F50461">
              <w:rPr>
                <w:b/>
                <w:iCs/>
              </w:rPr>
              <w:t>Tiesību akta projekta anotācijas kopsavilkums</w:t>
            </w:r>
          </w:p>
        </w:tc>
      </w:tr>
      <w:tr w:rsidR="005B0BE8" w:rsidRPr="00F50461" w14:paraId="3676DE52" w14:textId="77777777" w:rsidTr="48E5EC5E">
        <w:tc>
          <w:tcPr>
            <w:tcW w:w="408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32375BFD" w14:textId="77777777" w:rsidR="005B0BE8" w:rsidRPr="00F50461" w:rsidRDefault="005B0BE8">
            <w:pPr>
              <w:jc w:val="both"/>
            </w:pPr>
            <w:r w:rsidRPr="00F50461">
              <w:rPr>
                <w:iCs/>
              </w:rPr>
              <w:t xml:space="preserve">Mērķis, risinājums un projekta spēkā stāšanās laiks </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729AB4" w14:textId="6D0A6686" w:rsidR="00A94114" w:rsidRPr="00717A9B" w:rsidRDefault="546423A8" w:rsidP="00717A9B">
            <w:pPr>
              <w:jc w:val="both"/>
            </w:pPr>
            <w:r w:rsidRPr="00F50461">
              <w:t>Noteikumu projekt</w:t>
            </w:r>
            <w:r w:rsidR="00A94114">
              <w:t>a</w:t>
            </w:r>
            <w:r w:rsidRPr="00F50461">
              <w:t xml:space="preserve"> “</w:t>
            </w:r>
            <w:hyperlink r:id="rId9">
              <w:r w:rsidRPr="00F50461">
                <w:rPr>
                  <w:lang w:eastAsia="lv-LV"/>
                </w:rPr>
                <w:t>Valsts bērnu tiesību aizsardzības inspekcijas nolikums</w:t>
              </w:r>
            </w:hyperlink>
            <w:r w:rsidRPr="00F50461">
              <w:rPr>
                <w:lang w:eastAsia="lv-LV"/>
              </w:rPr>
              <w:t xml:space="preserve">” </w:t>
            </w:r>
            <w:r w:rsidR="004F5333" w:rsidRPr="00F50461">
              <w:rPr>
                <w:lang w:eastAsia="lv-LV"/>
              </w:rPr>
              <w:t>(turpmāk</w:t>
            </w:r>
            <w:r w:rsidR="54AE689B" w:rsidRPr="54AE689B">
              <w:rPr>
                <w:lang w:eastAsia="lv-LV"/>
              </w:rPr>
              <w:t xml:space="preserve"> </w:t>
            </w:r>
            <w:r w:rsidR="004F5333" w:rsidRPr="00F50461">
              <w:rPr>
                <w:lang w:eastAsia="lv-LV"/>
              </w:rPr>
              <w:t xml:space="preserve">- </w:t>
            </w:r>
            <w:r w:rsidR="00A6752C">
              <w:rPr>
                <w:lang w:eastAsia="lv-LV"/>
              </w:rPr>
              <w:t>N</w:t>
            </w:r>
            <w:r w:rsidR="004F5333" w:rsidRPr="00F50461">
              <w:rPr>
                <w:lang w:eastAsia="lv-LV"/>
              </w:rPr>
              <w:t>oteikumu projekts)</w:t>
            </w:r>
            <w:r w:rsidR="00A94114">
              <w:rPr>
                <w:lang w:eastAsia="lv-LV"/>
              </w:rPr>
              <w:t xml:space="preserve"> mērķis ir </w:t>
            </w:r>
            <w:r w:rsidR="00DF790A">
              <w:rPr>
                <w:lang w:eastAsia="lv-LV"/>
              </w:rPr>
              <w:t xml:space="preserve">noteikt, ka </w:t>
            </w:r>
            <w:r w:rsidR="00DF790A" w:rsidRPr="00DF790A">
              <w:rPr>
                <w:lang w:eastAsia="lv-LV"/>
              </w:rPr>
              <w:t>Valsts bērnu tiesību aizsardzības inspekcija</w:t>
            </w:r>
            <w:r w:rsidR="00DF790A">
              <w:rPr>
                <w:lang w:eastAsia="lv-LV"/>
              </w:rPr>
              <w:t>s (</w:t>
            </w:r>
            <w:r w:rsidR="00DF790A">
              <w:rPr>
                <w:rFonts w:eastAsia="Calibri"/>
                <w:lang w:eastAsia="lv-LV"/>
              </w:rPr>
              <w:t>turpmāk-</w:t>
            </w:r>
            <w:r w:rsidR="00DF790A" w:rsidRPr="00F50461">
              <w:rPr>
                <w:bCs/>
                <w:iCs/>
              </w:rPr>
              <w:t>VBTAI</w:t>
            </w:r>
            <w:r w:rsidR="00DF790A">
              <w:rPr>
                <w:bCs/>
                <w:iCs/>
              </w:rPr>
              <w:t>)</w:t>
            </w:r>
            <w:r w:rsidR="00DF790A" w:rsidRPr="00F50461">
              <w:rPr>
                <w:bCs/>
                <w:iCs/>
              </w:rPr>
              <w:t xml:space="preserve"> </w:t>
            </w:r>
            <w:r w:rsidR="00DF790A">
              <w:t>kompetencē ir īstenot</w:t>
            </w:r>
            <w:r w:rsidR="00DF790A" w:rsidRPr="006A38A5">
              <w:rPr>
                <w:b/>
              </w:rPr>
              <w:t xml:space="preserve"> </w:t>
            </w:r>
            <w:r w:rsidR="00DF790A" w:rsidRPr="00DF790A">
              <w:t xml:space="preserve">bāriņtiesas funkcionālo </w:t>
            </w:r>
            <w:r w:rsidR="00717A9B">
              <w:t xml:space="preserve">pārraudzību </w:t>
            </w:r>
            <w:r w:rsidR="48390C9B">
              <w:t>aizgādības</w:t>
            </w:r>
            <w:r w:rsidR="00717A9B" w:rsidRPr="00D00DB6">
              <w:t xml:space="preserve"> tiesību </w:t>
            </w:r>
            <w:r w:rsidR="48390C9B">
              <w:t>pārtraukšanas,</w:t>
            </w:r>
            <w:r w:rsidR="006A3C79">
              <w:t xml:space="preserve"> atņemšanas,</w:t>
            </w:r>
            <w:r w:rsidR="00717A9B" w:rsidRPr="00D00DB6">
              <w:t xml:space="preserve"> pārtraukto aizgādības tiesību </w:t>
            </w:r>
            <w:r w:rsidR="48390C9B">
              <w:t>atjaunošanas</w:t>
            </w:r>
            <w:r w:rsidR="006A3C79">
              <w:t xml:space="preserve"> un</w:t>
            </w:r>
            <w:r w:rsidR="00717A9B" w:rsidRPr="00D00DB6">
              <w:t xml:space="preserve"> ārpusģimenes </w:t>
            </w:r>
            <w:r w:rsidR="48390C9B">
              <w:t>aprūpes jomās</w:t>
            </w:r>
            <w:r w:rsidR="00717A9B">
              <w:t xml:space="preserve">, ka arī </w:t>
            </w:r>
            <w:r w:rsidR="00DF790A" w:rsidRPr="00DF790A">
              <w:t>institucionālo pārraudzību</w:t>
            </w:r>
            <w:r w:rsidR="00717A9B">
              <w:t xml:space="preserve"> - </w:t>
            </w:r>
            <w:r w:rsidR="00717A9B" w:rsidRPr="00D00DB6">
              <w:rPr>
                <w:color w:val="414142"/>
                <w:lang w:eastAsia="lv-LV"/>
              </w:rPr>
              <w:t>organiz</w:t>
            </w:r>
            <w:r w:rsidR="00717A9B">
              <w:rPr>
                <w:color w:val="414142"/>
                <w:lang w:eastAsia="lv-LV"/>
              </w:rPr>
              <w:t>ēt</w:t>
            </w:r>
            <w:r w:rsidR="00717A9B" w:rsidRPr="00D00DB6">
              <w:rPr>
                <w:color w:val="414142"/>
                <w:lang w:eastAsia="lv-LV"/>
              </w:rPr>
              <w:t xml:space="preserve"> </w:t>
            </w:r>
            <w:r w:rsidR="0004587D">
              <w:rPr>
                <w:color w:val="414142"/>
                <w:lang w:eastAsia="lv-LV"/>
              </w:rPr>
              <w:t>k</w:t>
            </w:r>
            <w:r w:rsidR="00717A9B" w:rsidRPr="00D00DB6">
              <w:rPr>
                <w:color w:val="414142"/>
                <w:lang w:eastAsia="lv-LV"/>
              </w:rPr>
              <w:t>valifikācijas komisijas darbību</w:t>
            </w:r>
            <w:r w:rsidR="00717A9B">
              <w:rPr>
                <w:color w:val="414142"/>
                <w:lang w:eastAsia="lv-LV"/>
              </w:rPr>
              <w:t xml:space="preserve">, kas </w:t>
            </w:r>
            <w:r w:rsidR="00717A9B" w:rsidRPr="006A38A5">
              <w:t xml:space="preserve">rūpējas par bāriņtiesu darbinieku kvalifikācijas un tālākizglītības jautājumiem, kā arī darbojas </w:t>
            </w:r>
            <w:r w:rsidR="006F7A9C">
              <w:t>bā</w:t>
            </w:r>
            <w:r w:rsidR="00384FAF">
              <w:t>r</w:t>
            </w:r>
            <w:r w:rsidR="006F7A9C">
              <w:t>i</w:t>
            </w:r>
            <w:r w:rsidR="00384FAF">
              <w:t>ņ</w:t>
            </w:r>
            <w:r w:rsidR="006F7A9C">
              <w:t>tiesu</w:t>
            </w:r>
            <w:r w:rsidR="00384FAF">
              <w:t xml:space="preserve"> </w:t>
            </w:r>
            <w:r w:rsidR="006F7A9C">
              <w:t xml:space="preserve">amatpersonu </w:t>
            </w:r>
            <w:r w:rsidR="00717A9B" w:rsidRPr="006A38A5">
              <w:t>sertifikācijas jautājumos</w:t>
            </w:r>
            <w:r w:rsidR="00717A9B">
              <w:t>.</w:t>
            </w:r>
            <w:r w:rsidR="009C22F0">
              <w:t xml:space="preserve"> </w:t>
            </w:r>
          </w:p>
          <w:p w14:paraId="10D0D48D" w14:textId="2BA8A661" w:rsidR="00C21412" w:rsidRPr="00F50461" w:rsidRDefault="48E5EC5E" w:rsidP="0042498E">
            <w:pPr>
              <w:jc w:val="both"/>
            </w:pPr>
            <w:r>
              <w:t xml:space="preserve">Vienlaikus </w:t>
            </w:r>
            <w:r w:rsidRPr="48E5EC5E">
              <w:rPr>
                <w:lang w:eastAsia="lv-LV"/>
              </w:rPr>
              <w:t xml:space="preserve">Noteikumu projekts paredz kopumā aktualizēt </w:t>
            </w:r>
            <w:r>
              <w:t>VBTAI</w:t>
            </w:r>
            <w:r w:rsidRPr="48E5EC5E">
              <w:rPr>
                <w:lang w:eastAsia="lv-LV"/>
              </w:rPr>
              <w:t xml:space="preserve"> nolikuma saturu, ņemot vērā notikušās izmaiņas VBTAI kompetencēs, kā arī izmaiņas ārējos normatīvajos aktos.</w:t>
            </w:r>
          </w:p>
        </w:tc>
      </w:tr>
    </w:tbl>
    <w:p w14:paraId="093BB301" w14:textId="77777777" w:rsidR="005B0BE8" w:rsidRPr="00F50461" w:rsidRDefault="005B0BE8">
      <w:pPr>
        <w:jc w:val="center"/>
        <w:rPr>
          <w:b/>
          <w:bCs/>
          <w:lang w:eastAsia="lv-LV"/>
        </w:rPr>
      </w:pPr>
    </w:p>
    <w:tbl>
      <w:tblPr>
        <w:tblW w:w="9644" w:type="dxa"/>
        <w:tblInd w:w="-10" w:type="dxa"/>
        <w:tblLayout w:type="fixed"/>
        <w:tblCellMar>
          <w:left w:w="0" w:type="dxa"/>
          <w:right w:w="0" w:type="dxa"/>
        </w:tblCellMar>
        <w:tblLook w:val="0000" w:firstRow="0" w:lastRow="0" w:firstColumn="0" w:lastColumn="0" w:noHBand="0" w:noVBand="0"/>
      </w:tblPr>
      <w:tblGrid>
        <w:gridCol w:w="550"/>
        <w:gridCol w:w="3566"/>
        <w:gridCol w:w="5528"/>
      </w:tblGrid>
      <w:tr w:rsidR="005B0BE8" w:rsidRPr="00F50461" w14:paraId="36AFCE4E" w14:textId="77777777" w:rsidTr="69AAF6FD">
        <w:tc>
          <w:tcPr>
            <w:tcW w:w="9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4EDE37" w14:textId="77777777" w:rsidR="005B0BE8" w:rsidRPr="00F50461" w:rsidRDefault="005B0BE8">
            <w:pPr>
              <w:pStyle w:val="naisnod"/>
              <w:spacing w:before="0" w:after="0"/>
            </w:pPr>
            <w:r w:rsidRPr="00F50461">
              <w:t>I. Tiesību akta projekta izstrādes nepieciešamība</w:t>
            </w:r>
          </w:p>
        </w:tc>
      </w:tr>
      <w:tr w:rsidR="005B0BE8" w:rsidRPr="00F50461" w14:paraId="65273144" w14:textId="77777777" w:rsidTr="69AAF6FD">
        <w:trPr>
          <w:trHeight w:val="630"/>
        </w:trPr>
        <w:tc>
          <w:tcPr>
            <w:tcW w:w="550" w:type="dxa"/>
            <w:tcBorders>
              <w:top w:val="single" w:sz="4" w:space="0" w:color="000000" w:themeColor="text1"/>
              <w:left w:val="single" w:sz="4" w:space="0" w:color="000000" w:themeColor="text1"/>
              <w:bottom w:val="single" w:sz="4" w:space="0" w:color="000000" w:themeColor="text1"/>
            </w:tcBorders>
            <w:shd w:val="clear" w:color="auto" w:fill="auto"/>
          </w:tcPr>
          <w:p w14:paraId="118A5683" w14:textId="77777777" w:rsidR="005B0BE8" w:rsidRPr="00F50461" w:rsidRDefault="005B0BE8">
            <w:pPr>
              <w:pStyle w:val="naiskr"/>
              <w:spacing w:before="0" w:after="0"/>
            </w:pPr>
            <w:r w:rsidRPr="00F50461">
              <w:t>1.</w:t>
            </w:r>
          </w:p>
        </w:tc>
        <w:tc>
          <w:tcPr>
            <w:tcW w:w="3566" w:type="dxa"/>
            <w:tcBorders>
              <w:top w:val="single" w:sz="4" w:space="0" w:color="000000" w:themeColor="text1"/>
              <w:left w:val="single" w:sz="4" w:space="0" w:color="000000" w:themeColor="text1"/>
              <w:bottom w:val="single" w:sz="4" w:space="0" w:color="000000" w:themeColor="text1"/>
            </w:tcBorders>
            <w:shd w:val="clear" w:color="auto" w:fill="auto"/>
          </w:tcPr>
          <w:p w14:paraId="0325A0B5" w14:textId="77777777" w:rsidR="005B0BE8" w:rsidRPr="00F50461" w:rsidRDefault="005B0BE8">
            <w:pPr>
              <w:pStyle w:val="naiskr"/>
              <w:spacing w:before="0" w:after="0"/>
              <w:ind w:hanging="10"/>
              <w:jc w:val="both"/>
            </w:pPr>
            <w:r w:rsidRPr="00F50461">
              <w:t>Pamatojums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CF3B6A" w14:textId="3A4BD0A6" w:rsidR="007E2DA4" w:rsidRPr="00F50461" w:rsidRDefault="2BBDFCEC" w:rsidP="00294AE9">
            <w:pPr>
              <w:pStyle w:val="naiskr"/>
              <w:spacing w:before="0" w:after="0"/>
              <w:jc w:val="both"/>
              <w:rPr>
                <w:lang w:eastAsia="en-US"/>
              </w:rPr>
            </w:pPr>
            <w:r w:rsidRPr="00F50461">
              <w:rPr>
                <w:lang w:eastAsia="lv-LV"/>
              </w:rPr>
              <w:t>Ministru kabineta 2021.gada 18.februāra sēd</w:t>
            </w:r>
            <w:r w:rsidR="00C85701" w:rsidRPr="00F50461">
              <w:rPr>
                <w:lang w:eastAsia="lv-LV"/>
              </w:rPr>
              <w:t>es</w:t>
            </w:r>
            <w:r w:rsidR="003639F5" w:rsidRPr="00F50461">
              <w:rPr>
                <w:lang w:eastAsia="lv-LV"/>
              </w:rPr>
              <w:t xml:space="preserve"> protokola </w:t>
            </w:r>
            <w:r w:rsidR="0095593A">
              <w:rPr>
                <w:lang w:eastAsia="lv-LV"/>
              </w:rPr>
              <w:t>N</w:t>
            </w:r>
            <w:r w:rsidR="003639F5" w:rsidRPr="00F50461">
              <w:rPr>
                <w:lang w:eastAsia="lv-LV"/>
              </w:rPr>
              <w:t xml:space="preserve">r.18 </w:t>
            </w:r>
            <w:r w:rsidR="00C22BC7" w:rsidRPr="00F50461">
              <w:rPr>
                <w:lang w:eastAsia="lv-LV"/>
              </w:rPr>
              <w:t xml:space="preserve">39.paragrāfa </w:t>
            </w:r>
            <w:r w:rsidR="00681ECC" w:rsidRPr="00F50461">
              <w:rPr>
                <w:lang w:eastAsia="lv-LV"/>
              </w:rPr>
              <w:t>“</w:t>
            </w:r>
            <w:r w:rsidRPr="00F50461">
              <w:rPr>
                <w:lang w:eastAsia="en-US"/>
              </w:rPr>
              <w:t>Informatīvais ziņojums „Par bērnu tiesību aizsardzības sistēmas pilnveidi”</w:t>
            </w:r>
            <w:r w:rsidR="00866A4A" w:rsidRPr="00F50461">
              <w:rPr>
                <w:lang w:eastAsia="en-US"/>
              </w:rPr>
              <w:t>”</w:t>
            </w:r>
            <w:r w:rsidRPr="00F50461">
              <w:rPr>
                <w:lang w:eastAsia="en-US"/>
              </w:rPr>
              <w:t xml:space="preserve"> </w:t>
            </w:r>
            <w:r w:rsidRPr="00F50461">
              <w:rPr>
                <w:rFonts w:eastAsia="Calibri"/>
                <w:lang w:eastAsia="lv-LV"/>
              </w:rPr>
              <w:t>2.2.apak</w:t>
            </w:r>
            <w:r w:rsidR="00C21412">
              <w:rPr>
                <w:rFonts w:eastAsia="Calibri"/>
                <w:lang w:eastAsia="lv-LV"/>
              </w:rPr>
              <w:t>š</w:t>
            </w:r>
            <w:r w:rsidRPr="00F50461">
              <w:rPr>
                <w:rFonts w:eastAsia="Calibri"/>
                <w:lang w:eastAsia="lv-LV"/>
              </w:rPr>
              <w:t>punktā uzdots Labklājības</w:t>
            </w:r>
            <w:r w:rsidR="00D70E33" w:rsidRPr="00F50461">
              <w:rPr>
                <w:rFonts w:eastAsia="Calibri"/>
                <w:lang w:eastAsia="lv-LV"/>
              </w:rPr>
              <w:t xml:space="preserve"> </w:t>
            </w:r>
            <w:r w:rsidRPr="00F50461">
              <w:rPr>
                <w:rFonts w:eastAsia="Calibri"/>
                <w:lang w:eastAsia="lv-LV"/>
              </w:rPr>
              <w:t>ministrijai izstrādāt un labklājības ministram iesniegt izskatīšanai Ministru kabinetā</w:t>
            </w:r>
            <w:r w:rsidRPr="00F50461">
              <w:rPr>
                <w:lang w:eastAsia="lv-LV"/>
              </w:rPr>
              <w:t xml:space="preserve"> </w:t>
            </w:r>
            <w:r w:rsidRPr="00F50461">
              <w:rPr>
                <w:rFonts w:eastAsia="Calibri"/>
                <w:lang w:eastAsia="lv-LV"/>
              </w:rPr>
              <w:t>līdz 2021.gada 1.maijam grozījumus Ministru kabineta 2005.gada 29.novembra noteikumos Nr.898 “Valsts bērnu tiesību aizsardzības inspekcijas nolikums”, precizējot iestādes funkcijas, uzdevumus, tiesības un pienākumus atbilstoši šī protokollēmuma 2.1.apakšpunktā minētajām funkcionālajām izmaiņām</w:t>
            </w:r>
            <w:r w:rsidRPr="00F50461">
              <w:rPr>
                <w:lang w:eastAsia="lv-LV"/>
              </w:rPr>
              <w:t>.</w:t>
            </w:r>
          </w:p>
        </w:tc>
      </w:tr>
      <w:tr w:rsidR="005B0BE8" w:rsidRPr="00F50461" w14:paraId="799A97E9" w14:textId="77777777" w:rsidTr="69AAF6FD">
        <w:trPr>
          <w:trHeight w:val="472"/>
        </w:trPr>
        <w:tc>
          <w:tcPr>
            <w:tcW w:w="550" w:type="dxa"/>
            <w:tcBorders>
              <w:top w:val="single" w:sz="4" w:space="0" w:color="000000" w:themeColor="text1"/>
              <w:left w:val="single" w:sz="4" w:space="0" w:color="000000" w:themeColor="text1"/>
              <w:bottom w:val="single" w:sz="4" w:space="0" w:color="000000" w:themeColor="text1"/>
            </w:tcBorders>
            <w:shd w:val="clear" w:color="auto" w:fill="auto"/>
          </w:tcPr>
          <w:p w14:paraId="2B99DCF0" w14:textId="77777777" w:rsidR="005B0BE8" w:rsidRPr="00F50461" w:rsidRDefault="005B0BE8">
            <w:pPr>
              <w:pStyle w:val="naiskr"/>
              <w:spacing w:before="0" w:after="0"/>
            </w:pPr>
            <w:r w:rsidRPr="00F50461">
              <w:t>2.</w:t>
            </w:r>
          </w:p>
        </w:tc>
        <w:tc>
          <w:tcPr>
            <w:tcW w:w="3566" w:type="dxa"/>
            <w:tcBorders>
              <w:top w:val="single" w:sz="4" w:space="0" w:color="000000" w:themeColor="text1"/>
              <w:left w:val="single" w:sz="4" w:space="0" w:color="000000" w:themeColor="text1"/>
              <w:bottom w:val="single" w:sz="4" w:space="0" w:color="000000" w:themeColor="text1"/>
            </w:tcBorders>
            <w:shd w:val="clear" w:color="auto" w:fill="auto"/>
          </w:tcPr>
          <w:p w14:paraId="48BDB7DB" w14:textId="77777777" w:rsidR="005B0BE8" w:rsidRPr="00F50461" w:rsidRDefault="005B0BE8">
            <w:pPr>
              <w:pStyle w:val="naiskr"/>
              <w:tabs>
                <w:tab w:val="left" w:pos="170"/>
              </w:tabs>
              <w:spacing w:before="0" w:after="0"/>
            </w:pPr>
            <w:r w:rsidRPr="00F50461">
              <w:t>Pašreizējā situācija un problēmas, kuru risināšanai tiesību akta projekts izstrādāts, tiesiskā regulējuma mērķis un būtība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7D7D7" w14:textId="2AE78E65" w:rsidR="00CD5855" w:rsidRDefault="48E5EC5E" w:rsidP="00CD5855">
            <w:pPr>
              <w:jc w:val="both"/>
            </w:pPr>
            <w:r w:rsidRPr="48E5EC5E">
              <w:rPr>
                <w:lang w:eastAsia="en-US"/>
              </w:rPr>
              <w:t>Valsts pārvaldes iekārtas likuma 16. panta otrās daļas 3. punkts nosaka, ka tiešās pārvaldes iestādes nolikumā norāda iestādes funkcijas, uzdevumus un kompetenci. No minētā izriet, ka, ja tiešās pārvaldes iestādes funkcijās, pildāmajos uzdevumos vai kompetencē tiek veiktas izmaiņas, grozījumi veicami arī tās nolikumā.</w:t>
            </w:r>
          </w:p>
          <w:p w14:paraId="6FD284C2" w14:textId="24422811" w:rsidR="00CD5855" w:rsidRDefault="00CD5855" w:rsidP="00CD5855">
            <w:pPr>
              <w:jc w:val="both"/>
              <w:rPr>
                <w:bCs/>
                <w:iCs/>
              </w:rPr>
            </w:pPr>
            <w:r w:rsidRPr="00CD5855">
              <w:rPr>
                <w:bCs/>
                <w:iCs/>
                <w:lang w:eastAsia="en-US"/>
              </w:rPr>
              <w:t>Projekts ir izstrādāts arī tādēļ, lai izpildītu Valsts pārvaldes iekārtas likuma 10. panta septītajā daļā nostiprināto principu, kas ietver sevī pienākumu aktualizēt informāciju atbilstoši izmaiņām tiesību aktos.</w:t>
            </w:r>
          </w:p>
          <w:p w14:paraId="35E9FE92" w14:textId="77777777" w:rsidR="00CD5855" w:rsidRDefault="00CD5855" w:rsidP="004F010B">
            <w:pPr>
              <w:suppressAutoHyphens w:val="0"/>
              <w:jc w:val="both"/>
              <w:rPr>
                <w:bCs/>
                <w:iCs/>
              </w:rPr>
            </w:pPr>
          </w:p>
          <w:p w14:paraId="5691311F" w14:textId="02321661" w:rsidR="00901CB2" w:rsidRPr="00CD5855" w:rsidRDefault="00CD5855" w:rsidP="115982BE">
            <w:pPr>
              <w:suppressAutoHyphens w:val="0"/>
              <w:jc w:val="both"/>
              <w:rPr>
                <w:bCs/>
                <w:iCs/>
                <w:lang w:eastAsia="en-US"/>
              </w:rPr>
            </w:pPr>
            <w:r w:rsidRPr="00F50461">
              <w:rPr>
                <w:bCs/>
                <w:iCs/>
              </w:rPr>
              <w:t xml:space="preserve">Šobrīd VBTAI darbību reglamentē </w:t>
            </w:r>
            <w:r w:rsidRPr="00F50461">
              <w:rPr>
                <w:rFonts w:eastAsia="Calibri"/>
                <w:shd w:val="clear" w:color="auto" w:fill="FFFFFF"/>
                <w:lang w:eastAsia="en-US"/>
              </w:rPr>
              <w:t>Ministru kabineta 2005.gada 29.novembra noteikum</w:t>
            </w:r>
            <w:r>
              <w:rPr>
                <w:rFonts w:eastAsia="Calibri"/>
                <w:shd w:val="clear" w:color="auto" w:fill="FFFFFF"/>
                <w:lang w:eastAsia="en-US"/>
              </w:rPr>
              <w:t>i</w:t>
            </w:r>
            <w:r w:rsidRPr="00F50461">
              <w:rPr>
                <w:rFonts w:eastAsia="Calibri"/>
                <w:shd w:val="clear" w:color="auto" w:fill="FFFFFF"/>
                <w:lang w:eastAsia="en-US"/>
              </w:rPr>
              <w:t xml:space="preserve"> Nr.898  "</w:t>
            </w:r>
            <w:hyperlink r:id="rId10" w:tgtFrame="_blank" w:history="1">
              <w:r w:rsidRPr="00F50461">
                <w:rPr>
                  <w:rFonts w:eastAsia="Calibri"/>
                  <w:shd w:val="clear" w:color="auto" w:fill="FFFFFF"/>
                  <w:lang w:eastAsia="en-US"/>
                </w:rPr>
                <w:t>Valsts bērnu tiesību aizsardzības inspekcijas nolikums</w:t>
              </w:r>
            </w:hyperlink>
            <w:r w:rsidRPr="00F50461">
              <w:rPr>
                <w:rFonts w:eastAsia="Calibri"/>
                <w:shd w:val="clear" w:color="auto" w:fill="FFFFFF"/>
                <w:lang w:eastAsia="en-US"/>
              </w:rPr>
              <w:t>"</w:t>
            </w:r>
            <w:r w:rsidRPr="00F50461">
              <w:rPr>
                <w:bCs/>
                <w:iCs/>
              </w:rPr>
              <w:t>(turpmāk – nolikums).</w:t>
            </w:r>
            <w:r w:rsidR="005B3AE0" w:rsidRPr="00F50461">
              <w:rPr>
                <w:bCs/>
                <w:iCs/>
                <w:lang w:eastAsia="en-US"/>
              </w:rPr>
              <w:t xml:space="preserve">Spēkā esošā nolikuma redakcija tostarp satur </w:t>
            </w:r>
            <w:r w:rsidR="005B3AE0" w:rsidRPr="00F50461">
              <w:rPr>
                <w:bCs/>
                <w:iCs/>
                <w:lang w:eastAsia="en-US"/>
              </w:rPr>
              <w:lastRenderedPageBreak/>
              <w:t xml:space="preserve">atsauces uz tādām </w:t>
            </w:r>
            <w:r w:rsidR="0095593A">
              <w:rPr>
                <w:bCs/>
                <w:iCs/>
                <w:lang w:eastAsia="en-US"/>
              </w:rPr>
              <w:t>VBTAI</w:t>
            </w:r>
            <w:r w:rsidR="005B3AE0" w:rsidRPr="00F50461">
              <w:rPr>
                <w:bCs/>
                <w:iCs/>
                <w:lang w:eastAsia="en-US"/>
              </w:rPr>
              <w:t xml:space="preserve"> funkcijām un uzdevumiem, kas redakcionāli un saturiski precizējami, kā arī tos nepieciešams aktualizēt</w:t>
            </w:r>
            <w:r w:rsidR="005B3AE0" w:rsidRPr="00F50461">
              <w:rPr>
                <w:lang w:eastAsia="en-US"/>
              </w:rPr>
              <w:t xml:space="preserve">, ņemot vērā būtiskas ārējo normatīvo aktu izmaiņas: </w:t>
            </w:r>
          </w:p>
          <w:p w14:paraId="5393E999" w14:textId="422A7AB7" w:rsidR="00CD5855" w:rsidRPr="00901CB2" w:rsidRDefault="0095593A" w:rsidP="00901CB2">
            <w:pPr>
              <w:pStyle w:val="Sarakstarindkopa"/>
              <w:numPr>
                <w:ilvl w:val="0"/>
                <w:numId w:val="7"/>
              </w:numPr>
              <w:suppressAutoHyphens w:val="0"/>
              <w:spacing w:after="0" w:line="240" w:lineRule="auto"/>
              <w:ind w:left="426" w:hanging="357"/>
              <w:jc w:val="both"/>
              <w:rPr>
                <w:rFonts w:ascii="Times New Roman" w:hAnsi="Times New Roman" w:cs="Times New Roman"/>
                <w:sz w:val="24"/>
                <w:szCs w:val="24"/>
                <w:lang w:eastAsia="en-US"/>
              </w:rPr>
            </w:pPr>
            <w:r w:rsidRPr="004F010B">
              <w:rPr>
                <w:rFonts w:ascii="Times New Roman" w:hAnsi="Times New Roman" w:cs="Times New Roman"/>
                <w:sz w:val="24"/>
                <w:szCs w:val="24"/>
                <w:lang w:eastAsia="lv-LV"/>
              </w:rPr>
              <w:t xml:space="preserve">2018.gada 1.jūlijā stājās spēkā Ministru kabineta  2018.gada 26.jūnija noteikumi Nr.354 „Audžuģimenes noteikumi” un Ministru kabineta 2018.gada 26.jūnija noteikumi Nr.355 „Ārpusģimenes aprūpes atbalsta centra noteikumi”, kuri nosaka, ka atbalsta sniegšanu audžuģimenēm un specializētajām audžuģimenēm no 2018.gada 1.jūlija nodrošina </w:t>
            </w:r>
            <w:r w:rsidR="0004587D">
              <w:rPr>
                <w:rFonts w:ascii="Times New Roman" w:hAnsi="Times New Roman" w:cs="Times New Roman"/>
                <w:sz w:val="24"/>
                <w:szCs w:val="24"/>
                <w:lang w:eastAsia="lv-LV"/>
              </w:rPr>
              <w:t>ā</w:t>
            </w:r>
            <w:r w:rsidR="00901CB2" w:rsidRPr="004F010B">
              <w:rPr>
                <w:rFonts w:ascii="Times New Roman" w:hAnsi="Times New Roman" w:cs="Times New Roman"/>
                <w:sz w:val="24"/>
                <w:szCs w:val="24"/>
                <w:lang w:eastAsia="lv-LV"/>
              </w:rPr>
              <w:t xml:space="preserve">rpusģimenes aprūpes </w:t>
            </w:r>
            <w:r w:rsidRPr="004F010B">
              <w:rPr>
                <w:rFonts w:ascii="Times New Roman" w:hAnsi="Times New Roman" w:cs="Times New Roman"/>
                <w:sz w:val="24"/>
                <w:szCs w:val="24"/>
                <w:lang w:eastAsia="lv-LV"/>
              </w:rPr>
              <w:t>atbalsta centri</w:t>
            </w:r>
            <w:r w:rsidR="00901CB2">
              <w:rPr>
                <w:rFonts w:ascii="Times New Roman" w:hAnsi="Times New Roman" w:cs="Times New Roman"/>
                <w:sz w:val="24"/>
                <w:szCs w:val="24"/>
                <w:lang w:eastAsia="lv-LV"/>
              </w:rPr>
              <w:t>;</w:t>
            </w:r>
          </w:p>
          <w:p w14:paraId="0846D53D" w14:textId="354B268C" w:rsidR="005B3AE0" w:rsidRDefault="005B3AE0" w:rsidP="0095593A">
            <w:pPr>
              <w:pStyle w:val="Sarakstarindkopa"/>
              <w:numPr>
                <w:ilvl w:val="0"/>
                <w:numId w:val="7"/>
              </w:numPr>
              <w:suppressAutoHyphens w:val="0"/>
              <w:spacing w:after="0" w:line="240" w:lineRule="auto"/>
              <w:ind w:left="426" w:hanging="357"/>
              <w:jc w:val="both"/>
              <w:rPr>
                <w:rFonts w:ascii="Times New Roman" w:hAnsi="Times New Roman" w:cs="Times New Roman"/>
                <w:sz w:val="24"/>
                <w:szCs w:val="24"/>
                <w:lang w:eastAsia="en-US"/>
              </w:rPr>
            </w:pPr>
            <w:r w:rsidRPr="004F010B">
              <w:rPr>
                <w:rFonts w:ascii="Times New Roman" w:hAnsi="Times New Roman" w:cs="Times New Roman"/>
                <w:sz w:val="24"/>
                <w:szCs w:val="24"/>
                <w:lang w:eastAsia="en-US"/>
              </w:rPr>
              <w:t>Administratīvās atbildības likuma spēkā stāšanās 2020. gada 1. jūlijā, ar ko spēku zaudē Latvijas Administratīvo pārkāpumu kodekss</w:t>
            </w:r>
            <w:r w:rsidR="00441B35">
              <w:rPr>
                <w:rFonts w:ascii="Times New Roman" w:hAnsi="Times New Roman" w:cs="Times New Roman"/>
                <w:sz w:val="24"/>
                <w:szCs w:val="24"/>
                <w:lang w:eastAsia="en-US"/>
              </w:rPr>
              <w:t xml:space="preserve"> (turpmāk-</w:t>
            </w:r>
            <w:r w:rsidR="6A218044" w:rsidRPr="000C4776">
              <w:rPr>
                <w:rFonts w:ascii="Times New Roman" w:hAnsi="Times New Roman" w:cs="Times New Roman"/>
                <w:sz w:val="24"/>
                <w:szCs w:val="24"/>
                <w:lang w:eastAsia="en-US"/>
              </w:rPr>
              <w:t>LAPK)</w:t>
            </w:r>
            <w:r w:rsidR="000C4776" w:rsidRPr="000C4776">
              <w:rPr>
                <w:rFonts w:ascii="Times New Roman" w:hAnsi="Times New Roman" w:cs="Times New Roman"/>
                <w:sz w:val="24"/>
                <w:szCs w:val="24"/>
                <w:lang w:eastAsia="en-US"/>
              </w:rPr>
              <w:t>;</w:t>
            </w:r>
          </w:p>
          <w:p w14:paraId="6636B72F" w14:textId="68094411" w:rsidR="000C4776" w:rsidRPr="0004587D" w:rsidRDefault="000E3606" w:rsidP="0004587D">
            <w:pPr>
              <w:pStyle w:val="Sarakstarindkopa"/>
              <w:numPr>
                <w:ilvl w:val="0"/>
                <w:numId w:val="7"/>
              </w:numPr>
              <w:suppressAutoHyphens w:val="0"/>
              <w:spacing w:after="0" w:line="240" w:lineRule="auto"/>
              <w:ind w:left="426" w:hanging="357"/>
              <w:jc w:val="both"/>
              <w:rPr>
                <w:rFonts w:ascii="Times New Roman" w:hAnsi="Times New Roman" w:cs="Times New Roman"/>
                <w:sz w:val="24"/>
                <w:szCs w:val="24"/>
                <w:lang w:eastAsia="en-US"/>
              </w:rPr>
            </w:pPr>
            <w:r>
              <w:rPr>
                <w:rFonts w:ascii="Times New Roman" w:hAnsi="Times New Roman" w:cs="Times New Roman"/>
                <w:sz w:val="24"/>
                <w:szCs w:val="24"/>
                <w:lang w:eastAsia="en-US"/>
              </w:rPr>
              <w:t>g</w:t>
            </w:r>
            <w:r w:rsidR="000C4776" w:rsidRPr="00CB1064">
              <w:rPr>
                <w:rFonts w:ascii="Times New Roman" w:hAnsi="Times New Roman" w:cs="Times New Roman"/>
                <w:sz w:val="24"/>
                <w:szCs w:val="24"/>
                <w:lang w:eastAsia="en-US"/>
              </w:rPr>
              <w:t>rozījumi Bāriņtiesu likumā</w:t>
            </w:r>
            <w:r w:rsidR="00CB1064" w:rsidRPr="00CB1064">
              <w:rPr>
                <w:rFonts w:ascii="Times New Roman" w:hAnsi="Times New Roman" w:cs="Times New Roman"/>
                <w:sz w:val="24"/>
                <w:szCs w:val="24"/>
                <w:lang w:eastAsia="en-US"/>
              </w:rPr>
              <w:t>, k</w:t>
            </w:r>
            <w:r w:rsidR="00DB0012">
              <w:rPr>
                <w:rFonts w:ascii="Times New Roman" w:hAnsi="Times New Roman" w:cs="Times New Roman"/>
                <w:sz w:val="24"/>
                <w:szCs w:val="24"/>
                <w:lang w:eastAsia="en-US"/>
              </w:rPr>
              <w:t>urus</w:t>
            </w:r>
            <w:r w:rsidR="00CB1064" w:rsidRPr="00CB1064">
              <w:rPr>
                <w:rFonts w:ascii="Times New Roman" w:hAnsi="Times New Roman" w:cs="Times New Roman"/>
                <w:sz w:val="24"/>
                <w:szCs w:val="24"/>
                <w:lang w:eastAsia="en-US"/>
              </w:rPr>
              <w:t xml:space="preserve"> Saeim</w:t>
            </w:r>
            <w:r w:rsidR="00DB0012">
              <w:rPr>
                <w:rFonts w:ascii="Times New Roman" w:hAnsi="Times New Roman" w:cs="Times New Roman"/>
                <w:sz w:val="24"/>
                <w:szCs w:val="24"/>
                <w:lang w:eastAsia="en-US"/>
              </w:rPr>
              <w:t>a</w:t>
            </w:r>
            <w:r w:rsidR="00CB1064" w:rsidRPr="00CB1064">
              <w:rPr>
                <w:rFonts w:ascii="Times New Roman" w:hAnsi="Times New Roman" w:cs="Times New Roman"/>
                <w:sz w:val="24"/>
                <w:szCs w:val="24"/>
              </w:rPr>
              <w:t xml:space="preserve"> pieņ</w:t>
            </w:r>
            <w:r w:rsidR="00DB0012">
              <w:rPr>
                <w:rFonts w:ascii="Times New Roman" w:hAnsi="Times New Roman" w:cs="Times New Roman"/>
                <w:sz w:val="24"/>
                <w:szCs w:val="24"/>
              </w:rPr>
              <w:t>ēmusi</w:t>
            </w:r>
            <w:r w:rsidR="00CB1064" w:rsidRPr="00CB1064">
              <w:rPr>
                <w:rFonts w:ascii="Times New Roman" w:hAnsi="Times New Roman" w:cs="Times New Roman"/>
                <w:sz w:val="24"/>
                <w:szCs w:val="24"/>
              </w:rPr>
              <w:t xml:space="preserve"> š.g. 16.jūnijā un </w:t>
            </w:r>
            <w:r w:rsidR="0004587D">
              <w:rPr>
                <w:rFonts w:ascii="Times New Roman" w:hAnsi="Times New Roman" w:cs="Times New Roman"/>
                <w:sz w:val="24"/>
                <w:szCs w:val="24"/>
              </w:rPr>
              <w:t>kas spēkā stājušies</w:t>
            </w:r>
            <w:r w:rsidR="002F79EB">
              <w:rPr>
                <w:rFonts w:ascii="Times New Roman" w:hAnsi="Times New Roman" w:cs="Times New Roman"/>
                <w:sz w:val="24"/>
                <w:szCs w:val="24"/>
              </w:rPr>
              <w:t xml:space="preserve"> š.g. 1.jūlijā</w:t>
            </w:r>
            <w:r w:rsidR="00CB1064" w:rsidRPr="0004587D">
              <w:t>.</w:t>
            </w:r>
          </w:p>
          <w:p w14:paraId="71AF0980" w14:textId="77777777" w:rsidR="00FE539F" w:rsidRDefault="00FE539F" w:rsidP="00631E8D">
            <w:pPr>
              <w:shd w:val="clear" w:color="auto" w:fill="FFFFFF"/>
              <w:suppressAutoHyphens w:val="0"/>
              <w:jc w:val="both"/>
              <w:rPr>
                <w:lang w:eastAsia="en-US"/>
              </w:rPr>
            </w:pPr>
          </w:p>
          <w:p w14:paraId="0AB1818D" w14:textId="5CB39D86" w:rsidR="005B3AE0" w:rsidRDefault="005B3AE0" w:rsidP="00631E8D">
            <w:pPr>
              <w:shd w:val="clear" w:color="auto" w:fill="FFFFFF"/>
              <w:suppressAutoHyphens w:val="0"/>
              <w:jc w:val="both"/>
              <w:rPr>
                <w:shd w:val="clear" w:color="auto" w:fill="FFFFFF"/>
              </w:rPr>
            </w:pPr>
            <w:r w:rsidRPr="0088602A">
              <w:rPr>
                <w:lang w:eastAsia="en-US"/>
              </w:rPr>
              <w:t xml:space="preserve">Ņemot vērā, ka grozījumi, kurus nepieciešams izdarīt nolikumā, ir apjomīgi, tad, atbilstoši Ministru kabineta 2009. gada 3. februāra noteikumu Nr. 108 </w:t>
            </w:r>
            <w:r w:rsidRPr="0088602A">
              <w:rPr>
                <w:iCs/>
                <w:lang w:eastAsia="en-US"/>
              </w:rPr>
              <w:t xml:space="preserve">"Normatīvo aktu projektu sagatavošanas noteikumi" </w:t>
            </w:r>
            <w:r w:rsidRPr="0088602A">
              <w:rPr>
                <w:lang w:eastAsia="en-US"/>
              </w:rPr>
              <w:t xml:space="preserve">140. punktam, ir sagatavots jauns </w:t>
            </w:r>
            <w:r w:rsidR="004F010B" w:rsidRPr="0088602A">
              <w:rPr>
                <w:lang w:eastAsia="en-US"/>
              </w:rPr>
              <w:t xml:space="preserve">VBTAI </w:t>
            </w:r>
            <w:r w:rsidRPr="0088602A">
              <w:rPr>
                <w:lang w:eastAsia="en-US"/>
              </w:rPr>
              <w:t>nolikuma projekts.</w:t>
            </w:r>
            <w:r w:rsidR="00576F7F" w:rsidRPr="0088602A">
              <w:rPr>
                <w:bCs/>
                <w:shd w:val="clear" w:color="auto" w:fill="FFFFFF"/>
              </w:rPr>
              <w:t xml:space="preserve"> Noteikumu projekts paredz šādas</w:t>
            </w:r>
            <w:r w:rsidR="00576F7F" w:rsidRPr="0088602A">
              <w:rPr>
                <w:shd w:val="clear" w:color="auto" w:fill="FFFFFF"/>
              </w:rPr>
              <w:t> izmaiņas, salīdzinot ar šobrīd spēkā esošo </w:t>
            </w:r>
            <w:r w:rsidR="00576F7F" w:rsidRPr="0088602A">
              <w:rPr>
                <w:bCs/>
                <w:shd w:val="clear" w:color="auto" w:fill="FFFFFF"/>
              </w:rPr>
              <w:t>regulējumu:</w:t>
            </w:r>
            <w:r w:rsidR="00576F7F" w:rsidRPr="00F50461">
              <w:rPr>
                <w:shd w:val="clear" w:color="auto" w:fill="FFFFFF"/>
              </w:rPr>
              <w:t> </w:t>
            </w:r>
          </w:p>
          <w:p w14:paraId="7583CF46" w14:textId="77777777" w:rsidR="00FE539F" w:rsidRPr="00F50461" w:rsidRDefault="00FE539F" w:rsidP="00631E8D">
            <w:pPr>
              <w:shd w:val="clear" w:color="auto" w:fill="FFFFFF"/>
              <w:suppressAutoHyphens w:val="0"/>
              <w:jc w:val="both"/>
            </w:pPr>
          </w:p>
          <w:p w14:paraId="46039A6F" w14:textId="1A539FD4" w:rsidR="002F5834" w:rsidRPr="00C06D0C" w:rsidRDefault="002F5834" w:rsidP="00F51B6C">
            <w:pPr>
              <w:jc w:val="both"/>
              <w:rPr>
                <w:b/>
                <w:bCs/>
                <w:lang w:eastAsia="lv-LV"/>
              </w:rPr>
            </w:pPr>
            <w:r w:rsidRPr="00C06D0C">
              <w:rPr>
                <w:b/>
                <w:bCs/>
                <w:lang w:eastAsia="lv-LV"/>
              </w:rPr>
              <w:t>II.</w:t>
            </w:r>
            <w:r w:rsidR="00635743" w:rsidRPr="00C06D0C">
              <w:rPr>
                <w:b/>
                <w:bCs/>
                <w:lang w:eastAsia="lv-LV"/>
              </w:rPr>
              <w:t xml:space="preserve"> </w:t>
            </w:r>
            <w:r w:rsidRPr="00C06D0C">
              <w:rPr>
                <w:b/>
                <w:bCs/>
                <w:lang w:eastAsia="lv-LV"/>
              </w:rPr>
              <w:t>Inspekcijas funkcijas, kompetence,</w:t>
            </w:r>
            <w:r w:rsidRPr="00C06D0C">
              <w:t xml:space="preserve"> </w:t>
            </w:r>
            <w:r w:rsidRPr="00C06D0C">
              <w:rPr>
                <w:b/>
                <w:bCs/>
                <w:lang w:eastAsia="lv-LV"/>
              </w:rPr>
              <w:t>uzdevumi un tiesības.</w:t>
            </w:r>
          </w:p>
          <w:p w14:paraId="5D2ACD7C" w14:textId="5E89CDEB" w:rsidR="002F5834" w:rsidRPr="005477CB" w:rsidRDefault="00CD5855" w:rsidP="00CD53F2">
            <w:pPr>
              <w:jc w:val="both"/>
              <w:rPr>
                <w:rFonts w:eastAsiaTheme="minorEastAsia"/>
                <w:lang w:eastAsia="lv-LV"/>
              </w:rPr>
            </w:pPr>
            <w:r w:rsidRPr="005477CB">
              <w:rPr>
                <w:rFonts w:eastAsiaTheme="minorEastAsia"/>
                <w:lang w:eastAsia="lv-LV"/>
              </w:rPr>
              <w:t xml:space="preserve">1. </w:t>
            </w:r>
          </w:p>
          <w:p w14:paraId="05CA807E" w14:textId="692B9FE5" w:rsidR="00F51B6C" w:rsidRDefault="00F51B6C" w:rsidP="00227646">
            <w:pPr>
              <w:jc w:val="both"/>
            </w:pPr>
            <w:r w:rsidRPr="00FE539F">
              <w:rPr>
                <w:rFonts w:eastAsiaTheme="minorEastAsia"/>
                <w:lang w:eastAsia="lv-LV"/>
              </w:rPr>
              <w:t xml:space="preserve">Nolikuma 2.2.apakšpunkts izteikts jaunā redakcijā, paplašinot VBTAI </w:t>
            </w:r>
            <w:r w:rsidR="00576F7F" w:rsidRPr="00FE539F">
              <w:rPr>
                <w:rFonts w:eastAsiaTheme="minorEastAsia"/>
                <w:lang w:eastAsia="lv-LV"/>
              </w:rPr>
              <w:t xml:space="preserve">funkcijas un </w:t>
            </w:r>
            <w:r w:rsidRPr="00FE539F">
              <w:rPr>
                <w:rFonts w:eastAsiaTheme="minorEastAsia"/>
                <w:lang w:eastAsia="lv-LV"/>
              </w:rPr>
              <w:t xml:space="preserve">kompetenci, </w:t>
            </w:r>
            <w:r w:rsidR="00F229D2" w:rsidRPr="00FE539F">
              <w:rPr>
                <w:rFonts w:eastAsiaTheme="minorEastAsia"/>
                <w:lang w:eastAsia="lv-LV"/>
              </w:rPr>
              <w:t xml:space="preserve">un papildinot ar jaunu </w:t>
            </w:r>
            <w:r w:rsidR="00576F7F" w:rsidRPr="00FE539F">
              <w:rPr>
                <w:rFonts w:eastAsiaTheme="minorEastAsia"/>
                <w:lang w:eastAsia="lv-LV"/>
              </w:rPr>
              <w:t xml:space="preserve">nolikuma </w:t>
            </w:r>
            <w:r w:rsidR="00F229D2" w:rsidRPr="00FE539F">
              <w:rPr>
                <w:rFonts w:eastAsiaTheme="minorEastAsia"/>
                <w:lang w:eastAsia="lv-LV"/>
              </w:rPr>
              <w:t xml:space="preserve">2.2.2.apakšpunktu, saskaņā ar kuru VBTAI tiek paredzēts </w:t>
            </w:r>
            <w:r w:rsidRPr="00FE539F">
              <w:rPr>
                <w:rFonts w:eastAsiaTheme="minorEastAsia"/>
                <w:lang w:eastAsia="lv-LV"/>
              </w:rPr>
              <w:t xml:space="preserve">īstenot bāriņtiesu </w:t>
            </w:r>
            <w:r w:rsidRPr="00FE539F">
              <w:t>funkcionālo pārraudzību aizgādības tiesību pārtraukšan</w:t>
            </w:r>
            <w:r w:rsidR="007A6C10" w:rsidRPr="00FE539F">
              <w:t>as,</w:t>
            </w:r>
            <w:r w:rsidRPr="00FE539F">
              <w:t xml:space="preserve"> </w:t>
            </w:r>
            <w:r w:rsidR="085FE37D" w:rsidRPr="00FE539F">
              <w:t xml:space="preserve">atņemšanas, </w:t>
            </w:r>
            <w:r w:rsidRPr="00FE539F">
              <w:t>pārtraukto aizgādības tiesību atjaunošan</w:t>
            </w:r>
            <w:r w:rsidR="007A6C10" w:rsidRPr="00FE539F">
              <w:t>as</w:t>
            </w:r>
            <w:r w:rsidR="00227646" w:rsidRPr="00FE539F">
              <w:t xml:space="preserve"> un </w:t>
            </w:r>
            <w:r w:rsidRPr="00FE539F">
              <w:t>ārpusģimenes aprūp</w:t>
            </w:r>
            <w:r w:rsidR="00227646" w:rsidRPr="00FE539F">
              <w:t>es jomās.</w:t>
            </w:r>
          </w:p>
          <w:p w14:paraId="402591D9" w14:textId="77777777" w:rsidR="00016ED4" w:rsidRDefault="00016ED4" w:rsidP="00227646">
            <w:pPr>
              <w:jc w:val="both"/>
            </w:pPr>
          </w:p>
          <w:p w14:paraId="28E24045" w14:textId="74495564" w:rsidR="00016ED4" w:rsidRPr="00F047B0" w:rsidRDefault="007F7A08" w:rsidP="00016ED4">
            <w:pPr>
              <w:suppressAutoHyphens w:val="0"/>
              <w:jc w:val="both"/>
              <w:rPr>
                <w:bCs/>
                <w:lang w:eastAsia="en-GB"/>
              </w:rPr>
            </w:pPr>
            <w:r w:rsidRPr="00F047B0">
              <w:t>Lai nodroš</w:t>
            </w:r>
            <w:r w:rsidR="002A153F" w:rsidRPr="00F047B0">
              <w:t xml:space="preserve">ināti šīs jaunās VBTAI kompetences </w:t>
            </w:r>
            <w:r w:rsidR="00793185" w:rsidRPr="00F047B0">
              <w:t xml:space="preserve">vienveidīgu </w:t>
            </w:r>
            <w:r w:rsidR="0089280D" w:rsidRPr="00F047B0">
              <w:t>piemērošanu</w:t>
            </w:r>
            <w:r w:rsidR="004002A1" w:rsidRPr="00F047B0">
              <w:t xml:space="preserve">, </w:t>
            </w:r>
            <w:r w:rsidR="00F9717C" w:rsidRPr="00F047B0">
              <w:t>tiks aktualizē</w:t>
            </w:r>
            <w:r w:rsidR="008E6FB3" w:rsidRPr="00F047B0">
              <w:t xml:space="preserve">ti un izstrādāti nepieciešami </w:t>
            </w:r>
            <w:r w:rsidR="0079525F" w:rsidRPr="00F047B0">
              <w:t xml:space="preserve">VBTAI </w:t>
            </w:r>
            <w:r w:rsidR="008E6FB3" w:rsidRPr="00F047B0">
              <w:t xml:space="preserve">iekšējie </w:t>
            </w:r>
            <w:r w:rsidR="00BC237E" w:rsidRPr="00F047B0">
              <w:t>normatīvie akti</w:t>
            </w:r>
            <w:r w:rsidR="001651AB" w:rsidRPr="00F047B0">
              <w:t xml:space="preserve"> (tajā skaitā par to, kā </w:t>
            </w:r>
            <w:r w:rsidR="00016ED4" w:rsidRPr="00F047B0">
              <w:rPr>
                <w:bCs/>
                <w:lang w:eastAsia="en-GB"/>
              </w:rPr>
              <w:t>notiks bāriņtiesu lietu pārbaudes</w:t>
            </w:r>
            <w:r w:rsidR="00DB5705" w:rsidRPr="00F047B0">
              <w:rPr>
                <w:bCs/>
                <w:lang w:eastAsia="en-GB"/>
              </w:rPr>
              <w:t xml:space="preserve"> (</w:t>
            </w:r>
            <w:r w:rsidR="00870060" w:rsidRPr="00F047B0">
              <w:rPr>
                <w:bCs/>
                <w:lang w:eastAsia="en-GB"/>
              </w:rPr>
              <w:t xml:space="preserve">vai un kā </w:t>
            </w:r>
            <w:r w:rsidR="00416BF3" w:rsidRPr="00F047B0">
              <w:rPr>
                <w:bCs/>
                <w:lang w:eastAsia="en-GB"/>
              </w:rPr>
              <w:t xml:space="preserve">tiks  vērtēti lietas materiāli, vai </w:t>
            </w:r>
            <w:r w:rsidR="00870060" w:rsidRPr="00F047B0">
              <w:rPr>
                <w:bCs/>
                <w:lang w:eastAsia="en-GB"/>
              </w:rPr>
              <w:t xml:space="preserve">tiks </w:t>
            </w:r>
            <w:r w:rsidR="00416BF3" w:rsidRPr="00F047B0">
              <w:rPr>
                <w:bCs/>
                <w:lang w:eastAsia="en-GB"/>
              </w:rPr>
              <w:t>veiktas pārrunas ar darbiniekiem, lietas dalībniekiem utt.</w:t>
            </w:r>
            <w:r w:rsidR="00DB5705" w:rsidRPr="00F047B0">
              <w:rPr>
                <w:bCs/>
                <w:lang w:eastAsia="en-GB"/>
              </w:rPr>
              <w:t>)</w:t>
            </w:r>
            <w:r w:rsidR="00016ED4" w:rsidRPr="00F047B0">
              <w:rPr>
                <w:bCs/>
                <w:lang w:eastAsia="en-GB"/>
              </w:rPr>
              <w:t xml:space="preserve"> un </w:t>
            </w:r>
            <w:r w:rsidR="001651AB" w:rsidRPr="00F047B0">
              <w:rPr>
                <w:bCs/>
                <w:lang w:eastAsia="en-GB"/>
              </w:rPr>
              <w:t xml:space="preserve">kā tiks </w:t>
            </w:r>
            <w:r w:rsidR="0088695B" w:rsidRPr="00F047B0">
              <w:rPr>
                <w:bCs/>
                <w:lang w:eastAsia="en-GB"/>
              </w:rPr>
              <w:t>uz</w:t>
            </w:r>
            <w:r w:rsidR="001651AB" w:rsidRPr="00F047B0">
              <w:rPr>
                <w:bCs/>
                <w:lang w:eastAsia="en-GB"/>
              </w:rPr>
              <w:t>dot</w:t>
            </w:r>
            <w:r w:rsidR="0088695B" w:rsidRPr="00F047B0">
              <w:rPr>
                <w:bCs/>
                <w:lang w:eastAsia="en-GB"/>
              </w:rPr>
              <w:t>s</w:t>
            </w:r>
            <w:r w:rsidR="00870060" w:rsidRPr="00F047B0">
              <w:rPr>
                <w:bCs/>
                <w:lang w:eastAsia="en-GB"/>
              </w:rPr>
              <w:t xml:space="preserve"> un kurš</w:t>
            </w:r>
            <w:r w:rsidR="003C3628" w:rsidRPr="00F047B0">
              <w:rPr>
                <w:bCs/>
                <w:lang w:eastAsia="en-GB"/>
              </w:rPr>
              <w:t xml:space="preserve"> vai kura VBTAI amatpersona</w:t>
            </w:r>
            <w:r w:rsidR="001651AB" w:rsidRPr="00F047B0">
              <w:rPr>
                <w:bCs/>
                <w:lang w:eastAsia="en-GB"/>
              </w:rPr>
              <w:t xml:space="preserve"> </w:t>
            </w:r>
            <w:r w:rsidR="003C3628" w:rsidRPr="00F047B0">
              <w:rPr>
                <w:bCs/>
                <w:lang w:eastAsia="en-GB"/>
              </w:rPr>
              <w:t xml:space="preserve">varēs </w:t>
            </w:r>
            <w:r w:rsidR="001558ED" w:rsidRPr="00F047B0">
              <w:rPr>
                <w:bCs/>
                <w:lang w:eastAsia="en-GB"/>
              </w:rPr>
              <w:t>bāriņtiesām</w:t>
            </w:r>
            <w:r w:rsidR="0088695B" w:rsidRPr="00F047B0">
              <w:rPr>
                <w:bCs/>
                <w:lang w:eastAsia="en-GB"/>
              </w:rPr>
              <w:t xml:space="preserve"> </w:t>
            </w:r>
            <w:r w:rsidR="003C3628" w:rsidRPr="00F047B0">
              <w:rPr>
                <w:bCs/>
                <w:lang w:eastAsia="en-GB"/>
              </w:rPr>
              <w:t xml:space="preserve"> uzdot </w:t>
            </w:r>
            <w:r w:rsidR="0088695B" w:rsidRPr="00F047B0">
              <w:rPr>
                <w:bCs/>
                <w:lang w:eastAsia="en-GB"/>
              </w:rPr>
              <w:t xml:space="preserve">veikt lietu atkārtotu izvērtēšanu un attiecīgajās </w:t>
            </w:r>
            <w:r w:rsidR="0088695B" w:rsidRPr="00F047B0">
              <w:rPr>
                <w:bCs/>
                <w:lang w:eastAsia="en-GB"/>
              </w:rPr>
              <w:lastRenderedPageBreak/>
              <w:t>lietās pieņemt jaunus lēmumus; veikt konkrētas darbības, lai pārtrauktu bāriņtiesas bezdarbību</w:t>
            </w:r>
            <w:r w:rsidR="00940AF0" w:rsidRPr="00F047B0">
              <w:rPr>
                <w:bCs/>
                <w:lang w:eastAsia="en-GB"/>
              </w:rPr>
              <w:t xml:space="preserve">. </w:t>
            </w:r>
            <w:r w:rsidR="0088695B" w:rsidRPr="00F047B0">
              <w:rPr>
                <w:bCs/>
                <w:lang w:eastAsia="en-GB"/>
              </w:rPr>
              <w:t xml:space="preserve"> </w:t>
            </w:r>
          </w:p>
          <w:p w14:paraId="70D14542" w14:textId="77777777" w:rsidR="00016ED4" w:rsidRPr="00FE539F" w:rsidRDefault="00016ED4" w:rsidP="00227646">
            <w:pPr>
              <w:jc w:val="both"/>
              <w:rPr>
                <w:rFonts w:eastAsiaTheme="minorEastAsia"/>
                <w:lang w:eastAsia="lv-LV"/>
              </w:rPr>
            </w:pPr>
          </w:p>
          <w:p w14:paraId="75EC1CE8" w14:textId="5EE149D0" w:rsidR="00487856" w:rsidRPr="00487856" w:rsidRDefault="00487856" w:rsidP="00487856">
            <w:pPr>
              <w:suppressAutoHyphens w:val="0"/>
              <w:jc w:val="both"/>
              <w:rPr>
                <w:bCs/>
                <w:lang w:eastAsia="en-GB"/>
              </w:rPr>
            </w:pPr>
            <w:r w:rsidRPr="00487856">
              <w:rPr>
                <w:bCs/>
                <w:lang w:eastAsia="en-GB"/>
              </w:rPr>
              <w:t>VBTAI uzmanības centrā ir bērns un bērna interešu nodrošināšana. Ja iepriekš VBTAI, veicot bāriņtiesu pārbaudes, sniedza bāriņtiesām rekomendācij</w:t>
            </w:r>
            <w:r w:rsidR="00F7184C">
              <w:rPr>
                <w:bCs/>
                <w:lang w:eastAsia="en-GB"/>
              </w:rPr>
              <w:t>a</w:t>
            </w:r>
            <w:r w:rsidRPr="00487856">
              <w:rPr>
                <w:bCs/>
                <w:lang w:eastAsia="en-GB"/>
              </w:rPr>
              <w:t xml:space="preserve">s, kurām nebija saistošs raksturs, tad </w:t>
            </w:r>
            <w:r>
              <w:rPr>
                <w:bCs/>
                <w:lang w:eastAsia="en-GB"/>
              </w:rPr>
              <w:t>turpmāk</w:t>
            </w:r>
            <w:r w:rsidRPr="00487856">
              <w:rPr>
                <w:bCs/>
                <w:lang w:eastAsia="en-GB"/>
              </w:rPr>
              <w:t xml:space="preserve"> VBTAI būs tiesīga uzdot bāriņtiesai veikt darbības konkrētajā lietā. </w:t>
            </w:r>
            <w:r>
              <w:rPr>
                <w:rFonts w:eastAsia="Calibri"/>
                <w:noProof/>
                <w:lang w:eastAsia="en-US"/>
              </w:rPr>
              <w:t xml:space="preserve">Proti, paredzēts, ka VBTAI </w:t>
            </w:r>
            <w:r w:rsidRPr="00487856">
              <w:rPr>
                <w:rFonts w:eastAsia="Calibri"/>
                <w:noProof/>
                <w:lang w:eastAsia="en-US"/>
              </w:rPr>
              <w:t>bāriņtiesai uzliek pienākumu aktīvi rīkoties pēc VBTAI iniciatīvas, ja tā konstatē būtisku bērnu tiesību un interešu apdraudējumu vai aizskārumu, proti, veikt lietas atkārtotu izvērtēšanu un attiecīgajā lietā pieņemt citu lēmumu, vai veikt konkrētas darbības, lai pārtrauktu bāriņtiesas bezdarbību.</w:t>
            </w:r>
            <w:r w:rsidR="00C661A4">
              <w:rPr>
                <w:rFonts w:eastAsia="Calibri"/>
                <w:noProof/>
                <w:lang w:eastAsia="en-US"/>
              </w:rPr>
              <w:t xml:space="preserve"> </w:t>
            </w:r>
            <w:r w:rsidRPr="00487856">
              <w:rPr>
                <w:bCs/>
                <w:lang w:eastAsia="en-GB"/>
              </w:rPr>
              <w:t xml:space="preserve">Vienlaikus jāatzīmē, </w:t>
            </w:r>
            <w:r w:rsidRPr="00016ED4">
              <w:rPr>
                <w:bCs/>
                <w:lang w:eastAsia="en-GB"/>
              </w:rPr>
              <w:t>ka funkcionālās pārraudzības ietvaros VBTAI  bāriņtiesas vietā lēmumu nepieņems.</w:t>
            </w:r>
          </w:p>
          <w:p w14:paraId="6D814B99" w14:textId="77777777" w:rsidR="00C50FBA" w:rsidRPr="00487856" w:rsidRDefault="00C50FBA" w:rsidP="00487856">
            <w:pPr>
              <w:suppressAutoHyphens w:val="0"/>
              <w:jc w:val="both"/>
              <w:rPr>
                <w:bCs/>
                <w:lang w:eastAsia="en-GB"/>
              </w:rPr>
            </w:pPr>
          </w:p>
          <w:p w14:paraId="729E243F" w14:textId="7381991C" w:rsidR="00A7012E" w:rsidRDefault="00567682" w:rsidP="00A7012E">
            <w:pPr>
              <w:jc w:val="both"/>
              <w:rPr>
                <w:rFonts w:eastAsiaTheme="minorEastAsia"/>
                <w:noProof/>
                <w:lang w:eastAsia="en-US"/>
              </w:rPr>
            </w:pPr>
            <w:r>
              <w:t>Aktuālajā redakcijā nolikuma 2.</w:t>
            </w:r>
            <w:r w:rsidR="001922BC">
              <w:t>2.</w:t>
            </w:r>
            <w:r>
              <w:t>3.</w:t>
            </w:r>
            <w:r w:rsidR="5E70C426">
              <w:t>apakšpunkts</w:t>
            </w:r>
            <w:r>
              <w:t xml:space="preserve"> </w:t>
            </w:r>
            <w:r w:rsidR="007B01AB">
              <w:t xml:space="preserve">noteic VBTAI jaunu funkciju </w:t>
            </w:r>
            <w:r w:rsidR="002D4DA1">
              <w:t>- īstenot bāriņtiesu institucionālo pārraudzību,</w:t>
            </w:r>
            <w:r w:rsidR="007B01AB">
              <w:t xml:space="preserve"> </w:t>
            </w:r>
            <w:r w:rsidR="00F51B6C" w:rsidRPr="00C661A4">
              <w:rPr>
                <w:lang w:eastAsia="lv-LV"/>
              </w:rPr>
              <w:t>organizē</w:t>
            </w:r>
            <w:r w:rsidR="002D4DA1" w:rsidRPr="00C661A4">
              <w:rPr>
                <w:lang w:eastAsia="lv-LV"/>
              </w:rPr>
              <w:t>jot</w:t>
            </w:r>
            <w:r w:rsidR="00F51B6C" w:rsidRPr="00C661A4">
              <w:rPr>
                <w:lang w:eastAsia="lv-LV"/>
              </w:rPr>
              <w:t xml:space="preserve"> </w:t>
            </w:r>
            <w:r w:rsidR="00C661A4">
              <w:rPr>
                <w:lang w:eastAsia="lv-LV"/>
              </w:rPr>
              <w:t>k</w:t>
            </w:r>
            <w:r w:rsidR="00F51B6C" w:rsidRPr="00C661A4">
              <w:rPr>
                <w:lang w:eastAsia="lv-LV"/>
              </w:rPr>
              <w:t>valifikācijas komisijas darbību</w:t>
            </w:r>
            <w:r w:rsidR="00A7012E" w:rsidRPr="00C661A4">
              <w:rPr>
                <w:lang w:eastAsia="lv-LV"/>
              </w:rPr>
              <w:t xml:space="preserve">, kas </w:t>
            </w:r>
            <w:r w:rsidR="007B01AB" w:rsidRPr="006A38A5">
              <w:t>rūpējas par bāriņtiesu darbinieku kvalifikācijas un tālākizglītības jautājumiem, kā arī darbojas sertifikācijas jautājumos.</w:t>
            </w:r>
            <w:r w:rsidR="00A7012E">
              <w:rPr>
                <w:color w:val="414142"/>
                <w:lang w:eastAsia="lv-LV"/>
              </w:rPr>
              <w:t xml:space="preserve"> </w:t>
            </w:r>
            <w:r w:rsidR="00A7012E" w:rsidRPr="00A7012E">
              <w:rPr>
                <w:rFonts w:eastAsiaTheme="minorEastAsia"/>
                <w:noProof/>
                <w:lang w:eastAsia="en-US"/>
              </w:rPr>
              <w:t>Kvalifikācijas komisija</w:t>
            </w:r>
            <w:bookmarkStart w:id="0" w:name="_Hlk56013956"/>
            <w:bookmarkStart w:id="1" w:name="_Hlk56017443"/>
            <w:r w:rsidR="00A7012E" w:rsidRPr="00A7012E">
              <w:rPr>
                <w:rFonts w:eastAsiaTheme="minorEastAsia"/>
                <w:noProof/>
                <w:lang w:eastAsia="en-US"/>
              </w:rPr>
              <w:t xml:space="preserve"> veic bāriņtiesas priekšsēdētāja, bāriņtiesas priekšsēdētāja vietnieka, bāriņtiesas locekļa </w:t>
            </w:r>
            <w:bookmarkEnd w:id="0"/>
            <w:r w:rsidR="00A7012E" w:rsidRPr="00A7012E">
              <w:rPr>
                <w:rFonts w:eastAsiaTheme="minorEastAsia"/>
                <w:noProof/>
                <w:lang w:eastAsia="en-US"/>
              </w:rPr>
              <w:t>profesionālās darbības novērtēšanu – sertifikāciju;</w:t>
            </w:r>
            <w:bookmarkEnd w:id="1"/>
            <w:r w:rsidR="00A7012E" w:rsidRPr="00A7012E">
              <w:rPr>
                <w:rFonts w:eastAsiaTheme="minorEastAsia"/>
                <w:noProof/>
                <w:lang w:eastAsia="en-US"/>
              </w:rPr>
              <w:t xml:space="preserve"> izstrādā bāriņtiesas speciālistu tālākizglītības programmu saturu un šo programmu apguves rezultātu novērtēšanas sistēmu, kā arī izvērtē, vai personas, kura sodīta par tīša noziedzīga nodarījuma izdarīšanu, nodarbināšana pēc sodāmības dzēšanas vai noņemšanas nekaitē bērnu un aizgādnībā esošo personu tiesību un interešu aizsardzībai un sniedz atļauju personai strādāt par bāriņtiesas priekšsēdētāju, bāriņtiesas priekšsēdētāja vietnieku vai bāriņtiesas locekli.</w:t>
            </w:r>
            <w:r w:rsidR="00302B9F">
              <w:rPr>
                <w:rFonts w:eastAsiaTheme="minorEastAsia"/>
                <w:noProof/>
                <w:lang w:eastAsia="en-US"/>
              </w:rPr>
              <w:t xml:space="preserve"> K</w:t>
            </w:r>
            <w:r w:rsidR="00302B9F" w:rsidRPr="00302B9F">
              <w:rPr>
                <w:rFonts w:eastAsiaTheme="minorEastAsia"/>
                <w:noProof/>
                <w:lang w:eastAsia="en-US"/>
              </w:rPr>
              <w:t>valifikācijas komisija</w:t>
            </w:r>
            <w:r w:rsidR="00302B9F">
              <w:rPr>
                <w:rFonts w:eastAsiaTheme="minorEastAsia"/>
                <w:noProof/>
                <w:lang w:eastAsia="en-US"/>
              </w:rPr>
              <w:t xml:space="preserve"> sniedz</w:t>
            </w:r>
            <w:r w:rsidR="00302B9F" w:rsidRPr="00302B9F">
              <w:rPr>
                <w:rFonts w:eastAsiaTheme="minorEastAsia"/>
                <w:noProof/>
                <w:lang w:eastAsia="en-US"/>
              </w:rPr>
              <w:t xml:space="preserve"> atzinumu par bāriņtiesas priekšsēdētāja darbību, ja kāds no konkursa</w:t>
            </w:r>
            <w:r w:rsidR="00302B9F">
              <w:rPr>
                <w:rFonts w:eastAsiaTheme="minorEastAsia"/>
                <w:noProof/>
                <w:lang w:eastAsia="en-US"/>
              </w:rPr>
              <w:t xml:space="preserve"> uz bāriņtiesas piekšsēdētāja amatu</w:t>
            </w:r>
            <w:r w:rsidR="00302B9F" w:rsidRPr="00302B9F">
              <w:rPr>
                <w:rFonts w:eastAsiaTheme="minorEastAsia"/>
                <w:noProof/>
                <w:lang w:eastAsia="en-US"/>
              </w:rPr>
              <w:t xml:space="preserve"> pretendentiem pēdējo triju gadu periodā pildījis bāriņtiesas priekšsēdētāja amatu.</w:t>
            </w:r>
          </w:p>
          <w:p w14:paraId="67ADDFBE" w14:textId="77777777" w:rsidR="0008758E" w:rsidRPr="00A7012E" w:rsidRDefault="0008758E" w:rsidP="00A7012E">
            <w:pPr>
              <w:jc w:val="both"/>
              <w:rPr>
                <w:color w:val="414142"/>
                <w:lang w:eastAsia="lv-LV"/>
              </w:rPr>
            </w:pPr>
          </w:p>
          <w:p w14:paraId="17FAE5C8" w14:textId="6A834FA7" w:rsidR="00896DCC" w:rsidRDefault="00901CB2" w:rsidP="00896DCC">
            <w:pPr>
              <w:jc w:val="both"/>
              <w:rPr>
                <w:lang w:eastAsia="lv-LV"/>
              </w:rPr>
            </w:pPr>
            <w:r w:rsidRPr="00F54B6F">
              <w:rPr>
                <w:rFonts w:eastAsiaTheme="minorEastAsia"/>
                <w:lang w:eastAsia="lv-LV"/>
              </w:rPr>
              <w:t xml:space="preserve">Nolikuma 2.7.apakšpunkts ir svītrots, jo  </w:t>
            </w:r>
            <w:r w:rsidRPr="00CD53F2">
              <w:rPr>
                <w:lang w:eastAsia="lv-LV"/>
              </w:rPr>
              <w:t xml:space="preserve">atbalsta sniegšanu audžuģimenēm un specializētajām audžuģimenēm no 2018.gada 1.jūlija nodrošina </w:t>
            </w:r>
            <w:r w:rsidR="00E00FA6">
              <w:rPr>
                <w:lang w:eastAsia="lv-LV"/>
              </w:rPr>
              <w:t>ā</w:t>
            </w:r>
            <w:r w:rsidRPr="00CD53F2">
              <w:rPr>
                <w:lang w:eastAsia="lv-LV"/>
              </w:rPr>
              <w:t>rpusģimenes aprūpes atbalsta centri.</w:t>
            </w:r>
            <w:r w:rsidR="00896DCC" w:rsidRPr="00BB78D5">
              <w:rPr>
                <w:lang w:eastAsia="lv-LV"/>
              </w:rPr>
              <w:t xml:space="preserve"> Pirms </w:t>
            </w:r>
            <w:r w:rsidR="00E00FA6" w:rsidRPr="00E00FA6">
              <w:rPr>
                <w:lang w:eastAsia="lv-LV"/>
              </w:rPr>
              <w:t>Ministru kabineta 2018.gada 26.jūnija noteikum</w:t>
            </w:r>
            <w:r w:rsidR="00E00FA6">
              <w:rPr>
                <w:lang w:eastAsia="lv-LV"/>
              </w:rPr>
              <w:t>u</w:t>
            </w:r>
            <w:r w:rsidR="00E00FA6" w:rsidRPr="00E00FA6">
              <w:rPr>
                <w:lang w:eastAsia="lv-LV"/>
              </w:rPr>
              <w:t xml:space="preserve"> </w:t>
            </w:r>
            <w:r w:rsidR="00E00FA6">
              <w:rPr>
                <w:lang w:eastAsia="lv-LV"/>
              </w:rPr>
              <w:t>n</w:t>
            </w:r>
            <w:r w:rsidR="00E00FA6" w:rsidRPr="00E00FA6">
              <w:rPr>
                <w:lang w:eastAsia="lv-LV"/>
              </w:rPr>
              <w:t>r.355 „Ārpusģimenes aprūpes atbalsta centra noteikumi</w:t>
            </w:r>
            <w:r w:rsidR="00E00FA6">
              <w:rPr>
                <w:lang w:eastAsia="lv-LV"/>
              </w:rPr>
              <w:t>”</w:t>
            </w:r>
            <w:r w:rsidR="00896DCC" w:rsidRPr="00BB78D5">
              <w:rPr>
                <w:lang w:eastAsia="lv-LV"/>
              </w:rPr>
              <w:t xml:space="preserve"> spēkā stāšanās, psiholoģisko atbalstu audžuģimenēm, kā arī mācības audžuģimenēm nodrošināja VBTAI. </w:t>
            </w:r>
          </w:p>
          <w:p w14:paraId="43F0B506" w14:textId="77777777" w:rsidR="0008758E" w:rsidRPr="00BB78D5" w:rsidRDefault="0008758E" w:rsidP="00896DCC">
            <w:pPr>
              <w:jc w:val="both"/>
              <w:rPr>
                <w:shd w:val="clear" w:color="auto" w:fill="FFFFFF"/>
              </w:rPr>
            </w:pPr>
          </w:p>
          <w:p w14:paraId="1EA17AB3" w14:textId="2B881B58" w:rsidR="00F30B80" w:rsidRPr="00CC3C35" w:rsidRDefault="7A63E2DA" w:rsidP="3BD492C8">
            <w:pPr>
              <w:ind w:firstLine="567"/>
              <w:jc w:val="both"/>
              <w:rPr>
                <w:rFonts w:eastAsiaTheme="minorEastAsia"/>
                <w:lang w:eastAsia="lv-LV"/>
              </w:rPr>
            </w:pPr>
            <w:r w:rsidRPr="007E0115">
              <w:rPr>
                <w:lang w:eastAsia="en-US"/>
              </w:rPr>
              <w:lastRenderedPageBreak/>
              <w:t xml:space="preserve">2. </w:t>
            </w:r>
          </w:p>
          <w:p w14:paraId="2454EDDE" w14:textId="1E95234E" w:rsidR="00F30B80" w:rsidRPr="00CC3C35" w:rsidRDefault="03ECF612" w:rsidP="006365DA">
            <w:pPr>
              <w:ind w:firstLine="567"/>
              <w:jc w:val="both"/>
              <w:rPr>
                <w:rFonts w:eastAsiaTheme="minorEastAsia"/>
                <w:lang w:eastAsia="lv-LV"/>
              </w:rPr>
            </w:pPr>
            <w:r w:rsidRPr="007E0115">
              <w:rPr>
                <w:lang w:eastAsia="en-US"/>
              </w:rPr>
              <w:t xml:space="preserve">No 13 </w:t>
            </w:r>
            <w:r w:rsidR="4B8E335F" w:rsidRPr="007E0115">
              <w:rPr>
                <w:lang w:eastAsia="en-US"/>
              </w:rPr>
              <w:t xml:space="preserve">nolikumā </w:t>
            </w:r>
            <w:r w:rsidR="3B68FED2" w:rsidRPr="007E0115">
              <w:rPr>
                <w:lang w:eastAsia="en-US"/>
              </w:rPr>
              <w:t xml:space="preserve">nostiprinātajiem uzdevumiem </w:t>
            </w:r>
            <w:r w:rsidR="4E3B4ECB" w:rsidRPr="007E0115">
              <w:rPr>
                <w:lang w:eastAsia="en-US"/>
              </w:rPr>
              <w:t xml:space="preserve"> </w:t>
            </w:r>
            <w:r w:rsidR="5E6EC8D7" w:rsidRPr="007E0115">
              <w:rPr>
                <w:lang w:eastAsia="en-US"/>
              </w:rPr>
              <w:t xml:space="preserve">to skaits ir </w:t>
            </w:r>
            <w:r w:rsidR="35D74D3C" w:rsidRPr="007E0115">
              <w:rPr>
                <w:lang w:eastAsia="en-US"/>
              </w:rPr>
              <w:t xml:space="preserve">samazināts </w:t>
            </w:r>
            <w:r w:rsidR="73F81A00" w:rsidRPr="007E0115">
              <w:rPr>
                <w:lang w:eastAsia="en-US"/>
              </w:rPr>
              <w:t>līdz 12</w:t>
            </w:r>
            <w:r w:rsidR="16745ACF" w:rsidRPr="007E0115">
              <w:rPr>
                <w:lang w:eastAsia="en-US"/>
              </w:rPr>
              <w:t>.</w:t>
            </w:r>
            <w:r w:rsidR="65D2C96D" w:rsidRPr="007E0115">
              <w:rPr>
                <w:rFonts w:eastAsiaTheme="minorEastAsia"/>
                <w:color w:val="414142"/>
                <w:lang w:eastAsia="lv-LV"/>
              </w:rPr>
              <w:t xml:space="preserve"> </w:t>
            </w:r>
            <w:r w:rsidR="008803A6" w:rsidRPr="00463534">
              <w:rPr>
                <w:rFonts w:eastAsiaTheme="minorEastAsia"/>
                <w:lang w:eastAsia="lv-LV"/>
              </w:rPr>
              <w:t>Proti, n</w:t>
            </w:r>
            <w:r w:rsidR="65D2C96D" w:rsidRPr="00463534">
              <w:rPr>
                <w:rFonts w:eastAsiaTheme="minorEastAsia"/>
                <w:lang w:eastAsia="lv-LV"/>
              </w:rPr>
              <w:t>olikuma</w:t>
            </w:r>
            <w:r w:rsidR="65D2C96D" w:rsidRPr="007E0115">
              <w:rPr>
                <w:rFonts w:eastAsiaTheme="minorEastAsia"/>
                <w:color w:val="414142"/>
                <w:lang w:eastAsia="lv-LV"/>
              </w:rPr>
              <w:t xml:space="preserve"> 3</w:t>
            </w:r>
            <w:r w:rsidR="65D2C96D" w:rsidRPr="00CC3C35">
              <w:rPr>
                <w:rFonts w:eastAsiaTheme="minorEastAsia"/>
                <w:lang w:eastAsia="lv-LV"/>
              </w:rPr>
              <w:t>.7. un 3.12. apakšpunkts apvienots</w:t>
            </w:r>
            <w:r w:rsidR="00107A6C" w:rsidRPr="00CC3C35">
              <w:rPr>
                <w:rFonts w:eastAsiaTheme="minorEastAsia"/>
                <w:lang w:eastAsia="lv-LV"/>
              </w:rPr>
              <w:t xml:space="preserve"> vienā </w:t>
            </w:r>
            <w:r w:rsidR="00770E8F" w:rsidRPr="00CC3C35">
              <w:rPr>
                <w:rFonts w:eastAsiaTheme="minorEastAsia"/>
                <w:lang w:eastAsia="lv-LV"/>
              </w:rPr>
              <w:t>3.7.</w:t>
            </w:r>
            <w:r w:rsidR="00107A6C" w:rsidRPr="00CC3C35">
              <w:rPr>
                <w:rFonts w:eastAsiaTheme="minorEastAsia"/>
                <w:lang w:eastAsia="lv-LV"/>
              </w:rPr>
              <w:t>apakšpuntā</w:t>
            </w:r>
            <w:r w:rsidR="001B01C8" w:rsidRPr="00CC3C35">
              <w:rPr>
                <w:rFonts w:eastAsiaTheme="minorEastAsia"/>
                <w:lang w:eastAsia="lv-LV"/>
              </w:rPr>
              <w:t xml:space="preserve"> to saturiskās līdzības dēļ</w:t>
            </w:r>
            <w:r w:rsidR="000D320E" w:rsidRPr="00CC3C35">
              <w:rPr>
                <w:rFonts w:eastAsiaTheme="minorEastAsia"/>
                <w:lang w:eastAsia="lv-LV"/>
              </w:rPr>
              <w:t>, 3.7.apakšpunktu izsakot šādā redakcijā</w:t>
            </w:r>
            <w:r w:rsidR="001B01C8" w:rsidRPr="00CC3C35">
              <w:rPr>
                <w:rFonts w:eastAsiaTheme="minorEastAsia"/>
                <w:lang w:eastAsia="lv-LV"/>
              </w:rPr>
              <w:t xml:space="preserve">: </w:t>
            </w:r>
          </w:p>
          <w:p w14:paraId="61EA2CF0" w14:textId="1F782ED8" w:rsidR="001B01C8" w:rsidRPr="00CC3C35" w:rsidRDefault="00562741" w:rsidP="2E7E2E89">
            <w:pPr>
              <w:ind w:firstLine="567"/>
              <w:jc w:val="both"/>
              <w:rPr>
                <w:rFonts w:eastAsiaTheme="minorEastAsia"/>
                <w:lang w:eastAsia="lv-LV"/>
              </w:rPr>
            </w:pPr>
            <w:r w:rsidRPr="00CC3C35">
              <w:rPr>
                <w:rFonts w:eastAsiaTheme="minorEastAsia"/>
                <w:lang w:eastAsia="lv-LV"/>
              </w:rPr>
              <w:t>“</w:t>
            </w:r>
            <w:r w:rsidR="00F30B80" w:rsidRPr="00CC3C35">
              <w:rPr>
                <w:rFonts w:eastAsiaTheme="minorEastAsia"/>
                <w:lang w:eastAsia="lv-LV"/>
              </w:rPr>
              <w:t>Lai izpildītu noteiktās funkcijas, inspekcija atbilstoši kompetencei veic šādus uzdevumus:</w:t>
            </w:r>
          </w:p>
          <w:p w14:paraId="6D53D732" w14:textId="5DE1E872" w:rsidR="00E531B4" w:rsidRPr="00DE2BF6" w:rsidRDefault="00E531B4" w:rsidP="2E7E2E89">
            <w:pPr>
              <w:ind w:firstLine="567"/>
              <w:jc w:val="both"/>
              <w:rPr>
                <w:rFonts w:eastAsiaTheme="minorEastAsia"/>
                <w:lang w:eastAsia="lv-LV"/>
              </w:rPr>
            </w:pPr>
            <w:r w:rsidRPr="00DE2BF6">
              <w:rPr>
                <w:rFonts w:eastAsiaTheme="minorEastAsia"/>
                <w:lang w:eastAsia="lv-LV"/>
              </w:rPr>
              <w:t>(…)</w:t>
            </w:r>
          </w:p>
          <w:p w14:paraId="3A0FDB9D" w14:textId="73E7BC04" w:rsidR="0084769E" w:rsidRPr="00DE2BF6" w:rsidRDefault="009E0019" w:rsidP="006365DA">
            <w:pPr>
              <w:ind w:firstLine="567"/>
              <w:jc w:val="both"/>
            </w:pPr>
            <w:r w:rsidRPr="00DE2BF6">
              <w:t xml:space="preserve">3.7. </w:t>
            </w:r>
            <w:r w:rsidR="2E7E2E89" w:rsidRPr="00DE2BF6">
              <w:t>apkopo statistikas datus, pārbaužu rezultātā iegūto informāciju</w:t>
            </w:r>
            <w:r w:rsidR="17B13B0F" w:rsidRPr="17B13B0F">
              <w:rPr>
                <w:color w:val="414142"/>
                <w:sz w:val="28"/>
                <w:szCs w:val="28"/>
              </w:rPr>
              <w:t xml:space="preserve"> </w:t>
            </w:r>
            <w:r w:rsidR="17B13B0F" w:rsidRPr="003D63A7">
              <w:t>inspekcijas kompetences jomā</w:t>
            </w:r>
            <w:r w:rsidR="2E7E2E89" w:rsidRPr="00DE2BF6">
              <w:t>, izstrādā un sniedz Labklājības ministrijai priekšlikumus, politikas plānošanas dokumentu, normatīvo aktu izstrādē, ieviešanā un aktualizēšanā, kā arī citu nepieciešamo pasākumu īstenošanā situācijas uzlabošanai bērnu tiesību aizsardzības jomā;</w:t>
            </w:r>
            <w:r w:rsidR="0024659A" w:rsidRPr="00DE2BF6">
              <w:t>”</w:t>
            </w:r>
          </w:p>
          <w:p w14:paraId="6A58C2E6" w14:textId="320093E4" w:rsidR="00A14777" w:rsidRPr="007B7F16" w:rsidRDefault="00627A77" w:rsidP="006365DA">
            <w:pPr>
              <w:jc w:val="both"/>
              <w:rPr>
                <w:rFonts w:eastAsiaTheme="minorEastAsia"/>
                <w:color w:val="414142"/>
                <w:lang w:eastAsia="lv-LV"/>
              </w:rPr>
            </w:pPr>
            <w:r w:rsidRPr="004642F6">
              <w:rPr>
                <w:rFonts w:eastAsiaTheme="minorEastAsia"/>
                <w:lang w:eastAsia="lv-LV"/>
              </w:rPr>
              <w:t xml:space="preserve">Attiecīgi mainījusies uzdevumu uzskaites </w:t>
            </w:r>
            <w:r w:rsidRPr="004642F6">
              <w:rPr>
                <w:lang w:eastAsia="lv-LV"/>
              </w:rPr>
              <w:t>secība</w:t>
            </w:r>
            <w:r w:rsidRPr="007E0115">
              <w:rPr>
                <w:color w:val="414142"/>
                <w:lang w:eastAsia="lv-LV"/>
              </w:rPr>
              <w:t>.</w:t>
            </w:r>
            <w:r w:rsidR="007B7F16" w:rsidRPr="007E0115">
              <w:rPr>
                <w:rFonts w:eastAsiaTheme="minorEastAsia"/>
                <w:color w:val="414142"/>
                <w:lang w:eastAsia="lv-LV"/>
              </w:rPr>
              <w:t xml:space="preserve"> </w:t>
            </w:r>
            <w:r w:rsidR="007B7F16" w:rsidRPr="007E0115">
              <w:rPr>
                <w:lang w:eastAsia="en-US"/>
              </w:rPr>
              <w:t>L</w:t>
            </w:r>
            <w:r w:rsidR="00C74B69" w:rsidRPr="007E0115">
              <w:rPr>
                <w:lang w:eastAsia="en-US"/>
              </w:rPr>
              <w:t xml:space="preserve">īdzšinējais </w:t>
            </w:r>
            <w:r w:rsidR="00EC0B9D" w:rsidRPr="007E0115">
              <w:rPr>
                <w:lang w:eastAsia="en-US"/>
              </w:rPr>
              <w:t xml:space="preserve">3.13.apakšpunkts tagad </w:t>
            </w:r>
            <w:r w:rsidR="004B7960" w:rsidRPr="007E0115">
              <w:rPr>
                <w:lang w:eastAsia="en-US"/>
              </w:rPr>
              <w:t>ir 3.12.apakšpunts.</w:t>
            </w:r>
          </w:p>
          <w:p w14:paraId="6AC60AE6" w14:textId="77777777" w:rsidR="00EC0B9D" w:rsidRDefault="00EC0B9D" w:rsidP="00A14777">
            <w:pPr>
              <w:rPr>
                <w:lang w:eastAsia="en-US"/>
              </w:rPr>
            </w:pPr>
          </w:p>
          <w:p w14:paraId="23435510" w14:textId="469E7002" w:rsidR="00E45684" w:rsidRDefault="00CD53F2" w:rsidP="00CD53F2">
            <w:pPr>
              <w:jc w:val="both"/>
              <w:rPr>
                <w:lang w:eastAsia="en-US"/>
              </w:rPr>
            </w:pPr>
            <w:r>
              <w:rPr>
                <w:lang w:eastAsia="en-US"/>
              </w:rPr>
              <w:t xml:space="preserve">Nolikuma 3.2.apakšpunkts </w:t>
            </w:r>
            <w:r w:rsidR="00E45684">
              <w:rPr>
                <w:lang w:eastAsia="en-US"/>
              </w:rPr>
              <w:t>apvienots ar 3.1.apakšpunktu</w:t>
            </w:r>
            <w:r w:rsidR="0075168D">
              <w:rPr>
                <w:lang w:eastAsia="en-US"/>
              </w:rPr>
              <w:t>, lai novērstu apakšpunktu dublēšanos</w:t>
            </w:r>
            <w:r w:rsidR="00E45684">
              <w:rPr>
                <w:lang w:eastAsia="en-US"/>
              </w:rPr>
              <w:t>.</w:t>
            </w:r>
          </w:p>
          <w:p w14:paraId="5C7577ED" w14:textId="77777777" w:rsidR="0075168D" w:rsidRDefault="0075168D" w:rsidP="00CD53F2">
            <w:pPr>
              <w:jc w:val="both"/>
              <w:rPr>
                <w:lang w:eastAsia="en-US"/>
              </w:rPr>
            </w:pPr>
          </w:p>
          <w:p w14:paraId="452FCF24" w14:textId="68986921" w:rsidR="0075168D" w:rsidRDefault="004D26C7" w:rsidP="00CD53F2">
            <w:pPr>
              <w:jc w:val="both"/>
              <w:rPr>
                <w:lang w:eastAsia="en-US"/>
              </w:rPr>
            </w:pPr>
            <w:r>
              <w:rPr>
                <w:lang w:eastAsia="en-US"/>
              </w:rPr>
              <w:t xml:space="preserve">Vienlaikus </w:t>
            </w:r>
            <w:r w:rsidR="00831729">
              <w:rPr>
                <w:lang w:eastAsia="en-US"/>
              </w:rPr>
              <w:t>N</w:t>
            </w:r>
            <w:r w:rsidR="00BB2E84">
              <w:rPr>
                <w:lang w:eastAsia="en-US"/>
              </w:rPr>
              <w:t xml:space="preserve">oteikumu projektā </w:t>
            </w:r>
            <w:r>
              <w:rPr>
                <w:lang w:eastAsia="en-US"/>
              </w:rPr>
              <w:t>termin</w:t>
            </w:r>
            <w:r w:rsidR="00826E56">
              <w:rPr>
                <w:lang w:eastAsia="en-US"/>
              </w:rPr>
              <w:t>s</w:t>
            </w:r>
            <w:r>
              <w:rPr>
                <w:lang w:eastAsia="en-US"/>
              </w:rPr>
              <w:t xml:space="preserve"> “rīcībnespējīga persona” </w:t>
            </w:r>
            <w:r w:rsidR="000910B3">
              <w:rPr>
                <w:lang w:eastAsia="en-US"/>
              </w:rPr>
              <w:t>tiek aizstāts ar</w:t>
            </w:r>
            <w:r w:rsidR="00BB2E84">
              <w:rPr>
                <w:lang w:eastAsia="en-US"/>
              </w:rPr>
              <w:t xml:space="preserve"> </w:t>
            </w:r>
            <w:r w:rsidR="00C8003B">
              <w:rPr>
                <w:lang w:eastAsia="en-US"/>
              </w:rPr>
              <w:t>termin</w:t>
            </w:r>
            <w:r w:rsidR="000910B3">
              <w:rPr>
                <w:lang w:eastAsia="en-US"/>
              </w:rPr>
              <w:t>u</w:t>
            </w:r>
            <w:r w:rsidR="00C8003B">
              <w:rPr>
                <w:lang w:eastAsia="en-US"/>
              </w:rPr>
              <w:t xml:space="preserve"> “aizgādnībā esoša persona</w:t>
            </w:r>
            <w:r w:rsidR="005A5F99">
              <w:rPr>
                <w:lang w:eastAsia="en-US"/>
              </w:rPr>
              <w:t>”</w:t>
            </w:r>
            <w:r w:rsidR="00BB2E84">
              <w:rPr>
                <w:lang w:eastAsia="en-US"/>
              </w:rPr>
              <w:t xml:space="preserve"> (</w:t>
            </w:r>
            <w:r w:rsidR="28E8B5CB" w:rsidRPr="28E8B5CB">
              <w:rPr>
                <w:lang w:eastAsia="en-US"/>
              </w:rPr>
              <w:t>Noteikumu</w:t>
            </w:r>
            <w:r w:rsidR="00BB2E84">
              <w:rPr>
                <w:lang w:eastAsia="en-US"/>
              </w:rPr>
              <w:t xml:space="preserve"> projekta 1.punkts un 3.1.apakšpunkts)</w:t>
            </w:r>
            <w:r w:rsidR="005A5F99">
              <w:rPr>
                <w:lang w:eastAsia="en-US"/>
              </w:rPr>
              <w:t>.</w:t>
            </w:r>
          </w:p>
          <w:p w14:paraId="0138B468" w14:textId="77777777" w:rsidR="00E45684" w:rsidRDefault="00E45684" w:rsidP="00CD53F2">
            <w:pPr>
              <w:jc w:val="both"/>
              <w:rPr>
                <w:lang w:eastAsia="en-US"/>
              </w:rPr>
            </w:pPr>
          </w:p>
          <w:p w14:paraId="38DA2D9D" w14:textId="67058C22" w:rsidR="004B4631" w:rsidRDefault="004B4631" w:rsidP="004B4631">
            <w:pPr>
              <w:jc w:val="both"/>
              <w:rPr>
                <w:lang w:eastAsia="en-US"/>
              </w:rPr>
            </w:pPr>
            <w:r w:rsidRPr="00D500CC">
              <w:rPr>
                <w:lang w:eastAsia="en-US"/>
              </w:rPr>
              <w:t>Civilprocesa likuma 268.</w:t>
            </w:r>
            <w:r w:rsidR="008335C0">
              <w:rPr>
                <w:lang w:eastAsia="en-US"/>
              </w:rPr>
              <w:t> </w:t>
            </w:r>
            <w:r w:rsidRPr="00D500CC">
              <w:rPr>
                <w:lang w:eastAsia="en-US"/>
              </w:rPr>
              <w:t>panta pirmajā daļā noteikts, ja tiesa uz pierādījumu pamata konstatē, ka personas rīcībspēja ir ierobežojama, tā taisa spriedumu, kurā norāda rīcībspējas ierobežojuma apjomu un ar kuru nodibina personai aizgādnību. Civillikuma 355.</w:t>
            </w:r>
            <w:r w:rsidR="008335C0">
              <w:rPr>
                <w:lang w:eastAsia="en-US"/>
              </w:rPr>
              <w:t> </w:t>
            </w:r>
            <w:r w:rsidRPr="00D500CC">
              <w:rPr>
                <w:lang w:eastAsia="en-US"/>
              </w:rPr>
              <w:t xml:space="preserve">pantā noteikta bāriņtiesas kompetence pēc tiesas sprieduma iecelt aizgādņus pār pilngadīgām personām. Atbilstoši </w:t>
            </w:r>
            <w:r w:rsidR="0D4F0CB3" w:rsidRPr="00D500CC">
              <w:rPr>
                <w:lang w:eastAsia="en-US"/>
              </w:rPr>
              <w:t>Bāriņtiesu likuma 4.</w:t>
            </w:r>
            <w:r w:rsidR="008335C0">
              <w:rPr>
                <w:lang w:eastAsia="en-US"/>
              </w:rPr>
              <w:t> </w:t>
            </w:r>
            <w:r w:rsidRPr="00D500CC">
              <w:rPr>
                <w:lang w:eastAsia="en-US"/>
              </w:rPr>
              <w:t xml:space="preserve">panta otrajā daļā noteiktajam bāriņtiesa prioritāri nodrošina bērna vai aizgādnībā esošās personas tiesību un tiesisko interešu aizsardzību. </w:t>
            </w:r>
            <w:r w:rsidR="2605E609" w:rsidRPr="00D500CC">
              <w:rPr>
                <w:lang w:eastAsia="en-US"/>
              </w:rPr>
              <w:t>Tāpat Bāriņtiesu likumā</w:t>
            </w:r>
            <w:r w:rsidRPr="00D500CC">
              <w:rPr>
                <w:lang w:eastAsia="en-US"/>
              </w:rPr>
              <w:t xml:space="preserve"> ir noteikti bāriņtiesas pienākumi aizgādņa iecelšanā un aizgādnības uzraudzībā. </w:t>
            </w:r>
            <w:r w:rsidRPr="007C6C5F">
              <w:rPr>
                <w:lang w:eastAsia="en-US"/>
              </w:rPr>
              <w:t xml:space="preserve">Līdz ar to </w:t>
            </w:r>
            <w:r w:rsidR="007C6C5F" w:rsidRPr="007C6C5F">
              <w:rPr>
                <w:lang w:eastAsia="en-US"/>
              </w:rPr>
              <w:t xml:space="preserve">nepieciešams </w:t>
            </w:r>
            <w:r w:rsidRPr="007C6C5F">
              <w:rPr>
                <w:lang w:eastAsia="en-US"/>
              </w:rPr>
              <w:t xml:space="preserve">salāgot </w:t>
            </w:r>
            <w:r w:rsidR="007C6C5F">
              <w:rPr>
                <w:lang w:eastAsia="en-US"/>
              </w:rPr>
              <w:t>N</w:t>
            </w:r>
            <w:r w:rsidR="007C6C5F" w:rsidRPr="007C6C5F">
              <w:rPr>
                <w:lang w:eastAsia="en-US"/>
              </w:rPr>
              <w:t xml:space="preserve">oteikumu </w:t>
            </w:r>
            <w:r w:rsidRPr="007C6C5F">
              <w:rPr>
                <w:lang w:eastAsia="en-US"/>
              </w:rPr>
              <w:t>projekt</w:t>
            </w:r>
            <w:r w:rsidR="007C6C5F" w:rsidRPr="007C6C5F">
              <w:rPr>
                <w:lang w:eastAsia="en-US"/>
              </w:rPr>
              <w:t>ā</w:t>
            </w:r>
            <w:r w:rsidRPr="007C6C5F">
              <w:rPr>
                <w:lang w:eastAsia="en-US"/>
              </w:rPr>
              <w:t xml:space="preserve"> lietoto terminoloģiju ar tiesību aktiem, kas regulē bāriņtiesas kompetenci aizgādnībā esošo personu tiesību aizsardzības nodrošināšanā.</w:t>
            </w:r>
          </w:p>
          <w:p w14:paraId="1A1120A4" w14:textId="77777777" w:rsidR="0084769E" w:rsidRDefault="0084769E" w:rsidP="00CD53F2">
            <w:pPr>
              <w:jc w:val="both"/>
              <w:rPr>
                <w:lang w:eastAsia="lv-LV"/>
              </w:rPr>
            </w:pPr>
          </w:p>
          <w:p w14:paraId="247555EB" w14:textId="726D8B8F" w:rsidR="00BF0435" w:rsidRPr="00BF0435" w:rsidRDefault="00F51B6C" w:rsidP="007817E8">
            <w:pPr>
              <w:jc w:val="both"/>
              <w:rPr>
                <w:lang w:eastAsia="lv-LV"/>
              </w:rPr>
            </w:pPr>
            <w:r>
              <w:rPr>
                <w:lang w:eastAsia="lv-LV"/>
              </w:rPr>
              <w:t xml:space="preserve">Nolikuma </w:t>
            </w:r>
            <w:r w:rsidR="00BF0435">
              <w:rPr>
                <w:lang w:eastAsia="lv-LV"/>
              </w:rPr>
              <w:t>3.4.apakšpunkts</w:t>
            </w:r>
            <w:r w:rsidR="005D3831">
              <w:rPr>
                <w:lang w:eastAsia="lv-LV"/>
              </w:rPr>
              <w:t xml:space="preserve"> (</w:t>
            </w:r>
            <w:r w:rsidR="000C09B8">
              <w:rPr>
                <w:lang w:eastAsia="lv-LV"/>
              </w:rPr>
              <w:t xml:space="preserve">Noteikumu projekta </w:t>
            </w:r>
            <w:r w:rsidR="00214E2D">
              <w:rPr>
                <w:lang w:eastAsia="lv-LV"/>
              </w:rPr>
              <w:t>3.3.apakšpunkts</w:t>
            </w:r>
            <w:r w:rsidR="005D3831">
              <w:rPr>
                <w:lang w:eastAsia="lv-LV"/>
              </w:rPr>
              <w:t>)</w:t>
            </w:r>
            <w:r w:rsidR="00BF0435">
              <w:rPr>
                <w:lang w:eastAsia="lv-LV"/>
              </w:rPr>
              <w:t xml:space="preserve"> izteikts jaunā redakcijā</w:t>
            </w:r>
            <w:r w:rsidR="007817E8">
              <w:rPr>
                <w:lang w:eastAsia="lv-LV"/>
              </w:rPr>
              <w:t>,</w:t>
            </w:r>
            <w:r w:rsidR="00BF0435">
              <w:rPr>
                <w:lang w:eastAsia="lv-LV"/>
              </w:rPr>
              <w:t xml:space="preserve"> </w:t>
            </w:r>
            <w:r w:rsidR="007817E8">
              <w:t>ņ</w:t>
            </w:r>
            <w:r w:rsidR="007817E8" w:rsidRPr="00DA5E7B">
              <w:t>emot vērā, ka ar Administratīvās atbildības likumu ir izveidota jauna administratīvo sodu sistēma</w:t>
            </w:r>
            <w:r w:rsidR="007817E8">
              <w:t xml:space="preserve"> un tāds šobrīd administratīvā pārkāpuma lietā būtisks procesuāls dokuments kā </w:t>
            </w:r>
            <w:r w:rsidR="007817E8">
              <w:lastRenderedPageBreak/>
              <w:t>administratīvā pārkāpuma protokols tiks aizstāts ar līdzīgu funkciju pildošu lēmumu</w:t>
            </w:r>
            <w:r w:rsidR="00BF0435" w:rsidRPr="00BF0435">
              <w:rPr>
                <w:lang w:eastAsia="en-US"/>
              </w:rPr>
              <w:t>, kā arī tas izteikts, izmantojot Administratīvās atbildības likumā lietotus jēdzienus (piemēram, administratīv</w:t>
            </w:r>
            <w:r w:rsidR="007817E8">
              <w:rPr>
                <w:lang w:eastAsia="en-US"/>
              </w:rPr>
              <w:t>o</w:t>
            </w:r>
            <w:r w:rsidR="00BF0435" w:rsidRPr="00BF0435">
              <w:rPr>
                <w:lang w:eastAsia="en-US"/>
              </w:rPr>
              <w:t xml:space="preserve"> pārkāpum</w:t>
            </w:r>
            <w:r w:rsidR="007817E8">
              <w:rPr>
                <w:lang w:eastAsia="en-US"/>
              </w:rPr>
              <w:t>u</w:t>
            </w:r>
            <w:r w:rsidR="00BF0435" w:rsidRPr="00BF0435">
              <w:rPr>
                <w:lang w:eastAsia="en-US"/>
              </w:rPr>
              <w:t xml:space="preserve"> liet</w:t>
            </w:r>
            <w:r w:rsidR="007817E8">
              <w:rPr>
                <w:lang w:eastAsia="en-US"/>
              </w:rPr>
              <w:t xml:space="preserve">u izskatīšana </w:t>
            </w:r>
            <w:r w:rsidR="007817E8" w:rsidRPr="00842DFF">
              <w:rPr>
                <w:lang w:eastAsia="en-US"/>
              </w:rPr>
              <w:t>(lietvedība)</w:t>
            </w:r>
            <w:r w:rsidR="00BF0435" w:rsidRPr="00BF0435">
              <w:rPr>
                <w:lang w:eastAsia="en-US"/>
              </w:rPr>
              <w:t xml:space="preserve"> aizvietota ar administratīvā pārkāpuma procesu).</w:t>
            </w:r>
          </w:p>
          <w:p w14:paraId="3703F57F" w14:textId="17A2AD7C" w:rsidR="5D1E4859" w:rsidRDefault="5D1E4859" w:rsidP="5D1E4859">
            <w:pPr>
              <w:rPr>
                <w:rFonts w:eastAsiaTheme="minorEastAsia"/>
                <w:color w:val="414142"/>
                <w:lang w:eastAsia="lv-LV"/>
              </w:rPr>
            </w:pPr>
          </w:p>
          <w:p w14:paraId="217CAFE8" w14:textId="0C0E9BDF" w:rsidR="006C0405" w:rsidRPr="007D043B" w:rsidRDefault="006C0405" w:rsidP="00151C72">
            <w:pPr>
              <w:jc w:val="both"/>
              <w:rPr>
                <w:rFonts w:eastAsiaTheme="minorEastAsia"/>
                <w:lang w:eastAsia="lv-LV"/>
              </w:rPr>
            </w:pPr>
            <w:r w:rsidRPr="007D043B">
              <w:rPr>
                <w:rFonts w:eastAsiaTheme="minorEastAsia"/>
                <w:lang w:eastAsia="lv-LV"/>
              </w:rPr>
              <w:t xml:space="preserve">Nolikuma 3.5.apakšpunkts </w:t>
            </w:r>
            <w:r w:rsidR="00570A90" w:rsidRPr="007D043B">
              <w:rPr>
                <w:rFonts w:eastAsiaTheme="minorEastAsia"/>
                <w:lang w:eastAsia="lv-LV"/>
              </w:rPr>
              <w:t>ietverts Noteikumu projekta 3.4.</w:t>
            </w:r>
            <w:r w:rsidR="00FF196B" w:rsidRPr="007D043B">
              <w:rPr>
                <w:rFonts w:eastAsiaTheme="minorEastAsia"/>
                <w:lang w:eastAsia="lv-LV"/>
              </w:rPr>
              <w:t>apakšpunktā</w:t>
            </w:r>
            <w:r w:rsidR="00C414C0" w:rsidRPr="007D043B">
              <w:rPr>
                <w:rFonts w:eastAsiaTheme="minorEastAsia"/>
                <w:lang w:eastAsia="lv-LV"/>
              </w:rPr>
              <w:t>, veicot</w:t>
            </w:r>
            <w:r w:rsidR="000907AA" w:rsidRPr="007D043B">
              <w:rPr>
                <w:rFonts w:eastAsiaTheme="minorEastAsia"/>
                <w:lang w:eastAsia="lv-LV"/>
              </w:rPr>
              <w:t xml:space="preserve"> minētās normas precizējumus</w:t>
            </w:r>
            <w:r w:rsidR="00791251" w:rsidRPr="007D043B">
              <w:rPr>
                <w:rFonts w:eastAsiaTheme="minorEastAsia"/>
                <w:lang w:eastAsia="lv-LV"/>
              </w:rPr>
              <w:t>, konkretizējot</w:t>
            </w:r>
            <w:r w:rsidR="003F08A5" w:rsidRPr="007D043B">
              <w:rPr>
                <w:rFonts w:eastAsiaTheme="minorEastAsia"/>
                <w:lang w:eastAsia="lv-LV"/>
              </w:rPr>
              <w:t xml:space="preserve"> VBTAI amatpersonām</w:t>
            </w:r>
            <w:r w:rsidR="00B20D06" w:rsidRPr="007D043B">
              <w:rPr>
                <w:rFonts w:eastAsiaTheme="minorEastAsia"/>
                <w:lang w:eastAsia="lv-LV"/>
              </w:rPr>
              <w:t xml:space="preserve"> un darbiniekiem</w:t>
            </w:r>
            <w:r w:rsidR="009A36A7">
              <w:rPr>
                <w:rFonts w:eastAsiaTheme="minorEastAsia"/>
                <w:lang w:eastAsia="lv-LV"/>
              </w:rPr>
              <w:t xml:space="preserve"> un </w:t>
            </w:r>
            <w:r w:rsidR="00B20D06" w:rsidRPr="007D043B">
              <w:rPr>
                <w:rFonts w:eastAsiaTheme="minorEastAsia"/>
                <w:lang w:eastAsia="lv-LV"/>
              </w:rPr>
              <w:t xml:space="preserve"> </w:t>
            </w:r>
            <w:r w:rsidR="00922279" w:rsidRPr="00922279">
              <w:rPr>
                <w:rFonts w:eastAsiaTheme="minorEastAsia"/>
                <w:lang w:eastAsia="lv-LV"/>
              </w:rPr>
              <w:t>Bērnu tiesību aizsardzības likuma 5.</w:t>
            </w:r>
            <w:r w:rsidR="00922279" w:rsidRPr="00922279">
              <w:rPr>
                <w:rFonts w:eastAsiaTheme="minorEastAsia"/>
                <w:vertAlign w:val="superscript"/>
                <w:lang w:eastAsia="lv-LV"/>
              </w:rPr>
              <w:t>1</w:t>
            </w:r>
            <w:r w:rsidR="00922279" w:rsidRPr="00922279">
              <w:rPr>
                <w:rFonts w:eastAsiaTheme="minorEastAsia"/>
                <w:lang w:eastAsia="lv-LV"/>
              </w:rPr>
              <w:t xml:space="preserve"> panta 1.</w:t>
            </w:r>
            <w:r w:rsidR="00922279" w:rsidRPr="00922279">
              <w:rPr>
                <w:rFonts w:eastAsiaTheme="minorEastAsia"/>
                <w:vertAlign w:val="superscript"/>
                <w:lang w:eastAsia="lv-LV"/>
              </w:rPr>
              <w:t>1</w:t>
            </w:r>
            <w:r w:rsidR="00922279" w:rsidRPr="00922279">
              <w:rPr>
                <w:rFonts w:eastAsiaTheme="minorEastAsia"/>
                <w:lang w:eastAsia="lv-LV"/>
              </w:rPr>
              <w:t xml:space="preserve"> daļā minēto bērnu tiesību aizsardzības subjekt</w:t>
            </w:r>
            <w:r w:rsidR="00922279">
              <w:rPr>
                <w:rFonts w:eastAsiaTheme="minorEastAsia"/>
                <w:lang w:eastAsia="lv-LV"/>
              </w:rPr>
              <w:t>iem</w:t>
            </w:r>
            <w:r w:rsidR="00922279" w:rsidRPr="00922279">
              <w:rPr>
                <w:rFonts w:eastAsiaTheme="minorEastAsia"/>
                <w:lang w:eastAsia="lv-LV"/>
              </w:rPr>
              <w:t xml:space="preserve"> </w:t>
            </w:r>
            <w:r w:rsidR="00B20D06" w:rsidRPr="007D043B">
              <w:rPr>
                <w:rFonts w:eastAsiaTheme="minorEastAsia"/>
                <w:lang w:eastAsia="lv-LV"/>
              </w:rPr>
              <w:t>apgūstamās mācības.</w:t>
            </w:r>
          </w:p>
          <w:p w14:paraId="74F02F2F" w14:textId="77777777" w:rsidR="006C0405" w:rsidRDefault="006C0405" w:rsidP="5D1E4859">
            <w:pPr>
              <w:rPr>
                <w:rFonts w:eastAsiaTheme="minorEastAsia"/>
                <w:color w:val="414142"/>
                <w:lang w:eastAsia="lv-LV"/>
              </w:rPr>
            </w:pPr>
          </w:p>
          <w:p w14:paraId="0ACF8D03" w14:textId="37C5E846" w:rsidR="00C87AEE" w:rsidRPr="00CB6C8D" w:rsidRDefault="00C87AEE" w:rsidP="004768D0">
            <w:pPr>
              <w:jc w:val="both"/>
              <w:rPr>
                <w:rFonts w:eastAsiaTheme="minorEastAsia"/>
                <w:lang w:eastAsia="lv-LV"/>
              </w:rPr>
            </w:pPr>
            <w:r w:rsidRPr="00CB6C8D">
              <w:rPr>
                <w:rFonts w:eastAsiaTheme="minorEastAsia"/>
                <w:lang w:eastAsia="lv-LV"/>
              </w:rPr>
              <w:t xml:space="preserve">Noteikumu projekta </w:t>
            </w:r>
            <w:r w:rsidR="008C60C6" w:rsidRPr="00CB6C8D">
              <w:rPr>
                <w:rFonts w:eastAsiaTheme="minorEastAsia"/>
                <w:lang w:eastAsia="lv-LV"/>
              </w:rPr>
              <w:t xml:space="preserve">3.6.apakšpunktā </w:t>
            </w:r>
            <w:r w:rsidR="009C6FA9" w:rsidRPr="00CB6C8D">
              <w:rPr>
                <w:rFonts w:eastAsiaTheme="minorEastAsia"/>
                <w:lang w:eastAsia="lv-LV"/>
              </w:rPr>
              <w:t xml:space="preserve">ietverts VBTAI uzdevums </w:t>
            </w:r>
            <w:r w:rsidR="004768D0" w:rsidRPr="00CB6C8D">
              <w:rPr>
                <w:rFonts w:eastAsiaTheme="minorEastAsia"/>
                <w:lang w:eastAsia="lv-LV"/>
              </w:rPr>
              <w:t>atbilstoši kompetencei snie</w:t>
            </w:r>
            <w:r w:rsidR="000A2B34">
              <w:rPr>
                <w:rFonts w:eastAsiaTheme="minorEastAsia"/>
                <w:lang w:eastAsia="lv-LV"/>
              </w:rPr>
              <w:t>gt</w:t>
            </w:r>
            <w:r w:rsidR="004768D0" w:rsidRPr="00CB6C8D">
              <w:rPr>
                <w:rFonts w:eastAsiaTheme="minorEastAsia"/>
                <w:lang w:eastAsia="lv-LV"/>
              </w:rPr>
              <w:t xml:space="preserve"> konsultācijas bērnu tiesību aizsardzības jomā bērnu tiesību aizsardzības subjektiem un bērniem.</w:t>
            </w:r>
            <w:r w:rsidR="00906A9F">
              <w:rPr>
                <w:rFonts w:eastAsiaTheme="minorEastAsia"/>
                <w:lang w:eastAsia="lv-LV"/>
              </w:rPr>
              <w:t xml:space="preserve"> Lai gan jau tagad šāds uzdevums ietilpst VBTAI kompetencē</w:t>
            </w:r>
            <w:r w:rsidR="00BA7171">
              <w:rPr>
                <w:rFonts w:eastAsiaTheme="minorEastAsia"/>
                <w:lang w:eastAsia="lv-LV"/>
              </w:rPr>
              <w:t xml:space="preserve">, līdz šim tas nebija skaidri un nepārprotami VBTAI nolikumā noteikts. </w:t>
            </w:r>
            <w:r w:rsidR="00C762F7">
              <w:rPr>
                <w:rFonts w:eastAsiaTheme="minorEastAsia"/>
                <w:lang w:eastAsia="lv-LV"/>
              </w:rPr>
              <w:t xml:space="preserve">Ņemot vērā šī uzdevuma svarīgumu, </w:t>
            </w:r>
            <w:r w:rsidR="00E9647D">
              <w:rPr>
                <w:rFonts w:eastAsiaTheme="minorEastAsia"/>
                <w:lang w:eastAsia="lv-LV"/>
              </w:rPr>
              <w:t xml:space="preserve">to ir nepieciešams </w:t>
            </w:r>
            <w:r w:rsidR="005B3964">
              <w:rPr>
                <w:rFonts w:eastAsiaTheme="minorEastAsia"/>
                <w:lang w:eastAsia="lv-LV"/>
              </w:rPr>
              <w:t xml:space="preserve">precīzi VBTAI nolikumā </w:t>
            </w:r>
            <w:r w:rsidR="00462EB6">
              <w:rPr>
                <w:rFonts w:eastAsiaTheme="minorEastAsia"/>
                <w:lang w:eastAsia="lv-LV"/>
              </w:rPr>
              <w:t>nostiprināt</w:t>
            </w:r>
            <w:r w:rsidR="005B3964">
              <w:rPr>
                <w:rFonts w:eastAsiaTheme="minorEastAsia"/>
                <w:lang w:eastAsia="lv-LV"/>
              </w:rPr>
              <w:t xml:space="preserve">. </w:t>
            </w:r>
          </w:p>
          <w:p w14:paraId="4D31B422" w14:textId="77777777" w:rsidR="00C87AEE" w:rsidRDefault="00C87AEE" w:rsidP="5D1E4859">
            <w:pPr>
              <w:rPr>
                <w:rFonts w:eastAsiaTheme="minorEastAsia"/>
                <w:color w:val="414142"/>
                <w:lang w:eastAsia="lv-LV"/>
              </w:rPr>
            </w:pPr>
          </w:p>
          <w:p w14:paraId="48DD0F70" w14:textId="45185BCC" w:rsidR="5D13D4AB" w:rsidRPr="003F7BBB" w:rsidRDefault="00154D03" w:rsidP="5FFF8E12">
            <w:pPr>
              <w:suppressAutoHyphens w:val="0"/>
              <w:jc w:val="both"/>
              <w:rPr>
                <w:lang w:eastAsia="lv-LV"/>
              </w:rPr>
            </w:pPr>
            <w:r w:rsidRPr="00BA6A55">
              <w:rPr>
                <w:rFonts w:eastAsiaTheme="minorEastAsia"/>
                <w:lang w:eastAsia="lv-LV"/>
              </w:rPr>
              <w:t>Nolikuma 3.9.apakšpunkts ir svītrot</w:t>
            </w:r>
            <w:r w:rsidR="00B04780" w:rsidRPr="00BA6A55">
              <w:rPr>
                <w:rFonts w:eastAsiaTheme="minorEastAsia"/>
                <w:lang w:eastAsia="lv-LV"/>
              </w:rPr>
              <w:t>s</w:t>
            </w:r>
            <w:r w:rsidRPr="00BA6A55">
              <w:rPr>
                <w:rFonts w:eastAsiaTheme="minorEastAsia"/>
                <w:lang w:eastAsia="lv-LV"/>
              </w:rPr>
              <w:t xml:space="preserve">, jo </w:t>
            </w:r>
            <w:r w:rsidR="002E1C96" w:rsidRPr="00BA6A55">
              <w:rPr>
                <w:rFonts w:eastAsiaTheme="minorEastAsia"/>
                <w:lang w:eastAsia="lv-LV"/>
              </w:rPr>
              <w:t xml:space="preserve">pienākums veikt </w:t>
            </w:r>
            <w:r w:rsidR="002E1C96" w:rsidRPr="00BA6A55">
              <w:rPr>
                <w:shd w:val="clear" w:color="auto" w:fill="FFFFFF"/>
              </w:rPr>
              <w:t xml:space="preserve"> audžuģimeņu uzskaiti, nodrošināt psiholoģisko palīdzību un informatīvo atbalstu audžuģimenēm, kā arī audžuģimeņu apmācības</w:t>
            </w:r>
            <w:r w:rsidR="002E1C96" w:rsidRPr="00BA6A55">
              <w:rPr>
                <w:lang w:eastAsia="lv-LV"/>
              </w:rPr>
              <w:t xml:space="preserve"> </w:t>
            </w:r>
            <w:r w:rsidR="002E1C96" w:rsidRPr="002E1C96">
              <w:rPr>
                <w:lang w:eastAsia="lv-LV"/>
              </w:rPr>
              <w:t xml:space="preserve">no 2018.gada 1.jūlija ir noteikts </w:t>
            </w:r>
            <w:r w:rsidR="00FB683C">
              <w:rPr>
                <w:lang w:eastAsia="lv-LV"/>
              </w:rPr>
              <w:t>ā</w:t>
            </w:r>
            <w:r w:rsidR="002E1C96" w:rsidRPr="003F7BBB">
              <w:rPr>
                <w:lang w:eastAsia="lv-LV"/>
              </w:rPr>
              <w:t xml:space="preserve">rpusģimenes aprūpes atbalsta centriem. </w:t>
            </w:r>
            <w:r w:rsidR="6E2B04C8" w:rsidRPr="003F7BBB">
              <w:t>Noteikumu</w:t>
            </w:r>
            <w:r w:rsidR="100F76E1" w:rsidRPr="003F7BBB">
              <w:t xml:space="preserve"> projekta 3.9.</w:t>
            </w:r>
            <w:r w:rsidR="6E2B04C8" w:rsidRPr="003F7BBB">
              <w:t xml:space="preserve">apakšpunkts </w:t>
            </w:r>
            <w:r w:rsidR="5D13D4AB" w:rsidRPr="003F7BBB">
              <w:t xml:space="preserve"> </w:t>
            </w:r>
            <w:r w:rsidR="65AE95EA" w:rsidRPr="003F7BBB">
              <w:t xml:space="preserve"> </w:t>
            </w:r>
            <w:r w:rsidR="1141A4FE" w:rsidRPr="003F7BBB">
              <w:t>noteic, ka VBTAI saskaņo</w:t>
            </w:r>
            <w:r w:rsidR="5D13D4AB" w:rsidRPr="003F7BBB">
              <w:t xml:space="preserve"> </w:t>
            </w:r>
            <w:r w:rsidR="00FB683C">
              <w:t>ā</w:t>
            </w:r>
            <w:r w:rsidR="5D13D4AB" w:rsidRPr="003F7BBB">
              <w:t>rpusģimenes aprūpes atbalsta centra izstrādāto</w:t>
            </w:r>
            <w:r w:rsidR="5D13D4AB" w:rsidRPr="003F7BBB">
              <w:rPr>
                <w:b/>
                <w:bCs/>
              </w:rPr>
              <w:t xml:space="preserve"> </w:t>
            </w:r>
            <w:r w:rsidR="5D13D4AB" w:rsidRPr="003F7BBB">
              <w:t>mācību programmu audžuģimenēm un specializētajām audžuģimenēm</w:t>
            </w:r>
            <w:r w:rsidR="325E22B5" w:rsidRPr="003F7BBB">
              <w:t>.</w:t>
            </w:r>
          </w:p>
          <w:p w14:paraId="35D59C51" w14:textId="7163BBE0" w:rsidR="002E1C96" w:rsidRDefault="002E1C96" w:rsidP="005B3AE0">
            <w:pPr>
              <w:suppressAutoHyphens w:val="0"/>
              <w:jc w:val="both"/>
              <w:rPr>
                <w:lang w:eastAsia="lv-LV"/>
              </w:rPr>
            </w:pPr>
          </w:p>
          <w:p w14:paraId="7D8992CA" w14:textId="77777777" w:rsidR="00BA4FB4" w:rsidRDefault="00BA4FB4" w:rsidP="005B3AE0">
            <w:pPr>
              <w:suppressAutoHyphens w:val="0"/>
              <w:jc w:val="both"/>
              <w:rPr>
                <w:lang w:eastAsia="lv-LV"/>
              </w:rPr>
            </w:pPr>
          </w:p>
          <w:p w14:paraId="02802B34" w14:textId="510B63CF" w:rsidR="002E1C96" w:rsidRPr="003F7BBB" w:rsidRDefault="78CD6F4E" w:rsidP="005B3AE0">
            <w:pPr>
              <w:suppressAutoHyphens w:val="0"/>
              <w:jc w:val="both"/>
              <w:rPr>
                <w:lang w:eastAsia="lv-LV"/>
              </w:rPr>
            </w:pPr>
            <w:r w:rsidRPr="003F7BBB">
              <w:rPr>
                <w:lang w:eastAsia="lv-LV"/>
              </w:rPr>
              <w:t>3</w:t>
            </w:r>
            <w:r w:rsidR="5DBC5253" w:rsidRPr="003F7BBB">
              <w:rPr>
                <w:lang w:eastAsia="lv-LV"/>
              </w:rPr>
              <w:t>.</w:t>
            </w:r>
          </w:p>
          <w:p w14:paraId="5DC977A2" w14:textId="2EB19D1B" w:rsidR="009A259A" w:rsidRDefault="78CD6F4E" w:rsidP="4A95C8D2">
            <w:pPr>
              <w:jc w:val="both"/>
            </w:pPr>
            <w:r w:rsidRPr="003F7BBB">
              <w:rPr>
                <w:lang w:eastAsia="lv-LV"/>
              </w:rPr>
              <w:t>Svītrots</w:t>
            </w:r>
            <w:r w:rsidR="009A259A" w:rsidRPr="003F7BBB">
              <w:rPr>
                <w:lang w:eastAsia="lv-LV"/>
              </w:rPr>
              <w:t xml:space="preserve"> (</w:t>
            </w:r>
            <w:r w:rsidR="00A41384" w:rsidRPr="003F7BBB">
              <w:rPr>
                <w:lang w:eastAsia="lv-LV"/>
              </w:rPr>
              <w:t>Noteikumu</w:t>
            </w:r>
            <w:r w:rsidR="009A259A" w:rsidRPr="003F7BBB">
              <w:rPr>
                <w:lang w:eastAsia="lv-LV"/>
              </w:rPr>
              <w:t xml:space="preserve"> projektā vairs netiek iekļauts)</w:t>
            </w:r>
            <w:r w:rsidR="00426C0B" w:rsidRPr="003F7BBB">
              <w:rPr>
                <w:rFonts w:eastAsiaTheme="minorEastAsia"/>
                <w:lang w:eastAsia="lv-LV"/>
              </w:rPr>
              <w:t xml:space="preserve"> </w:t>
            </w:r>
            <w:r w:rsidR="110FC47E" w:rsidRPr="003F7BBB">
              <w:rPr>
                <w:lang w:eastAsia="lv-LV"/>
              </w:rPr>
              <w:t xml:space="preserve">Nolikuma 4.2.apakšpunkts, kas noteic, ka, lai izpildītu noteiktos uzdevumus, VBTAI ir tiesības </w:t>
            </w:r>
            <w:r w:rsidR="6A218044" w:rsidRPr="003F7BBB">
              <w:rPr>
                <w:lang w:eastAsia="lv-LV"/>
              </w:rPr>
              <w:t>LAPK</w:t>
            </w:r>
            <w:r w:rsidR="110FC47E" w:rsidRPr="003F7BBB">
              <w:rPr>
                <w:lang w:eastAsia="lv-LV"/>
              </w:rPr>
              <w:t xml:space="preserve"> paredzētajos gadījumos izskatīt administratīvo pārkāpumu lietas un uzlikt administratīvos sodus</w:t>
            </w:r>
            <w:r w:rsidR="119F376A" w:rsidRPr="119F376A">
              <w:rPr>
                <w:color w:val="414142"/>
                <w:lang w:eastAsia="lv-LV"/>
              </w:rPr>
              <w:t>.</w:t>
            </w:r>
            <w:r w:rsidR="000C622C">
              <w:rPr>
                <w:color w:val="414142"/>
                <w:lang w:eastAsia="lv-LV"/>
              </w:rPr>
              <w:t xml:space="preserve"> </w:t>
            </w:r>
            <w:r w:rsidR="009A259A" w:rsidRPr="4A95C8D2">
              <w:t>Min</w:t>
            </w:r>
            <w:r w:rsidR="009A259A">
              <w:t>ētā tiesību norma ir tikusi svītrota</w:t>
            </w:r>
            <w:r w:rsidR="006B507B">
              <w:t>, jo identiska tiesību norma ietverta arī 5.3.apakšpunktā</w:t>
            </w:r>
            <w:r w:rsidR="00DB0DD5">
              <w:t xml:space="preserve"> (inspekcijas inspektora tiesības)</w:t>
            </w:r>
            <w:r w:rsidR="006B507B">
              <w:t>.</w:t>
            </w:r>
            <w:r w:rsidR="00DB0DD5">
              <w:t xml:space="preserve"> </w:t>
            </w:r>
            <w:r w:rsidR="00A40A5E">
              <w:t xml:space="preserve">Proti, </w:t>
            </w:r>
            <w:r w:rsidR="41BCF678">
              <w:t>VBTAI</w:t>
            </w:r>
            <w:r w:rsidR="00A40A5E">
              <w:t xml:space="preserve"> inspektoru kompetencē </w:t>
            </w:r>
            <w:r w:rsidR="00412C52">
              <w:t xml:space="preserve">ir </w:t>
            </w:r>
            <w:r w:rsidR="00D73A45">
              <w:t>veikt administratīvā pārkāpuma procesu</w:t>
            </w:r>
            <w:r w:rsidR="0067501C">
              <w:t xml:space="preserve"> Bērnu tiesību aizsardzības likuma </w:t>
            </w:r>
            <w:r w:rsidR="009204EF">
              <w:t>81.</w:t>
            </w:r>
            <w:r w:rsidR="00895880">
              <w:t>un 82.</w:t>
            </w:r>
            <w:r w:rsidR="009204EF">
              <w:t>pantā minēt</w:t>
            </w:r>
            <w:r w:rsidR="00895880">
              <w:t>ajos gadījumos</w:t>
            </w:r>
            <w:r w:rsidR="00F07635">
              <w:t xml:space="preserve"> (</w:t>
            </w:r>
            <w:r w:rsidR="00195136">
              <w:t>fiziska un emocionāla vardarbība pret bērnu</w:t>
            </w:r>
            <w:r w:rsidR="00FB683C">
              <w:t xml:space="preserve"> (</w:t>
            </w:r>
            <w:r w:rsidR="00F413B0" w:rsidRPr="00F413B0">
              <w:t xml:space="preserve">par pārkāpumiem, ko izdarījušas valsts un pašvaldību </w:t>
            </w:r>
            <w:r w:rsidR="00F413B0" w:rsidRPr="00F413B0">
              <w:lastRenderedPageBreak/>
              <w:t>institūciju amatpersonas vai darbinieki</w:t>
            </w:r>
            <w:r w:rsidR="00FB683C">
              <w:t>)</w:t>
            </w:r>
            <w:r w:rsidR="00195136">
              <w:t>; bērna nelikumīga iesaistīšanas pasākumos</w:t>
            </w:r>
            <w:r w:rsidR="00F07635">
              <w:t>)</w:t>
            </w:r>
            <w:r w:rsidR="005073B7">
              <w:t>.</w:t>
            </w:r>
          </w:p>
          <w:p w14:paraId="1D78C35A" w14:textId="4F8D2685" w:rsidR="40C45182" w:rsidRDefault="148E873E" w:rsidP="355634F0">
            <w:pPr>
              <w:jc w:val="both"/>
              <w:rPr>
                <w:rFonts w:eastAsiaTheme="minorEastAsia"/>
                <w:color w:val="414142"/>
                <w:lang w:eastAsia="lv-LV"/>
              </w:rPr>
            </w:pPr>
            <w:r>
              <w:t>Noteikum</w:t>
            </w:r>
            <w:r w:rsidR="00B10E0A">
              <w:t>u</w:t>
            </w:r>
            <w:r>
              <w:t xml:space="preserve"> projekta 4</w:t>
            </w:r>
            <w:r w:rsidR="110FC47E">
              <w:t>.2.apakšpunkts paredz, ka VBTAI ir tiesības</w:t>
            </w:r>
            <w:r w:rsidR="110FC47E" w:rsidRPr="110FC47E">
              <w:rPr>
                <w:vertAlign w:val="superscript"/>
              </w:rPr>
              <w:t xml:space="preserve"> </w:t>
            </w:r>
            <w:r w:rsidR="110FC47E">
              <w:t>normatīvajos aktos noteiktajā kārtībā</w:t>
            </w:r>
            <w:r w:rsidR="00CD44FA">
              <w:t xml:space="preserve">, </w:t>
            </w:r>
            <w:r w:rsidR="00CD44FA" w:rsidRPr="009F4376">
              <w:t>funkcionālās pārraudzības aizgādības tiesību pārtraukšanas, atņemšanas,  pārtraukto aizgādības tiesību atjaunošanas un ārpusģimenes aprūpes  jomu ietvaros</w:t>
            </w:r>
            <w:r w:rsidR="110FC47E" w:rsidRPr="110FC47E">
              <w:rPr>
                <w:vertAlign w:val="superscript"/>
              </w:rPr>
              <w:t xml:space="preserve"> </w:t>
            </w:r>
            <w:r w:rsidR="110FC47E">
              <w:t xml:space="preserve">uzdot bāriņtiesai novērst bērna tiesību un interešu apdraudējumu vai aizskārumu. </w:t>
            </w:r>
            <w:r w:rsidR="110FC47E" w:rsidRPr="110FC47E">
              <w:rPr>
                <w:rFonts w:ascii="Calibri" w:eastAsia="Calibri" w:hAnsi="Calibri" w:cs="Calibri"/>
              </w:rPr>
              <w:t xml:space="preserve"> </w:t>
            </w:r>
            <w:r w:rsidR="110FC47E" w:rsidRPr="110FC47E">
              <w:rPr>
                <w:rFonts w:ascii="Calibri" w:eastAsia="Calibri" w:hAnsi="Calibri" w:cs="Calibri"/>
                <w:vertAlign w:val="superscript"/>
              </w:rPr>
              <w:t xml:space="preserve"> </w:t>
            </w:r>
          </w:p>
          <w:p w14:paraId="32EC2EE1" w14:textId="72E6FEAE" w:rsidR="00B71D45" w:rsidRDefault="00B71D45" w:rsidP="00426C0B">
            <w:pPr>
              <w:suppressAutoHyphens w:val="0"/>
              <w:jc w:val="both"/>
              <w:rPr>
                <w:rFonts w:eastAsiaTheme="minorEastAsia"/>
                <w:color w:val="414142"/>
                <w:lang w:eastAsia="lv-LV"/>
              </w:rPr>
            </w:pPr>
          </w:p>
          <w:p w14:paraId="4BBB3FB0" w14:textId="6B0748EC" w:rsidR="00426C0B" w:rsidRDefault="00B04780" w:rsidP="00426C0B">
            <w:pPr>
              <w:suppressAutoHyphens w:val="0"/>
              <w:jc w:val="both"/>
            </w:pPr>
            <w:r>
              <w:t xml:space="preserve">Nolikuma  4.3.apakšpunkts izteikts Noteikumu projekta 4.4.apakšpunktā. </w:t>
            </w:r>
            <w:r w:rsidR="001B3B08">
              <w:t xml:space="preserve">Noteikumu projekta </w:t>
            </w:r>
            <w:r>
              <w:t>4.3.</w:t>
            </w:r>
            <w:r w:rsidR="66739F8B">
              <w:t>apakšpunkts</w:t>
            </w:r>
            <w:r>
              <w:t xml:space="preserve"> noteic VBTAI jaunu uzdevumu- </w:t>
            </w:r>
            <w:r w:rsidR="00426C0B" w:rsidRPr="00D00DB6">
              <w:t xml:space="preserve">pieprasīt </w:t>
            </w:r>
            <w:r w:rsidR="00562153">
              <w:t>k</w:t>
            </w:r>
            <w:r w:rsidR="00426C0B" w:rsidRPr="00D00DB6">
              <w:t>valifikācijas komisijai veikt ārpus kārtas bāriņtiesas priekšsēdētāja, bāriņtiesas priekšsēdētāja vietnieka vai bāriņtiesas locekļa sertifikāciju</w:t>
            </w:r>
            <w:r w:rsidR="00713A62">
              <w:t>.</w:t>
            </w:r>
          </w:p>
          <w:p w14:paraId="3361D0C1" w14:textId="77777777" w:rsidR="002E1C96" w:rsidRPr="00F50461" w:rsidRDefault="002E1C96" w:rsidP="005B3AE0">
            <w:pPr>
              <w:suppressAutoHyphens w:val="0"/>
              <w:jc w:val="both"/>
              <w:rPr>
                <w:b/>
                <w:bCs/>
                <w:lang w:eastAsia="en-US"/>
              </w:rPr>
            </w:pPr>
          </w:p>
          <w:p w14:paraId="725CB2D0" w14:textId="61A4FFFB" w:rsidR="000D0E02" w:rsidRPr="005477CB" w:rsidRDefault="000D0E02" w:rsidP="000D0E02">
            <w:pPr>
              <w:suppressAutoHyphens w:val="0"/>
              <w:jc w:val="both"/>
              <w:rPr>
                <w:b/>
                <w:bCs/>
                <w:lang w:eastAsia="lv-LV"/>
              </w:rPr>
            </w:pPr>
            <w:r w:rsidRPr="005477CB">
              <w:rPr>
                <w:b/>
                <w:bCs/>
                <w:lang w:eastAsia="lv-LV"/>
              </w:rPr>
              <w:t>III. Inspekcijas inspektoru tiesības un pienākumi</w:t>
            </w:r>
          </w:p>
          <w:p w14:paraId="688CFF0F" w14:textId="2AE68326" w:rsidR="00441B35" w:rsidRPr="00441B35" w:rsidRDefault="00426C0B" w:rsidP="00DE6B9A">
            <w:pPr>
              <w:jc w:val="both"/>
              <w:rPr>
                <w:lang w:eastAsia="lv-LV"/>
              </w:rPr>
            </w:pPr>
            <w:r>
              <w:rPr>
                <w:lang w:eastAsia="lv-LV"/>
              </w:rPr>
              <w:t xml:space="preserve">Nolikuma 5.3.apakšpunkts izteikts jaunā redakcijā, </w:t>
            </w:r>
            <w:r w:rsidRPr="3388FAC4">
              <w:rPr>
                <w:lang w:eastAsia="lv-LV"/>
              </w:rPr>
              <w:t>ņemot vērā, ka ar Administratīvās atbildības likumu ir izveidota jauna administratīvo sodu sistēma un tāds šobrīd administratīvā pārkāpuma lietā būtisks procesuāls dokuments kā administratīvā pārkāpuma protokols tiks aizstāts ar līdzīgu funkciju pildošu lēmumu</w:t>
            </w:r>
            <w:r w:rsidR="00441B35" w:rsidRPr="3388FAC4">
              <w:rPr>
                <w:lang w:eastAsia="lv-LV"/>
              </w:rPr>
              <w:t>.</w:t>
            </w:r>
            <w:r w:rsidR="00713A62" w:rsidRPr="3388FAC4">
              <w:rPr>
                <w:lang w:eastAsia="lv-LV"/>
              </w:rPr>
              <w:t xml:space="preserve"> </w:t>
            </w:r>
            <w:r w:rsidR="00441B35" w:rsidRPr="3388FAC4">
              <w:rPr>
                <w:lang w:eastAsia="lv-LV"/>
              </w:rPr>
              <w:t xml:space="preserve">Tāpat jāņem vērā, ka šobrīd spēkā esošā redakcija neprecīzi raksturo VBTAI inspektoriem tiesības administratīvā pārkāpuma lietvedības vešanā, aprobežojoties ar tiesībām sastādīt administratīvā pārkāpuma protokolus un uzlikt administratīvos sodus, lai gan praksē VBTAI inspektori veic visas </w:t>
            </w:r>
            <w:r w:rsidR="6A218044" w:rsidRPr="6A218044">
              <w:rPr>
                <w:lang w:eastAsia="lv-LV"/>
              </w:rPr>
              <w:t>LAPK</w:t>
            </w:r>
            <w:r w:rsidR="00441B35" w:rsidRPr="3388FAC4">
              <w:rPr>
                <w:lang w:eastAsia="lv-LV"/>
              </w:rPr>
              <w:t xml:space="preserve"> paredzētās procesuālās darbības, kā arī ir secināms, ka līdz ar </w:t>
            </w:r>
            <w:r w:rsidR="6A218044" w:rsidRPr="6A218044">
              <w:rPr>
                <w:lang w:eastAsia="lv-LV"/>
              </w:rPr>
              <w:t>LAPK</w:t>
            </w:r>
            <w:r w:rsidR="00441B35" w:rsidRPr="3388FAC4">
              <w:rPr>
                <w:lang w:eastAsia="lv-LV"/>
              </w:rPr>
              <w:t xml:space="preserve"> spēka zaudēšanu </w:t>
            </w:r>
            <w:r w:rsidR="00F33723" w:rsidRPr="001F5502">
              <w:rPr>
                <w:lang w:eastAsia="lv-LV"/>
              </w:rPr>
              <w:t>VBTAI</w:t>
            </w:r>
            <w:r w:rsidR="00F33723">
              <w:rPr>
                <w:highlight w:val="green"/>
                <w:lang w:eastAsia="lv-LV"/>
              </w:rPr>
              <w:t xml:space="preserve"> </w:t>
            </w:r>
            <w:r w:rsidR="00441B35" w:rsidRPr="3388FAC4">
              <w:rPr>
                <w:lang w:eastAsia="lv-LV"/>
              </w:rPr>
              <w:t xml:space="preserve">tiesību apjoms attiecībā uz administratīvo pārkāpumu procesu nemainīsies (skat. Administratīvās atbildības likuma 115. panta pirmās daļas </w:t>
            </w:r>
            <w:r w:rsidR="00DE6B9A" w:rsidRPr="3388FAC4">
              <w:rPr>
                <w:lang w:eastAsia="lv-LV"/>
              </w:rPr>
              <w:t>35</w:t>
            </w:r>
            <w:r w:rsidR="00441B35" w:rsidRPr="3388FAC4">
              <w:rPr>
                <w:lang w:eastAsia="lv-LV"/>
              </w:rPr>
              <w:t>. punktu: administratīvā pārkāpuma procesu ir tiesīgas veikt amatpersonas no</w:t>
            </w:r>
            <w:r w:rsidR="00DE6B9A" w:rsidRPr="3388FAC4">
              <w:rPr>
                <w:lang w:eastAsia="lv-LV"/>
              </w:rPr>
              <w:t xml:space="preserve"> VBTAI</w:t>
            </w:r>
            <w:r w:rsidR="00441B35" w:rsidRPr="3388FAC4">
              <w:rPr>
                <w:lang w:eastAsia="lv-LV"/>
              </w:rPr>
              <w:t>), tāpēc arī projekta 5.</w:t>
            </w:r>
            <w:r w:rsidR="00DE6B9A" w:rsidRPr="3388FAC4">
              <w:rPr>
                <w:lang w:eastAsia="lv-LV"/>
              </w:rPr>
              <w:t>3</w:t>
            </w:r>
            <w:r w:rsidR="00441B35" w:rsidRPr="3388FAC4">
              <w:rPr>
                <w:lang w:eastAsia="lv-LV"/>
              </w:rPr>
              <w:t xml:space="preserve">. apakšpunktā precizēts </w:t>
            </w:r>
            <w:r w:rsidR="00DE6B9A" w:rsidRPr="3388FAC4">
              <w:rPr>
                <w:lang w:eastAsia="lv-LV"/>
              </w:rPr>
              <w:t>VBTAI inspektoru</w:t>
            </w:r>
            <w:r w:rsidR="00441B35" w:rsidRPr="3388FAC4">
              <w:rPr>
                <w:lang w:eastAsia="lv-LV"/>
              </w:rPr>
              <w:t xml:space="preserve"> tiesību apjoms administratīvo pārkāpumu procesā, kā arī tas izteikts, izmantojot Administratīvās atbildības likumā lietotus jēdzienus (piemēram, administratīvā pārkāpuma lietvedība aizvietota ar administratīvā pārkāpuma procesu).</w:t>
            </w:r>
          </w:p>
          <w:p w14:paraId="74C9D8D5" w14:textId="77777777" w:rsidR="000D0E02" w:rsidRDefault="000D0E02" w:rsidP="0076266B">
            <w:pPr>
              <w:rPr>
                <w:color w:val="414142"/>
                <w:lang w:eastAsia="lv-LV"/>
              </w:rPr>
            </w:pPr>
          </w:p>
          <w:p w14:paraId="07E41B93" w14:textId="135A4FC6" w:rsidR="00337A88" w:rsidRPr="00B511FE" w:rsidRDefault="00337A88" w:rsidP="009676D6">
            <w:pPr>
              <w:jc w:val="both"/>
              <w:rPr>
                <w:lang w:eastAsia="lv-LV"/>
              </w:rPr>
            </w:pPr>
            <w:r w:rsidRPr="00B511FE">
              <w:rPr>
                <w:lang w:eastAsia="lv-LV"/>
              </w:rPr>
              <w:t xml:space="preserve">Nolikuma </w:t>
            </w:r>
            <w:r w:rsidR="00E37A7E" w:rsidRPr="00B511FE">
              <w:rPr>
                <w:lang w:eastAsia="lv-LV"/>
              </w:rPr>
              <w:t>6.1.4.</w:t>
            </w:r>
            <w:r w:rsidR="00286193" w:rsidRPr="00B511FE">
              <w:rPr>
                <w:lang w:eastAsia="lv-LV"/>
              </w:rPr>
              <w:t>1</w:t>
            </w:r>
            <w:r w:rsidR="00E37A7E" w:rsidRPr="00B511FE">
              <w:rPr>
                <w:lang w:eastAsia="lv-LV"/>
              </w:rPr>
              <w:t>.apakšpunkt</w:t>
            </w:r>
            <w:r w:rsidR="00286193" w:rsidRPr="00B511FE">
              <w:rPr>
                <w:lang w:eastAsia="lv-LV"/>
              </w:rPr>
              <w:t xml:space="preserve">ā noteikta </w:t>
            </w:r>
            <w:r w:rsidR="00C246BE" w:rsidRPr="00B511FE">
              <w:rPr>
                <w:lang w:eastAsia="lv-LV"/>
              </w:rPr>
              <w:t>inspekcijas inspektoru kompetence</w:t>
            </w:r>
            <w:r w:rsidR="009C19CE" w:rsidRPr="00B511FE">
              <w:rPr>
                <w:lang w:eastAsia="lv-LV"/>
              </w:rPr>
              <w:t>, veicot</w:t>
            </w:r>
            <w:r w:rsidR="00C246BE" w:rsidRPr="00B511FE">
              <w:rPr>
                <w:lang w:eastAsia="lv-LV"/>
              </w:rPr>
              <w:t xml:space="preserve"> </w:t>
            </w:r>
            <w:r w:rsidR="009C19CE" w:rsidRPr="00B511FE">
              <w:rPr>
                <w:lang w:eastAsia="lv-LV"/>
              </w:rPr>
              <w:t>bāriņtiesu funkcionālo pārraudzību</w:t>
            </w:r>
            <w:r w:rsidR="00F6565A" w:rsidRPr="00B511FE">
              <w:rPr>
                <w:lang w:eastAsia="lv-LV"/>
              </w:rPr>
              <w:t xml:space="preserve">, kas izriet no Bāriņtiesu likuma 5.panta </w:t>
            </w:r>
            <w:r w:rsidR="0020013B" w:rsidRPr="00B511FE">
              <w:rPr>
                <w:lang w:eastAsia="lv-LV"/>
              </w:rPr>
              <w:t>1.</w:t>
            </w:r>
            <w:r w:rsidR="0020013B" w:rsidRPr="00B511FE">
              <w:rPr>
                <w:vertAlign w:val="superscript"/>
                <w:lang w:eastAsia="lv-LV"/>
              </w:rPr>
              <w:t>1</w:t>
            </w:r>
            <w:r w:rsidR="0020013B" w:rsidRPr="00B511FE">
              <w:rPr>
                <w:lang w:eastAsia="lv-LV"/>
              </w:rPr>
              <w:t xml:space="preserve"> daļā </w:t>
            </w:r>
            <w:r w:rsidR="00E0580E" w:rsidRPr="00B511FE">
              <w:rPr>
                <w:lang w:eastAsia="lv-LV"/>
              </w:rPr>
              <w:t>VBTAI noteiktās kompetences</w:t>
            </w:r>
            <w:r w:rsidR="0048140D" w:rsidRPr="00B511FE">
              <w:rPr>
                <w:lang w:eastAsia="lv-LV"/>
              </w:rPr>
              <w:t xml:space="preserve"> </w:t>
            </w:r>
            <w:r w:rsidR="00AD1533">
              <w:rPr>
                <w:lang w:eastAsia="lv-LV"/>
              </w:rPr>
              <w:t>–</w:t>
            </w:r>
            <w:r w:rsidR="00E0580E" w:rsidRPr="00B511FE">
              <w:rPr>
                <w:lang w:eastAsia="lv-LV"/>
              </w:rPr>
              <w:t xml:space="preserve"> </w:t>
            </w:r>
            <w:r w:rsidR="0048140D" w:rsidRPr="00B511FE">
              <w:rPr>
                <w:lang w:eastAsia="lv-LV"/>
              </w:rPr>
              <w:t>b</w:t>
            </w:r>
            <w:r w:rsidR="00762C3C" w:rsidRPr="00B511FE">
              <w:rPr>
                <w:lang w:eastAsia="lv-LV"/>
              </w:rPr>
              <w:t xml:space="preserve">āriņtiesas aizgādības tiesību pārtraukšanas, atņemšanas, pārtraukto aizgādības tiesību atjaunošanas un ārpusģimenes aprūpes </w:t>
            </w:r>
            <w:r w:rsidR="00762C3C" w:rsidRPr="00B511FE">
              <w:rPr>
                <w:lang w:eastAsia="lv-LV"/>
              </w:rPr>
              <w:lastRenderedPageBreak/>
              <w:t xml:space="preserve">jomās atrodas </w:t>
            </w:r>
            <w:r w:rsidR="0048140D" w:rsidRPr="00B511FE">
              <w:rPr>
                <w:lang w:eastAsia="lv-LV"/>
              </w:rPr>
              <w:t>VBTAI</w:t>
            </w:r>
            <w:r w:rsidR="00762C3C" w:rsidRPr="00B511FE">
              <w:rPr>
                <w:lang w:eastAsia="lv-LV"/>
              </w:rPr>
              <w:t xml:space="preserve"> funkcionālajā pārraudzībā šajā likumā noteiktajā apjomā.</w:t>
            </w:r>
            <w:r w:rsidR="002866F7" w:rsidRPr="00B511FE">
              <w:rPr>
                <w:lang w:eastAsia="lv-LV"/>
              </w:rPr>
              <w:t xml:space="preserve"> Savukārt </w:t>
            </w:r>
            <w:r w:rsidR="00AA06BE" w:rsidRPr="00B511FE">
              <w:rPr>
                <w:lang w:eastAsia="lv-LV"/>
              </w:rPr>
              <w:t xml:space="preserve">6.1.4.2.apakšpunktā </w:t>
            </w:r>
            <w:r w:rsidR="001E2F55" w:rsidRPr="00B511FE">
              <w:rPr>
                <w:lang w:eastAsia="lv-LV"/>
              </w:rPr>
              <w:t xml:space="preserve">noteikta </w:t>
            </w:r>
            <w:r w:rsidR="0048140D" w:rsidRPr="00B511FE">
              <w:rPr>
                <w:lang w:eastAsia="lv-LV"/>
              </w:rPr>
              <w:t xml:space="preserve">inspekcijas inspektoru </w:t>
            </w:r>
            <w:r w:rsidR="001E2F55" w:rsidRPr="00B511FE">
              <w:rPr>
                <w:lang w:eastAsia="lv-LV"/>
              </w:rPr>
              <w:t>kompetence citos gadījumos</w:t>
            </w:r>
            <w:r w:rsidR="0092469F" w:rsidRPr="00B511FE">
              <w:rPr>
                <w:lang w:eastAsia="lv-LV"/>
              </w:rPr>
              <w:t xml:space="preserve">, kas </w:t>
            </w:r>
            <w:r w:rsidR="0019045D" w:rsidRPr="00B511FE">
              <w:rPr>
                <w:lang w:eastAsia="lv-LV"/>
              </w:rPr>
              <w:t>neietilpst bāriņtiesu funkcionālajā p</w:t>
            </w:r>
            <w:r w:rsidR="00A56C3A" w:rsidRPr="00B511FE">
              <w:rPr>
                <w:lang w:eastAsia="lv-LV"/>
              </w:rPr>
              <w:t>ār</w:t>
            </w:r>
            <w:r w:rsidR="0019045D" w:rsidRPr="00B511FE">
              <w:rPr>
                <w:lang w:eastAsia="lv-LV"/>
              </w:rPr>
              <w:t>raudzībā</w:t>
            </w:r>
            <w:r w:rsidR="001E2F55" w:rsidRPr="00B511FE">
              <w:rPr>
                <w:lang w:eastAsia="lv-LV"/>
              </w:rPr>
              <w:t xml:space="preserve">, proti, gadījumos, kas izriet no Bāriņtiesu likuma 5.panta pirmās daļas, saskaņā ar kuru VBTAI </w:t>
            </w:r>
            <w:r w:rsidR="00AD0B30" w:rsidRPr="00B511FE">
              <w:rPr>
                <w:lang w:eastAsia="lv-LV"/>
              </w:rPr>
              <w:t>uzrauga bāriņtiesu darbību bērna un aizgādnībā esošās personas tiesību un interešu aizsardzībā un sniedz tām metodisko palīdzību</w:t>
            </w:r>
            <w:r w:rsidR="001E2F55" w:rsidRPr="00B511FE">
              <w:rPr>
                <w:lang w:eastAsia="lv-LV"/>
              </w:rPr>
              <w:t>.</w:t>
            </w:r>
          </w:p>
          <w:p w14:paraId="5D95ACBA" w14:textId="77777777" w:rsidR="00337A88" w:rsidRPr="00F50461" w:rsidRDefault="00337A88" w:rsidP="0076266B">
            <w:pPr>
              <w:rPr>
                <w:color w:val="414142"/>
                <w:lang w:eastAsia="lv-LV"/>
              </w:rPr>
            </w:pPr>
          </w:p>
          <w:p w14:paraId="7E9056B1" w14:textId="64C460F9" w:rsidR="000D0E02" w:rsidRPr="005477CB" w:rsidRDefault="31CE408A" w:rsidP="000D0E02">
            <w:pPr>
              <w:suppressAutoHyphens w:val="0"/>
              <w:jc w:val="both"/>
            </w:pPr>
            <w:bookmarkStart w:id="2" w:name="n-201645"/>
            <w:bookmarkStart w:id="3" w:name="n5"/>
            <w:bookmarkEnd w:id="2"/>
            <w:bookmarkEnd w:id="3"/>
            <w:r w:rsidRPr="005477CB">
              <w:rPr>
                <w:b/>
                <w:bCs/>
                <w:lang w:eastAsia="lv-LV"/>
              </w:rPr>
              <w:t xml:space="preserve">IV. Inspekcijas darbības tiesiskuma nodrošināšana un pārskatu </w:t>
            </w:r>
            <w:r w:rsidR="56F33D09" w:rsidRPr="005477CB">
              <w:rPr>
                <w:b/>
                <w:bCs/>
                <w:lang w:eastAsia="lv-LV"/>
              </w:rPr>
              <w:t>sniegšana</w:t>
            </w:r>
          </w:p>
          <w:p w14:paraId="7F44AC07" w14:textId="01799279" w:rsidR="0076266B" w:rsidRDefault="25CE498F" w:rsidP="0076266B">
            <w:pPr>
              <w:pStyle w:val="Paraststmeklis"/>
              <w:spacing w:before="75" w:after="75"/>
              <w:jc w:val="both"/>
              <w:rPr>
                <w:color w:val="000000" w:themeColor="text1"/>
                <w:lang w:val="lv-LV"/>
              </w:rPr>
            </w:pPr>
            <w:r w:rsidRPr="25CE498F">
              <w:rPr>
                <w:color w:val="000000" w:themeColor="text1"/>
                <w:lang w:val="lv-LV"/>
              </w:rPr>
              <w:t>Svītrota</w:t>
            </w:r>
            <w:r w:rsidR="0076266B" w:rsidRPr="44E554A1">
              <w:rPr>
                <w:color w:val="000000" w:themeColor="text1"/>
                <w:lang w:val="lv-LV"/>
              </w:rPr>
              <w:t xml:space="preserve"> nolikuma IV </w:t>
            </w:r>
            <w:r w:rsidRPr="25CE498F">
              <w:rPr>
                <w:color w:val="000000" w:themeColor="text1"/>
                <w:lang w:val="lv-LV"/>
              </w:rPr>
              <w:t>nodaļa</w:t>
            </w:r>
            <w:r w:rsidR="00B04780" w:rsidRPr="44E554A1">
              <w:rPr>
                <w:color w:val="000000" w:themeColor="text1"/>
                <w:lang w:val="lv-LV"/>
              </w:rPr>
              <w:t xml:space="preserve"> “</w:t>
            </w:r>
            <w:r w:rsidR="0076266B" w:rsidRPr="44E554A1">
              <w:rPr>
                <w:color w:val="000000" w:themeColor="text1"/>
                <w:lang w:val="lv-LV"/>
              </w:rPr>
              <w:t>Inspekcijas struktūra un pārvalde</w:t>
            </w:r>
            <w:r w:rsidR="00B04780" w:rsidRPr="44E554A1">
              <w:rPr>
                <w:color w:val="000000" w:themeColor="text1"/>
                <w:lang w:val="lv-LV"/>
              </w:rPr>
              <w:t>”</w:t>
            </w:r>
            <w:r w:rsidR="0076266B" w:rsidRPr="44E554A1">
              <w:rPr>
                <w:color w:val="000000" w:themeColor="text1"/>
                <w:lang w:val="lv-LV"/>
              </w:rPr>
              <w:t xml:space="preserve">. Minētais ir pamatojams ar to, ka šajā </w:t>
            </w:r>
            <w:r w:rsidR="3D3668CF" w:rsidRPr="3D3668CF">
              <w:rPr>
                <w:color w:val="000000" w:themeColor="text1"/>
                <w:lang w:val="lv-LV"/>
              </w:rPr>
              <w:t>nodaļā</w:t>
            </w:r>
            <w:r w:rsidR="0076266B" w:rsidRPr="44E554A1">
              <w:rPr>
                <w:color w:val="000000" w:themeColor="text1"/>
                <w:lang w:val="lv-LV"/>
              </w:rPr>
              <w:t xml:space="preserve"> ietvertajām tiesību normām nav juridiskas slodzes.</w:t>
            </w:r>
            <w:r w:rsidR="008034AF">
              <w:rPr>
                <w:color w:val="000000" w:themeColor="text1"/>
                <w:lang w:val="lv-LV"/>
              </w:rPr>
              <w:t xml:space="preserve"> Proti, </w:t>
            </w:r>
            <w:r w:rsidR="0039096A">
              <w:rPr>
                <w:color w:val="000000" w:themeColor="text1"/>
                <w:lang w:val="lv-LV"/>
              </w:rPr>
              <w:t xml:space="preserve">tiesību normas </w:t>
            </w:r>
            <w:r w:rsidR="008E4E66">
              <w:rPr>
                <w:color w:val="000000" w:themeColor="text1"/>
                <w:lang w:val="lv-LV"/>
              </w:rPr>
              <w:t xml:space="preserve">ir nekonkrētas un </w:t>
            </w:r>
            <w:r w:rsidR="00C36B6B">
              <w:rPr>
                <w:color w:val="000000" w:themeColor="text1"/>
                <w:lang w:val="lv-LV"/>
              </w:rPr>
              <w:t xml:space="preserve">faktiski atkārto lietas, kuras </w:t>
            </w:r>
            <w:r w:rsidR="009B7A47">
              <w:rPr>
                <w:color w:val="000000" w:themeColor="text1"/>
                <w:lang w:val="lv-LV"/>
              </w:rPr>
              <w:t>nostiprinātas Valsts pārvaldes iekārtas likumā un citos normatīvajos aktos</w:t>
            </w:r>
            <w:r w:rsidR="0039096A">
              <w:rPr>
                <w:color w:val="000000" w:themeColor="text1"/>
                <w:lang w:val="lv-LV"/>
              </w:rPr>
              <w:t>.</w:t>
            </w:r>
          </w:p>
          <w:p w14:paraId="5CF37C1D" w14:textId="77777777" w:rsidR="009B7A47" w:rsidRPr="0076266B" w:rsidRDefault="009B7A47" w:rsidP="0076266B">
            <w:pPr>
              <w:pStyle w:val="Paraststmeklis"/>
              <w:spacing w:before="75" w:after="75"/>
              <w:jc w:val="both"/>
              <w:rPr>
                <w:color w:val="000000"/>
                <w:lang w:val="lv-LV"/>
              </w:rPr>
            </w:pPr>
          </w:p>
          <w:p w14:paraId="773E22B5" w14:textId="1B252D21" w:rsidR="0076266B" w:rsidRPr="000A6E7F" w:rsidRDefault="6BA62181" w:rsidP="0076266B">
            <w:pPr>
              <w:pStyle w:val="Sarakstarindkopa"/>
              <w:spacing w:after="0" w:line="240" w:lineRule="auto"/>
              <w:ind w:left="0"/>
              <w:jc w:val="both"/>
              <w:rPr>
                <w:rFonts w:ascii="Times New Roman" w:eastAsia="Times New Roman" w:hAnsi="Times New Roman" w:cs="Times New Roman"/>
                <w:b/>
                <w:bCs/>
                <w:sz w:val="24"/>
                <w:szCs w:val="24"/>
                <w:lang w:eastAsia="lv-LV"/>
              </w:rPr>
            </w:pPr>
            <w:r w:rsidRPr="000A6E7F">
              <w:rPr>
                <w:rFonts w:ascii="Times New Roman" w:eastAsia="Times New Roman" w:hAnsi="Times New Roman" w:cs="Times New Roman"/>
                <w:sz w:val="24"/>
                <w:szCs w:val="24"/>
                <w:lang w:eastAsia="lv-LV"/>
              </w:rPr>
              <w:t>Noteikumu projekta</w:t>
            </w:r>
            <w:r w:rsidR="0076266B" w:rsidRPr="000A6E7F">
              <w:rPr>
                <w:rFonts w:ascii="Times New Roman" w:eastAsia="Times New Roman" w:hAnsi="Times New Roman" w:cs="Times New Roman"/>
                <w:bCs/>
                <w:sz w:val="24"/>
                <w:szCs w:val="24"/>
                <w:lang w:eastAsia="lv-LV"/>
              </w:rPr>
              <w:t xml:space="preserve"> </w:t>
            </w:r>
            <w:r w:rsidR="0076266B" w:rsidRPr="000A6E7F">
              <w:rPr>
                <w:rFonts w:ascii="Times New Roman" w:eastAsia="Times New Roman" w:hAnsi="Times New Roman" w:cs="Times New Roman"/>
                <w:b/>
                <w:sz w:val="24"/>
                <w:szCs w:val="24"/>
                <w:lang w:eastAsia="lv-LV"/>
              </w:rPr>
              <w:t>IV</w:t>
            </w:r>
            <w:r w:rsidR="00CA4B94" w:rsidRPr="000A6E7F">
              <w:rPr>
                <w:rFonts w:ascii="Times New Roman" w:eastAsia="Times New Roman" w:hAnsi="Times New Roman" w:cs="Times New Roman"/>
                <w:bCs/>
                <w:sz w:val="24"/>
                <w:szCs w:val="24"/>
                <w:lang w:eastAsia="lv-LV"/>
              </w:rPr>
              <w:t>. </w:t>
            </w:r>
            <w:r w:rsidR="25CE498F" w:rsidRPr="000A6E7F">
              <w:rPr>
                <w:rFonts w:ascii="Times New Roman" w:eastAsia="Times New Roman" w:hAnsi="Times New Roman" w:cs="Times New Roman"/>
                <w:sz w:val="24"/>
                <w:szCs w:val="24"/>
                <w:lang w:eastAsia="lv-LV"/>
              </w:rPr>
              <w:t>nodaļa</w:t>
            </w:r>
            <w:r w:rsidR="0076266B" w:rsidRPr="000A6E7F">
              <w:rPr>
                <w:rFonts w:ascii="Times New Roman" w:eastAsia="Times New Roman" w:hAnsi="Times New Roman" w:cs="Times New Roman"/>
                <w:bCs/>
                <w:sz w:val="24"/>
                <w:szCs w:val="24"/>
                <w:lang w:eastAsia="lv-LV"/>
              </w:rPr>
              <w:t xml:space="preserve"> izteikta jaunā redakcijā  </w:t>
            </w:r>
            <w:r w:rsidR="00B04780" w:rsidRPr="000A6E7F">
              <w:rPr>
                <w:rFonts w:ascii="Times New Roman" w:eastAsia="Times New Roman" w:hAnsi="Times New Roman" w:cs="Times New Roman"/>
                <w:bCs/>
                <w:sz w:val="24"/>
                <w:szCs w:val="24"/>
                <w:lang w:eastAsia="lv-LV"/>
              </w:rPr>
              <w:t>“</w:t>
            </w:r>
            <w:r w:rsidR="0076266B" w:rsidRPr="000A6E7F">
              <w:rPr>
                <w:rFonts w:ascii="Times New Roman" w:eastAsia="Times New Roman" w:hAnsi="Times New Roman" w:cs="Times New Roman"/>
                <w:b/>
                <w:bCs/>
                <w:sz w:val="24"/>
                <w:szCs w:val="24"/>
                <w:lang w:eastAsia="lv-LV"/>
              </w:rPr>
              <w:t>Inspekcijas darbības tiesiskuma nodrošināšana un pārskatu sniegšana</w:t>
            </w:r>
            <w:r w:rsidR="00B04780" w:rsidRPr="000A6E7F">
              <w:rPr>
                <w:rFonts w:ascii="Times New Roman" w:eastAsia="Times New Roman" w:hAnsi="Times New Roman" w:cs="Times New Roman"/>
                <w:b/>
                <w:bCs/>
                <w:sz w:val="24"/>
                <w:szCs w:val="24"/>
                <w:lang w:eastAsia="lv-LV"/>
              </w:rPr>
              <w:t>”.</w:t>
            </w:r>
          </w:p>
          <w:p w14:paraId="012AEF32" w14:textId="3FD9E19E" w:rsidR="0056397F" w:rsidRPr="000E3647" w:rsidRDefault="00493D97" w:rsidP="0056397F">
            <w:pPr>
              <w:pStyle w:val="Sarakstarindkopa"/>
              <w:spacing w:after="0" w:line="240" w:lineRule="auto"/>
              <w:ind w:left="0"/>
              <w:jc w:val="both"/>
              <w:rPr>
                <w:rFonts w:ascii="Times New Roman" w:eastAsia="Times New Roman" w:hAnsi="Times New Roman" w:cs="Times New Roman"/>
                <w:color w:val="414142"/>
                <w:sz w:val="24"/>
                <w:szCs w:val="24"/>
                <w:lang w:eastAsia="lv-LV"/>
              </w:rPr>
            </w:pPr>
            <w:r w:rsidRPr="00117AF4">
              <w:rPr>
                <w:rFonts w:ascii="Times New Roman" w:eastAsia="Times New Roman" w:hAnsi="Times New Roman" w:cs="Times New Roman"/>
                <w:bCs/>
                <w:sz w:val="24"/>
                <w:szCs w:val="24"/>
                <w:lang w:eastAsia="lv-LV"/>
              </w:rPr>
              <w:t xml:space="preserve">Visā </w:t>
            </w:r>
            <w:r w:rsidRPr="00117AF4">
              <w:rPr>
                <w:rFonts w:ascii="Times New Roman" w:eastAsia="Times New Roman" w:hAnsi="Times New Roman" w:cs="Times New Roman"/>
                <w:sz w:val="24"/>
                <w:szCs w:val="24"/>
                <w:lang w:eastAsia="lv-LV"/>
              </w:rPr>
              <w:t>nodaļā</w:t>
            </w:r>
            <w:r w:rsidRPr="00117AF4">
              <w:rPr>
                <w:rFonts w:ascii="Times New Roman" w:eastAsia="Times New Roman" w:hAnsi="Times New Roman" w:cs="Times New Roman"/>
                <w:bCs/>
                <w:sz w:val="24"/>
                <w:szCs w:val="24"/>
                <w:lang w:eastAsia="lv-LV"/>
              </w:rPr>
              <w:t xml:space="preserve"> </w:t>
            </w:r>
            <w:r w:rsidRPr="00493D97">
              <w:rPr>
                <w:rFonts w:ascii="Times New Roman" w:eastAsia="Times New Roman" w:hAnsi="Times New Roman" w:cs="Times New Roman"/>
                <w:color w:val="000000"/>
                <w:sz w:val="24"/>
                <w:szCs w:val="24"/>
              </w:rPr>
              <w:t xml:space="preserve">vārds </w:t>
            </w:r>
            <w:r>
              <w:rPr>
                <w:rFonts w:ascii="Times New Roman" w:eastAsia="Times New Roman" w:hAnsi="Times New Roman" w:cs="Times New Roman"/>
                <w:color w:val="000000"/>
                <w:sz w:val="24"/>
                <w:szCs w:val="24"/>
              </w:rPr>
              <w:t>“</w:t>
            </w:r>
            <w:r w:rsidRPr="00493D97">
              <w:rPr>
                <w:rStyle w:val="Izclums"/>
                <w:rFonts w:ascii="Times New Roman" w:eastAsia="Times New Roman" w:hAnsi="Times New Roman" w:cs="Times New Roman"/>
                <w:i w:val="0"/>
                <w:color w:val="000000"/>
                <w:sz w:val="24"/>
                <w:szCs w:val="24"/>
              </w:rPr>
              <w:t>priekšnieks”</w:t>
            </w:r>
            <w:r w:rsidRPr="00493D97">
              <w:rPr>
                <w:rFonts w:ascii="Times New Roman" w:eastAsia="Times New Roman" w:hAnsi="Times New Roman" w:cs="Times New Roman"/>
                <w:color w:val="000000"/>
                <w:sz w:val="24"/>
                <w:szCs w:val="24"/>
              </w:rPr>
              <w:t xml:space="preserve"> aizstāts ar vārdu </w:t>
            </w:r>
            <w:r w:rsidRPr="00493D97">
              <w:rPr>
                <w:rFonts w:ascii="Times New Roman" w:eastAsia="Times New Roman" w:hAnsi="Times New Roman" w:cs="Times New Roman"/>
                <w:i/>
                <w:color w:val="000000"/>
                <w:sz w:val="24"/>
                <w:szCs w:val="24"/>
              </w:rPr>
              <w:t>“</w:t>
            </w:r>
            <w:r w:rsidRPr="00493D97">
              <w:rPr>
                <w:rStyle w:val="Izclums"/>
                <w:rFonts w:ascii="Times New Roman" w:eastAsia="Times New Roman" w:hAnsi="Times New Roman" w:cs="Times New Roman"/>
                <w:i w:val="0"/>
                <w:color w:val="000000"/>
                <w:sz w:val="24"/>
                <w:szCs w:val="24"/>
              </w:rPr>
              <w:t>vadītājs</w:t>
            </w:r>
            <w:r>
              <w:rPr>
                <w:rStyle w:val="Izclums"/>
                <w:rFonts w:ascii="Times New Roman" w:eastAsia="Times New Roman" w:hAnsi="Times New Roman" w:cs="Times New Roman"/>
                <w:i w:val="0"/>
                <w:color w:val="000000"/>
                <w:sz w:val="24"/>
                <w:szCs w:val="24"/>
              </w:rPr>
              <w:t>”</w:t>
            </w:r>
            <w:r w:rsidRPr="00493D97">
              <w:rPr>
                <w:rFonts w:ascii="Times New Roman" w:eastAsia="Times New Roman" w:hAnsi="Times New Roman" w:cs="Times New Roman"/>
                <w:color w:val="000000"/>
                <w:sz w:val="24"/>
                <w:szCs w:val="24"/>
              </w:rPr>
              <w:t>, ņemot vērā to, ka </w:t>
            </w:r>
            <w:r w:rsidRPr="00493D97">
              <w:rPr>
                <w:rFonts w:ascii="Times New Roman" w:eastAsia="Times New Roman" w:hAnsi="Times New Roman" w:cs="Times New Roman"/>
                <w:color w:val="000000"/>
                <w:sz w:val="24"/>
                <w:szCs w:val="24"/>
                <w:shd w:val="clear" w:color="auto" w:fill="FFFFFF"/>
              </w:rPr>
              <w:t xml:space="preserve">vārds </w:t>
            </w:r>
            <w:r>
              <w:rPr>
                <w:rFonts w:ascii="Times New Roman" w:eastAsia="Times New Roman" w:hAnsi="Times New Roman" w:cs="Times New Roman"/>
                <w:color w:val="000000"/>
                <w:sz w:val="24"/>
                <w:szCs w:val="24"/>
                <w:shd w:val="clear" w:color="auto" w:fill="FFFFFF"/>
              </w:rPr>
              <w:t>“</w:t>
            </w:r>
            <w:r w:rsidRPr="00493D97">
              <w:rPr>
                <w:rStyle w:val="Izclums"/>
                <w:rFonts w:ascii="Times New Roman" w:eastAsia="Times New Roman" w:hAnsi="Times New Roman" w:cs="Times New Roman"/>
                <w:i w:val="0"/>
                <w:color w:val="000000"/>
                <w:sz w:val="24"/>
                <w:szCs w:val="24"/>
                <w:shd w:val="clear" w:color="auto" w:fill="FFFFFF"/>
              </w:rPr>
              <w:t>priekšnieks</w:t>
            </w:r>
            <w:r>
              <w:rPr>
                <w:rStyle w:val="Izclums"/>
                <w:rFonts w:ascii="Times New Roman" w:eastAsia="Times New Roman" w:hAnsi="Times New Roman" w:cs="Times New Roman"/>
                <w:i w:val="0"/>
                <w:color w:val="000000"/>
                <w:sz w:val="24"/>
                <w:szCs w:val="24"/>
                <w:shd w:val="clear" w:color="auto" w:fill="FFFFFF"/>
              </w:rPr>
              <w:t>”</w:t>
            </w:r>
            <w:r w:rsidRPr="00493D97">
              <w:rPr>
                <w:rFonts w:ascii="Times New Roman" w:eastAsia="Times New Roman" w:hAnsi="Times New Roman" w:cs="Times New Roman"/>
                <w:color w:val="000000"/>
                <w:sz w:val="24"/>
                <w:szCs w:val="24"/>
                <w:shd w:val="clear" w:color="auto" w:fill="FFFFFF"/>
              </w:rPr>
              <w:t xml:space="preserve"> valsts pārvaldē  tiek lietots vairāk iekšlietu nozarē, bet VBTAI ir pārraudzības iestāde, kura īsteno arī atbalsta pakalpojumus. </w:t>
            </w:r>
            <w:r w:rsidR="00064B6C">
              <w:rPr>
                <w:rFonts w:ascii="Times New Roman" w:eastAsia="Times New Roman" w:hAnsi="Times New Roman" w:cs="Times New Roman"/>
                <w:color w:val="000000"/>
                <w:sz w:val="24"/>
                <w:szCs w:val="24"/>
                <w:shd w:val="clear" w:color="auto" w:fill="FFFFFF"/>
              </w:rPr>
              <w:t>Papildus vēršam uzmanību, ka</w:t>
            </w:r>
            <w:r w:rsidR="007869B5">
              <w:rPr>
                <w:rFonts w:ascii="Times New Roman" w:eastAsia="Times New Roman" w:hAnsi="Times New Roman" w:cs="Times New Roman"/>
                <w:color w:val="000000"/>
                <w:sz w:val="24"/>
                <w:szCs w:val="24"/>
                <w:shd w:val="clear" w:color="auto" w:fill="FFFFFF"/>
              </w:rPr>
              <w:t xml:space="preserve"> </w:t>
            </w:r>
            <w:r w:rsidR="00FA4FF3">
              <w:rPr>
                <w:rFonts w:ascii="Times New Roman" w:eastAsia="Times New Roman" w:hAnsi="Times New Roman" w:cs="Times New Roman"/>
                <w:color w:val="000000"/>
                <w:sz w:val="24"/>
                <w:szCs w:val="24"/>
                <w:shd w:val="clear" w:color="auto" w:fill="FFFFFF"/>
              </w:rPr>
              <w:t xml:space="preserve">termins “vadītājs” attiecībā uz </w:t>
            </w:r>
            <w:r w:rsidR="00FF2D49">
              <w:rPr>
                <w:rFonts w:ascii="Times New Roman" w:eastAsia="Times New Roman" w:hAnsi="Times New Roman" w:cs="Times New Roman"/>
                <w:color w:val="000000"/>
                <w:sz w:val="24"/>
                <w:szCs w:val="24"/>
                <w:shd w:val="clear" w:color="auto" w:fill="FFFFFF"/>
              </w:rPr>
              <w:t>VBTAI ticis lietots jau līdz šim</w:t>
            </w:r>
            <w:r w:rsidR="00FA4FF3">
              <w:rPr>
                <w:rFonts w:ascii="Times New Roman" w:eastAsia="Times New Roman" w:hAnsi="Times New Roman" w:cs="Times New Roman"/>
                <w:color w:val="000000"/>
                <w:sz w:val="24"/>
                <w:szCs w:val="24"/>
                <w:shd w:val="clear" w:color="auto" w:fill="FFFFFF"/>
              </w:rPr>
              <w:t xml:space="preserve"> </w:t>
            </w:r>
            <w:r w:rsidR="00064B6C">
              <w:rPr>
                <w:rFonts w:ascii="Times New Roman" w:eastAsia="Times New Roman" w:hAnsi="Times New Roman" w:cs="Times New Roman"/>
                <w:color w:val="000000"/>
                <w:sz w:val="24"/>
                <w:szCs w:val="24"/>
                <w:shd w:val="clear" w:color="auto" w:fill="FFFFFF"/>
              </w:rPr>
              <w:t xml:space="preserve"> </w:t>
            </w:r>
            <w:r w:rsidR="0025354E">
              <w:rPr>
                <w:rFonts w:ascii="Times New Roman" w:eastAsia="Times New Roman" w:hAnsi="Times New Roman" w:cs="Times New Roman"/>
                <w:color w:val="000000"/>
                <w:sz w:val="24"/>
                <w:szCs w:val="24"/>
                <w:shd w:val="clear" w:color="auto" w:fill="FFFFFF"/>
              </w:rPr>
              <w:t>L</w:t>
            </w:r>
            <w:r w:rsidR="00A61F09">
              <w:rPr>
                <w:rFonts w:ascii="Times New Roman" w:eastAsia="Times New Roman" w:hAnsi="Times New Roman" w:cs="Times New Roman"/>
                <w:color w:val="000000"/>
                <w:sz w:val="24"/>
                <w:szCs w:val="24"/>
                <w:shd w:val="clear" w:color="auto" w:fill="FFFFFF"/>
              </w:rPr>
              <w:t>APK</w:t>
            </w:r>
            <w:r w:rsidR="000E3647">
              <w:rPr>
                <w:rFonts w:ascii="Times New Roman" w:eastAsia="Times New Roman" w:hAnsi="Times New Roman" w:cs="Times New Roman"/>
                <w:color w:val="000000"/>
                <w:sz w:val="24"/>
                <w:szCs w:val="24"/>
                <w:shd w:val="clear" w:color="auto" w:fill="FFFFFF"/>
              </w:rPr>
              <w:t xml:space="preserve"> 236.</w:t>
            </w:r>
            <w:r w:rsidR="000E3647">
              <w:rPr>
                <w:rFonts w:ascii="Times New Roman" w:eastAsia="Times New Roman" w:hAnsi="Times New Roman" w:cs="Times New Roman"/>
                <w:color w:val="000000"/>
                <w:sz w:val="24"/>
                <w:szCs w:val="24"/>
                <w:shd w:val="clear" w:color="auto" w:fill="FFFFFF"/>
                <w:vertAlign w:val="superscript"/>
              </w:rPr>
              <w:t xml:space="preserve">12 </w:t>
            </w:r>
            <w:r w:rsidR="000E3647">
              <w:rPr>
                <w:rFonts w:ascii="Times New Roman" w:eastAsia="Times New Roman" w:hAnsi="Times New Roman" w:cs="Times New Roman"/>
                <w:color w:val="000000"/>
                <w:sz w:val="24"/>
                <w:szCs w:val="24"/>
                <w:shd w:val="clear" w:color="auto" w:fill="FFFFFF"/>
              </w:rPr>
              <w:t>pantā bija lietots termins “vadītājs” un “vadītāja vietnieks”, nosakot</w:t>
            </w:r>
            <w:r w:rsidR="00C33079">
              <w:rPr>
                <w:rFonts w:ascii="Times New Roman" w:eastAsia="Times New Roman" w:hAnsi="Times New Roman" w:cs="Times New Roman"/>
                <w:color w:val="000000"/>
                <w:sz w:val="24"/>
                <w:szCs w:val="24"/>
                <w:shd w:val="clear" w:color="auto" w:fill="FFFFFF"/>
              </w:rPr>
              <w:t>, kuras amatpersonas bija kompetentas</w:t>
            </w:r>
            <w:r w:rsidR="000E3647">
              <w:t xml:space="preserve"> </w:t>
            </w:r>
            <w:r w:rsidR="00C33079">
              <w:rPr>
                <w:rFonts w:ascii="Times New Roman" w:eastAsia="Times New Roman" w:hAnsi="Times New Roman" w:cs="Times New Roman"/>
                <w:color w:val="000000"/>
                <w:sz w:val="24"/>
                <w:szCs w:val="24"/>
                <w:shd w:val="clear" w:color="auto" w:fill="FFFFFF"/>
              </w:rPr>
              <w:t>i</w:t>
            </w:r>
            <w:r w:rsidR="000E3647" w:rsidRPr="000E3647">
              <w:rPr>
                <w:rFonts w:ascii="Times New Roman" w:eastAsia="Times New Roman" w:hAnsi="Times New Roman" w:cs="Times New Roman"/>
                <w:color w:val="000000"/>
                <w:sz w:val="24"/>
                <w:szCs w:val="24"/>
                <w:shd w:val="clear" w:color="auto" w:fill="FFFFFF"/>
              </w:rPr>
              <w:t>zskatīt administratīvo pārkāpumu lietas un uzlikt administratīvos sodus</w:t>
            </w:r>
            <w:r w:rsidR="00C33079">
              <w:rPr>
                <w:rFonts w:ascii="Times New Roman" w:eastAsia="Times New Roman" w:hAnsi="Times New Roman" w:cs="Times New Roman"/>
                <w:color w:val="000000"/>
                <w:sz w:val="24"/>
                <w:szCs w:val="24"/>
                <w:shd w:val="clear" w:color="auto" w:fill="FFFFFF"/>
              </w:rPr>
              <w:t xml:space="preserve"> līdz administratīv</w:t>
            </w:r>
            <w:r w:rsidR="00E64308">
              <w:rPr>
                <w:rFonts w:ascii="Times New Roman" w:eastAsia="Times New Roman" w:hAnsi="Times New Roman" w:cs="Times New Roman"/>
                <w:color w:val="000000"/>
                <w:sz w:val="24"/>
                <w:szCs w:val="24"/>
                <w:shd w:val="clear" w:color="auto" w:fill="FFFFFF"/>
              </w:rPr>
              <w:t>ās</w:t>
            </w:r>
            <w:r w:rsidR="00C33079">
              <w:rPr>
                <w:rFonts w:ascii="Times New Roman" w:eastAsia="Times New Roman" w:hAnsi="Times New Roman" w:cs="Times New Roman"/>
                <w:color w:val="000000"/>
                <w:sz w:val="24"/>
                <w:szCs w:val="24"/>
                <w:shd w:val="clear" w:color="auto" w:fill="FFFFFF"/>
              </w:rPr>
              <w:t xml:space="preserve"> </w:t>
            </w:r>
            <w:r w:rsidR="00E64308">
              <w:rPr>
                <w:rFonts w:ascii="Times New Roman" w:eastAsia="Times New Roman" w:hAnsi="Times New Roman" w:cs="Times New Roman"/>
                <w:color w:val="000000"/>
                <w:sz w:val="24"/>
                <w:szCs w:val="24"/>
                <w:shd w:val="clear" w:color="auto" w:fill="FFFFFF"/>
              </w:rPr>
              <w:t xml:space="preserve">atbildības regulējuma </w:t>
            </w:r>
            <w:r w:rsidR="00C33079">
              <w:rPr>
                <w:rFonts w:ascii="Times New Roman" w:eastAsia="Times New Roman" w:hAnsi="Times New Roman" w:cs="Times New Roman"/>
                <w:color w:val="000000"/>
                <w:sz w:val="24"/>
                <w:szCs w:val="24"/>
                <w:shd w:val="clear" w:color="auto" w:fill="FFFFFF"/>
              </w:rPr>
              <w:t>deko</w:t>
            </w:r>
            <w:r w:rsidR="008F4CF4">
              <w:rPr>
                <w:rFonts w:ascii="Times New Roman" w:eastAsia="Times New Roman" w:hAnsi="Times New Roman" w:cs="Times New Roman"/>
                <w:color w:val="000000"/>
                <w:sz w:val="24"/>
                <w:szCs w:val="24"/>
                <w:shd w:val="clear" w:color="auto" w:fill="FFFFFF"/>
              </w:rPr>
              <w:t>di</w:t>
            </w:r>
            <w:r w:rsidR="00C33079">
              <w:rPr>
                <w:rFonts w:ascii="Times New Roman" w:eastAsia="Times New Roman" w:hAnsi="Times New Roman" w:cs="Times New Roman"/>
                <w:color w:val="000000"/>
                <w:sz w:val="24"/>
                <w:szCs w:val="24"/>
                <w:shd w:val="clear" w:color="auto" w:fill="FFFFFF"/>
              </w:rPr>
              <w:t>fikācijai.</w:t>
            </w:r>
          </w:p>
          <w:p w14:paraId="0B953C6E" w14:textId="5E751583" w:rsidR="624EE53C" w:rsidRDefault="624EE53C" w:rsidP="624EE53C">
            <w:pPr>
              <w:pStyle w:val="Sarakstarindkopa"/>
              <w:spacing w:after="0" w:line="240" w:lineRule="auto"/>
              <w:ind w:left="0"/>
              <w:jc w:val="both"/>
              <w:rPr>
                <w:color w:val="000000" w:themeColor="text1"/>
              </w:rPr>
            </w:pPr>
          </w:p>
          <w:p w14:paraId="059D9AC1" w14:textId="7C411BC2" w:rsidR="381B9940" w:rsidRPr="005477CB" w:rsidRDefault="381B9940" w:rsidP="381B9940">
            <w:pPr>
              <w:jc w:val="both"/>
              <w:rPr>
                <w:b/>
                <w:bCs/>
                <w:lang w:eastAsia="lv-LV"/>
              </w:rPr>
            </w:pPr>
            <w:r w:rsidRPr="005477CB">
              <w:rPr>
                <w:b/>
                <w:bCs/>
              </w:rPr>
              <w:t>IV.</w:t>
            </w:r>
            <w:r w:rsidR="00CA4B94" w:rsidRPr="005477CB">
              <w:rPr>
                <w:b/>
                <w:bCs/>
              </w:rPr>
              <w:t> </w:t>
            </w:r>
            <w:r w:rsidRPr="005477CB">
              <w:rPr>
                <w:b/>
                <w:bCs/>
              </w:rPr>
              <w:t>Inspekcijas darbības tiesiskuma nodrošināšana un pārskatu sniegšana</w:t>
            </w:r>
          </w:p>
          <w:p w14:paraId="1E763F2E" w14:textId="77777777" w:rsidR="00396377" w:rsidRPr="00C23D14" w:rsidRDefault="48E5EC5E" w:rsidP="00A944FA">
            <w:pPr>
              <w:jc w:val="both"/>
              <w:rPr>
                <w:lang w:eastAsia="lv-LV"/>
              </w:rPr>
            </w:pPr>
            <w:r w:rsidRPr="00C23D14">
              <w:rPr>
                <w:lang w:eastAsia="lv-LV"/>
              </w:rPr>
              <w:t xml:space="preserve">Termins “inspektors” tie aizstāts ar “inspekcijas amatpersona”. </w:t>
            </w:r>
          </w:p>
          <w:p w14:paraId="01A92291" w14:textId="60045014" w:rsidR="00396377" w:rsidRDefault="00396377" w:rsidP="00A944FA">
            <w:pPr>
              <w:jc w:val="both"/>
              <w:rPr>
                <w:color w:val="414142"/>
                <w:sz w:val="22"/>
                <w:szCs w:val="22"/>
                <w:lang w:eastAsia="lv-LV"/>
              </w:rPr>
            </w:pPr>
            <w:r>
              <w:t xml:space="preserve">Ar inspekcijas amatpersonām ir saprotami inspekcijas inspektori, kuri atbilstoši amata aprakstam veic amata pienākumus, priekšnieka vietnieki un citi inspekcijas struktūrvienību vadītāji, kuri atbilstoši inspekcijas 2019.gada 7.augusta rīkojumam Nr.1-1/156 “Par amatpersonu pilnvaru noteikšanu” savas kompetences ietvaros veic amata pienākumus, piemēram, paraksta savā pakļautībā esošo struktūrvienību darbinieku sagatavoto dokumentu projektus.   </w:t>
            </w:r>
          </w:p>
          <w:p w14:paraId="1386F27E" w14:textId="10FB54F6" w:rsidR="009B71F4" w:rsidRPr="001D687F" w:rsidRDefault="48E5EC5E" w:rsidP="00A944FA">
            <w:pPr>
              <w:jc w:val="both"/>
            </w:pPr>
            <w:r w:rsidRPr="001D687F">
              <w:rPr>
                <w:lang w:eastAsia="lv-LV"/>
              </w:rPr>
              <w:lastRenderedPageBreak/>
              <w:t>Iekļauti divi jauni punkti, saskaņā ar kuriem i</w:t>
            </w:r>
            <w:r w:rsidRPr="001D687F">
              <w:t>nspekcijas amatpersonu pieņemtos lēmumus administratīvo pārkāpumu lietās pārsūdz, iesniedzot attiecīgu sūdzību inspekcijas vadītājam kā augstākai amatpersonai. Inspekcijas vadītāja pieņemtos lēmumus administratīvo pārkāpumu lietās pārsūdz rajona (pilsētas) tiesā. Šādi divi jauni punkti iekļauti, lai nodrošinātu precīzu kompetenču ietveršanu nolikumā attiecībā uz administratīvās atbildības lietām (iepriekš viss bija vienā punktā aptverts – gan jautājumi par administratīvo aktu un faktiskās rīcības, gan lēmumu administratīvo pārkāpumu lietās tiesiskuma kontrole).</w:t>
            </w:r>
          </w:p>
          <w:p w14:paraId="5A5D8E3D" w14:textId="7EC47B2C" w:rsidR="009B71F4" w:rsidRPr="009B71F4" w:rsidRDefault="009B71F4" w:rsidP="381B9940">
            <w:pPr>
              <w:jc w:val="both"/>
              <w:rPr>
                <w:b/>
                <w:bCs/>
                <w:color w:val="414142"/>
                <w:lang w:eastAsia="lv-LV"/>
              </w:rPr>
            </w:pPr>
          </w:p>
          <w:p w14:paraId="73AC3B43" w14:textId="54216E2F" w:rsidR="000D0E02" w:rsidRPr="00395316" w:rsidRDefault="000D0E02" w:rsidP="000D0E02">
            <w:pPr>
              <w:suppressAutoHyphens w:val="0"/>
              <w:rPr>
                <w:b/>
                <w:bCs/>
                <w:lang w:eastAsia="lv-LV"/>
              </w:rPr>
            </w:pPr>
            <w:r w:rsidRPr="00395316">
              <w:rPr>
                <w:b/>
                <w:bCs/>
                <w:lang w:eastAsia="lv-LV"/>
              </w:rPr>
              <w:t>V. Noslēguma jautājumi</w:t>
            </w:r>
            <w:r w:rsidR="0076266B" w:rsidRPr="00395316">
              <w:rPr>
                <w:b/>
                <w:bCs/>
                <w:lang w:eastAsia="lv-LV"/>
              </w:rPr>
              <w:t xml:space="preserve"> </w:t>
            </w:r>
          </w:p>
          <w:p w14:paraId="218CDD9D" w14:textId="0A0DD470" w:rsidR="00056C88" w:rsidRPr="006418B4" w:rsidRDefault="00056C88" w:rsidP="00056C88">
            <w:pPr>
              <w:suppressAutoHyphens w:val="0"/>
              <w:jc w:val="both"/>
              <w:rPr>
                <w:b/>
                <w:bCs/>
                <w:lang w:eastAsia="lv-LV"/>
              </w:rPr>
            </w:pPr>
            <w:r w:rsidRPr="006418B4">
              <w:rPr>
                <w:bCs/>
                <w:lang w:eastAsia="lv-LV"/>
              </w:rPr>
              <w:t>Noteikumu projekta 14.punkts paredz</w:t>
            </w:r>
            <w:r w:rsidRPr="006418B4">
              <w:t xml:space="preserve"> atzīt par spēku zaudējušiem Ministru kabineta 2005. gada 29.novembra noteikumus Nr. 898 </w:t>
            </w:r>
            <w:r w:rsidR="00463534">
              <w:t>“</w:t>
            </w:r>
            <w:r w:rsidRPr="006418B4">
              <w:t>Valsts bērnu tiesību aizsardzības inspekcijas nolikums</w:t>
            </w:r>
            <w:r w:rsidR="00463534">
              <w:t>”</w:t>
            </w:r>
            <w:r w:rsidRPr="006418B4">
              <w:t>.</w:t>
            </w:r>
          </w:p>
          <w:p w14:paraId="40958EC1" w14:textId="715D08C3" w:rsidR="008C38F6" w:rsidRPr="00463534" w:rsidRDefault="008C38F6" w:rsidP="00056C88">
            <w:pPr>
              <w:jc w:val="both"/>
            </w:pPr>
            <w:r w:rsidRPr="00463534">
              <w:rPr>
                <w:bCs/>
                <w:lang w:eastAsia="lv-LV"/>
              </w:rPr>
              <w:t xml:space="preserve">Noteikumu </w:t>
            </w:r>
            <w:r w:rsidR="2B65D4C0" w:rsidRPr="00463534">
              <w:rPr>
                <w:lang w:eastAsia="lv-LV"/>
              </w:rPr>
              <w:t>projekts</w:t>
            </w:r>
            <w:r w:rsidRPr="00463534">
              <w:rPr>
                <w:bCs/>
                <w:lang w:eastAsia="lv-LV"/>
              </w:rPr>
              <w:t xml:space="preserve"> paredz, ka </w:t>
            </w:r>
            <w:r w:rsidR="00130604" w:rsidRPr="00463534">
              <w:rPr>
                <w:bCs/>
                <w:lang w:eastAsia="lv-LV"/>
              </w:rPr>
              <w:t xml:space="preserve">funkcionālā pārraudzība </w:t>
            </w:r>
            <w:r w:rsidR="3E925193">
              <w:t xml:space="preserve">aizgādības tiesību </w:t>
            </w:r>
            <w:r w:rsidR="0C7CF620">
              <w:t xml:space="preserve">pārtraukšanas, </w:t>
            </w:r>
            <w:r w:rsidR="0FB3FF6A">
              <w:t>atņemšanas</w:t>
            </w:r>
            <w:r w:rsidR="00130604" w:rsidRPr="00D00DB6">
              <w:t xml:space="preserve"> un pārtraukto aizgādības tiesību </w:t>
            </w:r>
            <w:r w:rsidR="35B330DD">
              <w:t xml:space="preserve">atjaunošanas </w:t>
            </w:r>
            <w:r w:rsidR="6BA3761E">
              <w:t>jomās</w:t>
            </w:r>
            <w:r w:rsidR="00130604">
              <w:t xml:space="preserve"> </w:t>
            </w:r>
            <w:r w:rsidR="00130604" w:rsidRPr="00463534">
              <w:rPr>
                <w:lang w:eastAsia="lv-LV"/>
              </w:rPr>
              <w:t xml:space="preserve">stājas spēkā 2022.gada 1.janvārī, bet </w:t>
            </w:r>
            <w:r w:rsidR="00130604" w:rsidRPr="00463534">
              <w:t xml:space="preserve"> </w:t>
            </w:r>
            <w:r w:rsidR="00130604" w:rsidRPr="00D00DB6">
              <w:t xml:space="preserve">ārpusģimenes </w:t>
            </w:r>
            <w:r w:rsidR="6BA3761E">
              <w:t>aprūpes jomā</w:t>
            </w:r>
            <w:r w:rsidR="00130604">
              <w:t xml:space="preserve"> - </w:t>
            </w:r>
            <w:r w:rsidR="00130604" w:rsidRPr="00463534">
              <w:rPr>
                <w:lang w:eastAsia="lv-LV"/>
              </w:rPr>
              <w:t>2023.gada 1.janvārī.</w:t>
            </w:r>
          </w:p>
          <w:p w14:paraId="31433024" w14:textId="72F84017" w:rsidR="00CD5408" w:rsidRPr="00A66F71" w:rsidRDefault="008C38F6" w:rsidP="00A66F71">
            <w:pPr>
              <w:suppressAutoHyphens w:val="0"/>
              <w:jc w:val="both"/>
              <w:rPr>
                <w:rFonts w:eastAsia="Calibri"/>
                <w:bCs/>
                <w:noProof/>
                <w:lang w:eastAsia="en-US"/>
              </w:rPr>
            </w:pPr>
            <w:r w:rsidRPr="008C38F6">
              <w:rPr>
                <w:rFonts w:eastAsia="Calibri"/>
                <w:bCs/>
                <w:noProof/>
                <w:lang w:eastAsia="en-US"/>
              </w:rPr>
              <w:t>Savukārt grozījum</w:t>
            </w:r>
            <w:r w:rsidR="00130604">
              <w:rPr>
                <w:rFonts w:eastAsia="Calibri"/>
                <w:bCs/>
                <w:noProof/>
                <w:lang w:eastAsia="en-US"/>
              </w:rPr>
              <w:t>i</w:t>
            </w:r>
            <w:r w:rsidRPr="008C38F6">
              <w:rPr>
                <w:rFonts w:eastAsia="Calibri"/>
                <w:bCs/>
                <w:noProof/>
                <w:lang w:eastAsia="en-US"/>
              </w:rPr>
              <w:t>, kas saistīti ar</w:t>
            </w:r>
            <w:r w:rsidR="00130604">
              <w:rPr>
                <w:rFonts w:eastAsia="Calibri"/>
                <w:bCs/>
                <w:noProof/>
                <w:lang w:eastAsia="en-US"/>
              </w:rPr>
              <w:t xml:space="preserve"> </w:t>
            </w:r>
            <w:r w:rsidRPr="008C38F6">
              <w:rPr>
                <w:rFonts w:eastAsia="Calibri"/>
                <w:bCs/>
                <w:noProof/>
                <w:lang w:eastAsia="en-US"/>
              </w:rPr>
              <w:t>instit</w:t>
            </w:r>
            <w:r w:rsidR="000B3F1E">
              <w:rPr>
                <w:rFonts w:eastAsia="Calibri"/>
                <w:bCs/>
                <w:noProof/>
                <w:lang w:eastAsia="en-US"/>
              </w:rPr>
              <w:t>u</w:t>
            </w:r>
            <w:r w:rsidRPr="008C38F6">
              <w:rPr>
                <w:rFonts w:eastAsia="Calibri"/>
                <w:bCs/>
                <w:noProof/>
                <w:lang w:eastAsia="en-US"/>
              </w:rPr>
              <w:t>cionāl</w:t>
            </w:r>
            <w:r w:rsidR="00130604">
              <w:rPr>
                <w:rFonts w:eastAsia="Calibri"/>
                <w:bCs/>
                <w:noProof/>
                <w:lang w:eastAsia="en-US"/>
              </w:rPr>
              <w:t>o</w:t>
            </w:r>
            <w:r w:rsidRPr="008C38F6">
              <w:rPr>
                <w:rFonts w:eastAsia="Calibri"/>
                <w:bCs/>
                <w:noProof/>
                <w:lang w:eastAsia="en-US"/>
              </w:rPr>
              <w:t xml:space="preserve"> pārraudzīb</w:t>
            </w:r>
            <w:r w:rsidR="00130604">
              <w:rPr>
                <w:rFonts w:eastAsia="Calibri"/>
                <w:bCs/>
                <w:noProof/>
                <w:lang w:eastAsia="en-US"/>
              </w:rPr>
              <w:t>u</w:t>
            </w:r>
            <w:r w:rsidRPr="008C38F6">
              <w:rPr>
                <w:rFonts w:eastAsia="Calibri"/>
                <w:bCs/>
                <w:noProof/>
                <w:lang w:eastAsia="en-US"/>
              </w:rPr>
              <w:t xml:space="preserve"> – </w:t>
            </w:r>
            <w:r w:rsidR="6BA3761E" w:rsidRPr="6BA3761E">
              <w:rPr>
                <w:rFonts w:eastAsia="Calibri"/>
                <w:noProof/>
                <w:lang w:eastAsia="en-US"/>
              </w:rPr>
              <w:t>VBTAI</w:t>
            </w:r>
            <w:r w:rsidR="000B6293">
              <w:rPr>
                <w:rFonts w:eastAsia="Calibri"/>
                <w:bCs/>
                <w:noProof/>
                <w:lang w:eastAsia="en-US"/>
              </w:rPr>
              <w:t xml:space="preserve"> pienākums orga</w:t>
            </w:r>
            <w:r w:rsidR="005D55C9">
              <w:rPr>
                <w:rFonts w:eastAsia="Calibri"/>
                <w:bCs/>
                <w:noProof/>
                <w:lang w:eastAsia="en-US"/>
              </w:rPr>
              <w:t>n</w:t>
            </w:r>
            <w:r w:rsidR="000B6293">
              <w:rPr>
                <w:rFonts w:eastAsia="Calibri"/>
                <w:bCs/>
                <w:noProof/>
                <w:lang w:eastAsia="en-US"/>
              </w:rPr>
              <w:t xml:space="preserve">izēt </w:t>
            </w:r>
            <w:r w:rsidR="2D023C99" w:rsidRPr="2D023C99">
              <w:rPr>
                <w:rFonts w:eastAsia="Calibri"/>
                <w:noProof/>
                <w:lang w:eastAsia="en-US"/>
              </w:rPr>
              <w:t>kvalifikācijas</w:t>
            </w:r>
            <w:r w:rsidRPr="008C38F6">
              <w:rPr>
                <w:rFonts w:eastAsia="Calibri"/>
                <w:bCs/>
                <w:noProof/>
                <w:lang w:eastAsia="en-US"/>
              </w:rPr>
              <w:t xml:space="preserve"> komisijas </w:t>
            </w:r>
            <w:r w:rsidR="000B6293">
              <w:rPr>
                <w:rFonts w:eastAsia="Calibri"/>
                <w:bCs/>
                <w:noProof/>
                <w:lang w:eastAsia="en-US"/>
              </w:rPr>
              <w:t xml:space="preserve">darbu </w:t>
            </w:r>
            <w:r w:rsidRPr="008C38F6">
              <w:rPr>
                <w:rFonts w:eastAsia="Calibri"/>
                <w:bCs/>
                <w:noProof/>
                <w:lang w:eastAsia="en-US"/>
              </w:rPr>
              <w:t xml:space="preserve">un </w:t>
            </w:r>
            <w:r w:rsidR="000B6293">
              <w:rPr>
                <w:rFonts w:eastAsia="Calibri"/>
                <w:bCs/>
                <w:noProof/>
                <w:lang w:eastAsia="en-US"/>
              </w:rPr>
              <w:t xml:space="preserve">tiesības pieprasīt </w:t>
            </w:r>
            <w:r w:rsidRPr="008C38F6">
              <w:rPr>
                <w:rFonts w:eastAsia="Calibri"/>
                <w:bCs/>
                <w:noProof/>
                <w:lang w:eastAsia="en-US"/>
              </w:rPr>
              <w:t xml:space="preserve">bāriņtiesas amatpersonu </w:t>
            </w:r>
            <w:r w:rsidR="009169B9">
              <w:rPr>
                <w:rFonts w:eastAsia="Calibri"/>
                <w:bCs/>
                <w:noProof/>
                <w:lang w:eastAsia="en-US"/>
              </w:rPr>
              <w:t xml:space="preserve">ārpus kārtas </w:t>
            </w:r>
            <w:r w:rsidRPr="008C38F6">
              <w:rPr>
                <w:rFonts w:eastAsia="Calibri"/>
                <w:bCs/>
                <w:noProof/>
                <w:lang w:eastAsia="en-US"/>
              </w:rPr>
              <w:t>sertifikācija</w:t>
            </w:r>
            <w:r w:rsidR="00463534">
              <w:rPr>
                <w:rFonts w:eastAsia="Calibri"/>
                <w:bCs/>
                <w:noProof/>
                <w:lang w:eastAsia="en-US"/>
              </w:rPr>
              <w:t xml:space="preserve"> –</w:t>
            </w:r>
            <w:r w:rsidRPr="008C38F6">
              <w:rPr>
                <w:rFonts w:eastAsia="Calibri"/>
                <w:bCs/>
                <w:noProof/>
                <w:lang w:eastAsia="en-US"/>
              </w:rPr>
              <w:t>, stāsies spēkā 2025.gada 1.janvārī</w:t>
            </w:r>
            <w:r w:rsidR="00056C88">
              <w:rPr>
                <w:color w:val="414142"/>
                <w:lang w:eastAsia="lv-LV"/>
              </w:rPr>
              <w:t>.</w:t>
            </w:r>
          </w:p>
        </w:tc>
      </w:tr>
      <w:tr w:rsidR="005B0BE8" w:rsidRPr="00F50461" w14:paraId="7A41CD29" w14:textId="77777777" w:rsidTr="69AAF6FD">
        <w:trPr>
          <w:trHeight w:val="476"/>
        </w:trPr>
        <w:tc>
          <w:tcPr>
            <w:tcW w:w="550" w:type="dxa"/>
            <w:tcBorders>
              <w:top w:val="single" w:sz="4" w:space="0" w:color="000000" w:themeColor="text1"/>
              <w:left w:val="single" w:sz="4" w:space="0" w:color="000000" w:themeColor="text1"/>
              <w:bottom w:val="single" w:sz="4" w:space="0" w:color="000000" w:themeColor="text1"/>
            </w:tcBorders>
            <w:shd w:val="clear" w:color="auto" w:fill="auto"/>
          </w:tcPr>
          <w:p w14:paraId="3AC2C6BF" w14:textId="77777777" w:rsidR="005B0BE8" w:rsidRPr="00F50461" w:rsidRDefault="005B0BE8">
            <w:pPr>
              <w:pStyle w:val="naiskr"/>
              <w:spacing w:before="0" w:after="0"/>
            </w:pPr>
            <w:r w:rsidRPr="00F50461">
              <w:lastRenderedPageBreak/>
              <w:t>3.</w:t>
            </w:r>
          </w:p>
        </w:tc>
        <w:tc>
          <w:tcPr>
            <w:tcW w:w="3566" w:type="dxa"/>
            <w:tcBorders>
              <w:top w:val="single" w:sz="4" w:space="0" w:color="000000" w:themeColor="text1"/>
              <w:left w:val="single" w:sz="4" w:space="0" w:color="000000" w:themeColor="text1"/>
              <w:bottom w:val="single" w:sz="4" w:space="0" w:color="000000" w:themeColor="text1"/>
            </w:tcBorders>
            <w:shd w:val="clear" w:color="auto" w:fill="auto"/>
          </w:tcPr>
          <w:p w14:paraId="5D4F6607" w14:textId="77777777" w:rsidR="005B0BE8" w:rsidRPr="00F50461" w:rsidRDefault="005B0BE8">
            <w:pPr>
              <w:pStyle w:val="naiskr"/>
              <w:spacing w:before="0" w:after="0"/>
            </w:pPr>
            <w:r w:rsidRPr="00F50461">
              <w:t>Projekta izstrādē iesaistītās institūcijas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9EFD0" w14:textId="4C16DCCA" w:rsidR="003F619B" w:rsidRPr="00F50461" w:rsidRDefault="009B7BE5" w:rsidP="00476685">
            <w:pPr>
              <w:pStyle w:val="naiskr"/>
              <w:spacing w:before="0" w:after="0"/>
              <w:jc w:val="both"/>
            </w:pPr>
            <w:r>
              <w:t>VBTAI</w:t>
            </w:r>
          </w:p>
        </w:tc>
      </w:tr>
      <w:tr w:rsidR="005B0BE8" w:rsidRPr="00F50461" w14:paraId="3853BC78" w14:textId="77777777" w:rsidTr="69AAF6FD">
        <w:tc>
          <w:tcPr>
            <w:tcW w:w="550" w:type="dxa"/>
            <w:tcBorders>
              <w:top w:val="single" w:sz="4" w:space="0" w:color="000000" w:themeColor="text1"/>
              <w:left w:val="single" w:sz="4" w:space="0" w:color="000000" w:themeColor="text1"/>
              <w:bottom w:val="single" w:sz="4" w:space="0" w:color="000000" w:themeColor="text1"/>
            </w:tcBorders>
            <w:shd w:val="clear" w:color="auto" w:fill="auto"/>
          </w:tcPr>
          <w:p w14:paraId="49688C7D" w14:textId="77777777" w:rsidR="005B0BE8" w:rsidRPr="00F50461" w:rsidRDefault="005B0BE8">
            <w:pPr>
              <w:pStyle w:val="naiskr"/>
              <w:spacing w:before="0" w:after="0"/>
            </w:pPr>
            <w:r w:rsidRPr="00F50461">
              <w:t>4.</w:t>
            </w:r>
          </w:p>
        </w:tc>
        <w:tc>
          <w:tcPr>
            <w:tcW w:w="3566" w:type="dxa"/>
            <w:tcBorders>
              <w:top w:val="single" w:sz="4" w:space="0" w:color="000000" w:themeColor="text1"/>
              <w:left w:val="single" w:sz="4" w:space="0" w:color="000000" w:themeColor="text1"/>
              <w:bottom w:val="single" w:sz="4" w:space="0" w:color="000000" w:themeColor="text1"/>
            </w:tcBorders>
            <w:shd w:val="clear" w:color="auto" w:fill="auto"/>
          </w:tcPr>
          <w:p w14:paraId="4AE27525" w14:textId="77777777" w:rsidR="005B0BE8" w:rsidRPr="00F50461" w:rsidRDefault="005B0BE8">
            <w:pPr>
              <w:pStyle w:val="naiskr"/>
              <w:spacing w:before="0" w:after="0"/>
            </w:pPr>
            <w:r w:rsidRPr="00F50461">
              <w:t>Cita informācija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D0E46" w14:textId="6761F289" w:rsidR="003F619B" w:rsidRPr="0031123E" w:rsidRDefault="009E2152" w:rsidP="006C59CE">
            <w:pPr>
              <w:pStyle w:val="naiskr"/>
              <w:spacing w:before="0" w:after="0"/>
              <w:jc w:val="both"/>
            </w:pPr>
            <w:r w:rsidRPr="0031123E">
              <w:rPr>
                <w:shd w:val="clear" w:color="auto" w:fill="FFFFFF"/>
              </w:rPr>
              <w:t xml:space="preserve">Likumprojekta “Grozījumi Bāriņtiesu likumā” izskatīšanas laikā Saeimā (grozījumi Bāriņtiesu likumā Saeimā pieņemti š.g. 16.jūnijā un </w:t>
            </w:r>
            <w:r w:rsidR="00463534">
              <w:rPr>
                <w:shd w:val="clear" w:color="auto" w:fill="FFFFFF"/>
              </w:rPr>
              <w:t>spēkā stājušies š.g. 1jūlijā</w:t>
            </w:r>
            <w:r w:rsidRPr="0031123E">
              <w:rPr>
                <w:shd w:val="clear" w:color="auto" w:fill="FFFFFF"/>
              </w:rPr>
              <w:t xml:space="preserve">) atkārtoti pārspriests jautājums par </w:t>
            </w:r>
            <w:r w:rsidR="007A71A8" w:rsidRPr="0031123E">
              <w:rPr>
                <w:shd w:val="clear" w:color="auto" w:fill="FFFFFF"/>
              </w:rPr>
              <w:t>VBTAI</w:t>
            </w:r>
            <w:r w:rsidRPr="0031123E">
              <w:rPr>
                <w:shd w:val="clear" w:color="auto" w:fill="FFFFFF"/>
              </w:rPr>
              <w:t xml:space="preserve"> darbinieku izglītības prasībām</w:t>
            </w:r>
            <w:r w:rsidR="003C311D" w:rsidRPr="0031123E">
              <w:rPr>
                <w:shd w:val="clear" w:color="auto" w:fill="FFFFFF"/>
              </w:rPr>
              <w:t xml:space="preserve">, lai </w:t>
            </w:r>
            <w:r w:rsidR="00597B3A" w:rsidRPr="0031123E">
              <w:rPr>
                <w:shd w:val="clear" w:color="auto" w:fill="FFFFFF"/>
              </w:rPr>
              <w:t xml:space="preserve">šādas prasības būtu </w:t>
            </w:r>
            <w:r w:rsidR="0000503E" w:rsidRPr="0031123E">
              <w:rPr>
                <w:shd w:val="clear" w:color="auto" w:fill="FFFFFF"/>
              </w:rPr>
              <w:t xml:space="preserve">atbilstošas </w:t>
            </w:r>
            <w:r w:rsidR="00CF5599" w:rsidRPr="0031123E">
              <w:rPr>
                <w:shd w:val="clear" w:color="auto" w:fill="FFFFFF"/>
              </w:rPr>
              <w:t>uzdevumiem, kādi VBTAI darbiniekiem ir uzticēti</w:t>
            </w:r>
            <w:r w:rsidRPr="0031123E">
              <w:rPr>
                <w:shd w:val="clear" w:color="auto" w:fill="FFFFFF"/>
              </w:rPr>
              <w:t>.</w:t>
            </w:r>
            <w:r w:rsidR="00CF5599" w:rsidRPr="0031123E">
              <w:rPr>
                <w:shd w:val="clear" w:color="auto" w:fill="FFFFFF"/>
              </w:rPr>
              <w:t xml:space="preserve"> Konkrētajā gadījumā </w:t>
            </w:r>
            <w:r w:rsidR="00920EEA" w:rsidRPr="0031123E">
              <w:rPr>
                <w:shd w:val="clear" w:color="auto" w:fill="FFFFFF"/>
              </w:rPr>
              <w:t>–</w:t>
            </w:r>
            <w:r w:rsidR="00CF5599" w:rsidRPr="0031123E">
              <w:rPr>
                <w:shd w:val="clear" w:color="auto" w:fill="FFFFFF"/>
              </w:rPr>
              <w:t xml:space="preserve"> </w:t>
            </w:r>
            <w:r w:rsidR="00920EEA" w:rsidRPr="0031123E">
              <w:rPr>
                <w:shd w:val="clear" w:color="auto" w:fill="FFFFFF"/>
              </w:rPr>
              <w:t xml:space="preserve">kompetence </w:t>
            </w:r>
            <w:r w:rsidR="00215B2E" w:rsidRPr="0031123E">
              <w:rPr>
                <w:shd w:val="clear" w:color="auto" w:fill="FFFFFF"/>
              </w:rPr>
              <w:t>īstenot bāriņtiesu funkcionālo pārraudzību</w:t>
            </w:r>
            <w:r w:rsidR="00CF5599" w:rsidRPr="0031123E">
              <w:rPr>
                <w:shd w:val="clear" w:color="auto" w:fill="FFFFFF"/>
              </w:rPr>
              <w:t>.</w:t>
            </w:r>
            <w:r w:rsidR="003E3599" w:rsidRPr="0031123E">
              <w:rPr>
                <w:shd w:val="clear" w:color="auto" w:fill="FFFFFF"/>
              </w:rPr>
              <w:t xml:space="preserve"> Svarīgi, lai šādiem VBTAI darbiniekiem </w:t>
            </w:r>
            <w:r w:rsidR="00D929B6" w:rsidRPr="0031123E">
              <w:rPr>
                <w:shd w:val="clear" w:color="auto" w:fill="FFFFFF"/>
              </w:rPr>
              <w:t>visos gadījumos, kad to kompetenc</w:t>
            </w:r>
            <w:r w:rsidR="0061306C" w:rsidRPr="0031123E">
              <w:rPr>
                <w:shd w:val="clear" w:color="auto" w:fill="FFFFFF"/>
              </w:rPr>
              <w:t xml:space="preserve">ē ietilpst bāriņtiesu funkcionālās pārraudzības jautājumi, ir </w:t>
            </w:r>
            <w:r w:rsidR="00857B48" w:rsidRPr="0031123E">
              <w:rPr>
                <w:shd w:val="clear" w:color="auto" w:fill="FFFFFF"/>
              </w:rPr>
              <w:t>at</w:t>
            </w:r>
            <w:r w:rsidR="00D3524A" w:rsidRPr="0031123E">
              <w:rPr>
                <w:shd w:val="clear" w:color="auto" w:fill="FFFFFF"/>
              </w:rPr>
              <w:t>b</w:t>
            </w:r>
            <w:r w:rsidR="00857B48" w:rsidRPr="0031123E">
              <w:rPr>
                <w:shd w:val="clear" w:color="auto" w:fill="FFFFFF"/>
              </w:rPr>
              <w:t>ilstoša</w:t>
            </w:r>
            <w:r w:rsidR="00D3524A" w:rsidRPr="0031123E">
              <w:rPr>
                <w:shd w:val="clear" w:color="auto" w:fill="FFFFFF"/>
              </w:rPr>
              <w:t xml:space="preserve"> izglītība un citas prasības</w:t>
            </w:r>
            <w:r w:rsidR="003E3599" w:rsidRPr="0031123E">
              <w:rPr>
                <w:shd w:val="clear" w:color="auto" w:fill="FFFFFF"/>
              </w:rPr>
              <w:t>.</w:t>
            </w:r>
            <w:r w:rsidR="00D3524A" w:rsidRPr="0031123E">
              <w:rPr>
                <w:shd w:val="clear" w:color="auto" w:fill="FFFFFF"/>
              </w:rPr>
              <w:t xml:space="preserve"> Īpaši uzsverams, ka nedrīkstētu veidoties situācija, kad izglītības, pieredzes</w:t>
            </w:r>
            <w:r w:rsidR="003A752E" w:rsidRPr="0031123E">
              <w:rPr>
                <w:shd w:val="clear" w:color="auto" w:fill="FFFFFF"/>
              </w:rPr>
              <w:t>, zināšan</w:t>
            </w:r>
            <w:r w:rsidR="000D04BB">
              <w:rPr>
                <w:shd w:val="clear" w:color="auto" w:fill="FFFFFF"/>
              </w:rPr>
              <w:t>u</w:t>
            </w:r>
            <w:r w:rsidR="003A752E" w:rsidRPr="0031123E">
              <w:rPr>
                <w:shd w:val="clear" w:color="auto" w:fill="FFFFFF"/>
              </w:rPr>
              <w:t xml:space="preserve"> un prasmju ziņā </w:t>
            </w:r>
            <w:r w:rsidR="00C71E2C" w:rsidRPr="0031123E">
              <w:rPr>
                <w:shd w:val="clear" w:color="auto" w:fill="FFFFFF"/>
              </w:rPr>
              <w:t>zemāka līmeņa darbiniekam tiek uzticēts</w:t>
            </w:r>
            <w:r w:rsidR="005C003A" w:rsidRPr="0031123E">
              <w:rPr>
                <w:shd w:val="clear" w:color="auto" w:fill="FFFFFF"/>
              </w:rPr>
              <w:t xml:space="preserve"> </w:t>
            </w:r>
            <w:r w:rsidR="009D3E69" w:rsidRPr="0031123E">
              <w:rPr>
                <w:shd w:val="clear" w:color="auto" w:fill="FFFFFF"/>
              </w:rPr>
              <w:t xml:space="preserve">pārraudzīt </w:t>
            </w:r>
            <w:r w:rsidR="00750208" w:rsidRPr="0031123E">
              <w:rPr>
                <w:shd w:val="clear" w:color="auto" w:fill="FFFFFF"/>
              </w:rPr>
              <w:t xml:space="preserve">darbinieku ar augstāka līmeņa </w:t>
            </w:r>
            <w:r w:rsidR="00F0365B" w:rsidRPr="0031123E">
              <w:rPr>
                <w:shd w:val="clear" w:color="auto" w:fill="FFFFFF"/>
              </w:rPr>
              <w:t>izglītību, zināšanām, pieredzi un citām svarīgām ar profesionālu darbību saistītām pazīmēm</w:t>
            </w:r>
            <w:r w:rsidR="00D3524A" w:rsidRPr="0031123E">
              <w:rPr>
                <w:shd w:val="clear" w:color="auto" w:fill="FFFFFF"/>
              </w:rPr>
              <w:t>.</w:t>
            </w:r>
            <w:r w:rsidRPr="0031123E">
              <w:rPr>
                <w:shd w:val="clear" w:color="auto" w:fill="FFFFFF"/>
              </w:rPr>
              <w:t xml:space="preserve"> </w:t>
            </w:r>
            <w:r w:rsidR="00F87CBB" w:rsidRPr="0031123E">
              <w:rPr>
                <w:shd w:val="clear" w:color="auto" w:fill="FFFFFF"/>
              </w:rPr>
              <w:t>Minētajā diskusijā iesaistītie dalībnieki a</w:t>
            </w:r>
            <w:r w:rsidRPr="0031123E">
              <w:rPr>
                <w:shd w:val="clear" w:color="auto" w:fill="FFFFFF"/>
              </w:rPr>
              <w:t>tz</w:t>
            </w:r>
            <w:r w:rsidR="00F87CBB" w:rsidRPr="0031123E">
              <w:rPr>
                <w:shd w:val="clear" w:color="auto" w:fill="FFFFFF"/>
              </w:rPr>
              <w:t>ina</w:t>
            </w:r>
            <w:r w:rsidRPr="0031123E">
              <w:rPr>
                <w:shd w:val="clear" w:color="auto" w:fill="FFFFFF"/>
              </w:rPr>
              <w:t xml:space="preserve">, ka jautājums ir ļoti aktuāls. Tādēļ </w:t>
            </w:r>
            <w:r w:rsidRPr="0031123E">
              <w:t xml:space="preserve">izglītībai  un ar to saistīto prasību </w:t>
            </w:r>
            <w:r w:rsidRPr="0031123E">
              <w:lastRenderedPageBreak/>
              <w:t xml:space="preserve">pārvērtēšanai </w:t>
            </w:r>
            <w:r w:rsidR="00F87CBB" w:rsidRPr="0031123E">
              <w:t xml:space="preserve">VBTAI darbiniekiem </w:t>
            </w:r>
            <w:r w:rsidRPr="0031123E">
              <w:t>tiks veltīta atsevišķa saruna</w:t>
            </w:r>
            <w:r w:rsidR="00F76F4C" w:rsidRPr="0031123E">
              <w:t xml:space="preserve"> – starpinstitūciju sanāksme</w:t>
            </w:r>
            <w:r w:rsidR="00F87CBB" w:rsidRPr="0031123E">
              <w:t xml:space="preserve"> vai, ja nepieciešams, sanāksmju cikls</w:t>
            </w:r>
            <w:r w:rsidRPr="0031123E">
              <w:t>.</w:t>
            </w:r>
            <w:r w:rsidR="005B0A36" w:rsidRPr="0031123E">
              <w:t xml:space="preserve"> </w:t>
            </w:r>
            <w:r w:rsidR="00692211" w:rsidRPr="00F047B0">
              <w:rPr>
                <w:color w:val="000000" w:themeColor="text1"/>
              </w:rPr>
              <w:t xml:space="preserve">Pirmā šāda </w:t>
            </w:r>
            <w:r w:rsidR="008077E2" w:rsidRPr="00F047B0">
              <w:rPr>
                <w:color w:val="000000" w:themeColor="text1"/>
              </w:rPr>
              <w:t xml:space="preserve">starpinstitūciju sanāksme plānota </w:t>
            </w:r>
            <w:r w:rsidR="00ED1544" w:rsidRPr="00F047B0">
              <w:rPr>
                <w:color w:val="000000" w:themeColor="text1"/>
              </w:rPr>
              <w:t>2021.gada septem</w:t>
            </w:r>
            <w:r w:rsidR="009C2E5A" w:rsidRPr="00F047B0">
              <w:rPr>
                <w:color w:val="000000" w:themeColor="text1"/>
              </w:rPr>
              <w:t>bra 2.nedēļā.</w:t>
            </w:r>
            <w:r w:rsidRPr="00F047B0">
              <w:rPr>
                <w:color w:val="000000" w:themeColor="text1"/>
              </w:rPr>
              <w:t xml:space="preserve"> </w:t>
            </w:r>
            <w:r w:rsidRPr="0031123E">
              <w:t xml:space="preserve">Šajā </w:t>
            </w:r>
            <w:r w:rsidR="00F87CBB" w:rsidRPr="0031123E">
              <w:t xml:space="preserve">sarunā </w:t>
            </w:r>
            <w:r w:rsidRPr="0031123E">
              <w:t xml:space="preserve">tiks veltīta uzmanība arī citām svarīgām </w:t>
            </w:r>
            <w:r w:rsidR="00F87CBB" w:rsidRPr="0031123E">
              <w:t>VBTAI</w:t>
            </w:r>
            <w:r w:rsidRPr="0031123E">
              <w:t xml:space="preserve"> darbiniekiem izvirzāmajām prasībām (</w:t>
            </w:r>
            <w:r w:rsidR="00AA4A3C" w:rsidRPr="0031123E">
              <w:t>VBTAI</w:t>
            </w:r>
            <w:r w:rsidRPr="0031123E">
              <w:t xml:space="preserve"> darbinieku, kuri īstenos bāriņtiesu pārraudzību, pieredze, citas nepieciešamās kompetences, nevainojama reputācija, vecums).</w:t>
            </w:r>
          </w:p>
          <w:p w14:paraId="045D983F" w14:textId="77777777" w:rsidR="00DB48C9" w:rsidRDefault="00DB48C9" w:rsidP="006C59CE">
            <w:pPr>
              <w:pStyle w:val="naiskr"/>
              <w:spacing w:before="0" w:after="0"/>
              <w:jc w:val="both"/>
              <w:rPr>
                <w:bCs/>
              </w:rPr>
            </w:pPr>
          </w:p>
          <w:p w14:paraId="24893CCC" w14:textId="7588E257" w:rsidR="00382837" w:rsidRDefault="00382837" w:rsidP="006C59CE">
            <w:pPr>
              <w:pStyle w:val="naiskr"/>
              <w:spacing w:before="0" w:after="0"/>
              <w:jc w:val="both"/>
              <w:rPr>
                <w:bCs/>
              </w:rPr>
            </w:pPr>
            <w:r>
              <w:rPr>
                <w:bCs/>
              </w:rPr>
              <w:t xml:space="preserve">LM </w:t>
            </w:r>
            <w:r w:rsidR="00F87CBB">
              <w:rPr>
                <w:bCs/>
              </w:rPr>
              <w:t xml:space="preserve">arī </w:t>
            </w:r>
            <w:r>
              <w:rPr>
                <w:bCs/>
              </w:rPr>
              <w:t xml:space="preserve">uzskata, ka nepietiek tikai ar to, ka </w:t>
            </w:r>
            <w:r w:rsidR="005E65F5">
              <w:rPr>
                <w:bCs/>
              </w:rPr>
              <w:t xml:space="preserve">VBTAI darbinieki, kuri </w:t>
            </w:r>
            <w:r w:rsidR="00F3009A">
              <w:rPr>
                <w:bCs/>
              </w:rPr>
              <w:t>darbojas bāriņtiesu funkcionālās pārraudzības jomā</w:t>
            </w:r>
            <w:r w:rsidR="00ED4952">
              <w:rPr>
                <w:bCs/>
              </w:rPr>
              <w:t xml:space="preserve">, ir </w:t>
            </w:r>
            <w:r w:rsidR="00072841">
              <w:rPr>
                <w:bCs/>
              </w:rPr>
              <w:t xml:space="preserve">ieguvuši tās zināšanas un prasmes, kas tiek saskaņā ar Bāriņtiesu likumu izvirzītas bāriņtiesas sastāvam, bet papildus ir nepieciešamas speciālas ar funkcionālās pārraudzības veikšanu saistītas </w:t>
            </w:r>
            <w:r w:rsidR="007F6CCB">
              <w:rPr>
                <w:bCs/>
              </w:rPr>
              <w:t xml:space="preserve">zināšanas un prasmes. </w:t>
            </w:r>
            <w:r w:rsidR="00087477">
              <w:rPr>
                <w:bCs/>
              </w:rPr>
              <w:t>Tādēļ arī jautājums par speciāl</w:t>
            </w:r>
            <w:r w:rsidR="000D04BB">
              <w:rPr>
                <w:bCs/>
              </w:rPr>
              <w:t>u</w:t>
            </w:r>
            <w:r w:rsidR="00087477">
              <w:rPr>
                <w:bCs/>
              </w:rPr>
              <w:t xml:space="preserve"> VBTAI darbiniekiem paredzētu izglītības programmu ir virzāms apspriešanai starpinstitūciju sanāksmē.</w:t>
            </w:r>
          </w:p>
          <w:p w14:paraId="2CDD4561" w14:textId="77777777" w:rsidR="00382837" w:rsidRDefault="00382837" w:rsidP="006C59CE">
            <w:pPr>
              <w:pStyle w:val="naiskr"/>
              <w:spacing w:before="0" w:after="0"/>
              <w:jc w:val="both"/>
              <w:rPr>
                <w:bCs/>
              </w:rPr>
            </w:pPr>
          </w:p>
          <w:p w14:paraId="1C0F0C06" w14:textId="21C3023A" w:rsidR="00DB48C9" w:rsidRDefault="00FA746A" w:rsidP="006C59CE">
            <w:pPr>
              <w:pStyle w:val="naiskr"/>
              <w:spacing w:before="0" w:after="0"/>
              <w:jc w:val="both"/>
              <w:rPr>
                <w:lang w:eastAsia="en-US"/>
              </w:rPr>
            </w:pPr>
            <w:r>
              <w:rPr>
                <w:lang w:eastAsia="en-US"/>
              </w:rPr>
              <w:t xml:space="preserve">Vienlaikus jānorāda, ka </w:t>
            </w:r>
            <w:r w:rsidR="00C973C9">
              <w:rPr>
                <w:lang w:eastAsia="en-US"/>
              </w:rPr>
              <w:t>LM</w:t>
            </w:r>
            <w:r w:rsidR="008E34C7">
              <w:rPr>
                <w:lang w:eastAsia="en-US"/>
              </w:rPr>
              <w:t xml:space="preserve"> </w:t>
            </w:r>
            <w:r w:rsidR="006C4717">
              <w:rPr>
                <w:lang w:eastAsia="en-US"/>
              </w:rPr>
              <w:t>sadarbībā ar VBTAI</w:t>
            </w:r>
            <w:r>
              <w:rPr>
                <w:lang w:eastAsia="en-US"/>
              </w:rPr>
              <w:t xml:space="preserve"> un citām iesaistītājām pusēm</w:t>
            </w:r>
            <w:r w:rsidR="006C4717">
              <w:rPr>
                <w:lang w:eastAsia="en-US"/>
              </w:rPr>
              <w:t xml:space="preserve"> </w:t>
            </w:r>
            <w:r w:rsidR="008E34C7">
              <w:rPr>
                <w:lang w:eastAsia="en-US"/>
              </w:rPr>
              <w:t xml:space="preserve">plāno </w:t>
            </w:r>
            <w:r w:rsidR="007B3D4A">
              <w:rPr>
                <w:lang w:eastAsia="en-US"/>
              </w:rPr>
              <w:t xml:space="preserve">konkretizēt </w:t>
            </w:r>
            <w:r w:rsidR="00D81BF8">
              <w:rPr>
                <w:lang w:eastAsia="en-US"/>
              </w:rPr>
              <w:t>un juridiski nostiprināt</w:t>
            </w:r>
            <w:r w:rsidR="001F517B">
              <w:rPr>
                <w:lang w:eastAsia="en-US"/>
              </w:rPr>
              <w:t xml:space="preserve"> (</w:t>
            </w:r>
            <w:r w:rsidR="0009128E">
              <w:rPr>
                <w:lang w:eastAsia="en-US"/>
              </w:rPr>
              <w:t xml:space="preserve">juridiskā dokumenta veids </w:t>
            </w:r>
            <w:r w:rsidR="009E03BC">
              <w:rPr>
                <w:lang w:eastAsia="en-US"/>
              </w:rPr>
              <w:t xml:space="preserve">tiks definēts </w:t>
            </w:r>
            <w:r w:rsidR="00230FCD">
              <w:rPr>
                <w:lang w:eastAsia="en-US"/>
              </w:rPr>
              <w:t>jautājuma izskatīšanas procesā</w:t>
            </w:r>
            <w:r w:rsidR="001F517B">
              <w:rPr>
                <w:lang w:eastAsia="en-US"/>
              </w:rPr>
              <w:t>)</w:t>
            </w:r>
            <w:r w:rsidR="00D81BF8">
              <w:rPr>
                <w:lang w:eastAsia="en-US"/>
              </w:rPr>
              <w:t xml:space="preserve"> </w:t>
            </w:r>
            <w:r w:rsidR="00C61036">
              <w:rPr>
                <w:lang w:eastAsia="en-US"/>
              </w:rPr>
              <w:t xml:space="preserve">VBTAI darbiniekiem, kuri iesaistīti </w:t>
            </w:r>
            <w:r w:rsidR="005E62C8">
              <w:rPr>
                <w:lang w:eastAsia="en-US"/>
              </w:rPr>
              <w:t>funkcionālās pārraudzības īstenošanā izvirzāmās prasības</w:t>
            </w:r>
            <w:r w:rsidR="00C61036">
              <w:rPr>
                <w:lang w:eastAsia="en-US"/>
              </w:rPr>
              <w:t>.</w:t>
            </w:r>
          </w:p>
          <w:p w14:paraId="00AAB253" w14:textId="77777777" w:rsidR="00B465D8" w:rsidRDefault="00B465D8" w:rsidP="006C59CE">
            <w:pPr>
              <w:pStyle w:val="naiskr"/>
              <w:spacing w:before="0" w:after="0"/>
              <w:jc w:val="both"/>
              <w:rPr>
                <w:lang w:eastAsia="en-US"/>
              </w:rPr>
            </w:pPr>
          </w:p>
          <w:p w14:paraId="74493A6F" w14:textId="76A443BA" w:rsidR="005B5580" w:rsidRPr="006C59CE" w:rsidRDefault="005B5580" w:rsidP="006C59CE">
            <w:pPr>
              <w:pStyle w:val="naiskr"/>
              <w:spacing w:before="0" w:after="0"/>
              <w:jc w:val="both"/>
              <w:rPr>
                <w:lang w:eastAsia="en-US"/>
              </w:rPr>
            </w:pPr>
            <w:r>
              <w:rPr>
                <w:lang w:eastAsia="en-US"/>
              </w:rPr>
              <w:t>Tādējādi tiks nodrošināt</w:t>
            </w:r>
            <w:r w:rsidR="002B2CEC">
              <w:rPr>
                <w:lang w:eastAsia="en-US"/>
              </w:rPr>
              <w:t>a</w:t>
            </w:r>
            <w:r w:rsidR="00CD59B3">
              <w:rPr>
                <w:lang w:eastAsia="en-US"/>
              </w:rPr>
              <w:t xml:space="preserve"> tiesiskā noteiktība </w:t>
            </w:r>
            <w:r w:rsidR="003916D1">
              <w:rPr>
                <w:lang w:eastAsia="en-US"/>
              </w:rPr>
              <w:t>jautājuma par</w:t>
            </w:r>
            <w:r w:rsidR="007A71A8">
              <w:rPr>
                <w:lang w:eastAsia="en-US"/>
              </w:rPr>
              <w:t xml:space="preserve"> bāriņtiesu funkcionālajā pārraudzībā ie</w:t>
            </w:r>
            <w:r w:rsidR="00C416E1">
              <w:rPr>
                <w:lang w:eastAsia="en-US"/>
              </w:rPr>
              <w:t>s</w:t>
            </w:r>
            <w:r w:rsidR="007A71A8">
              <w:rPr>
                <w:lang w:eastAsia="en-US"/>
              </w:rPr>
              <w:t>a</w:t>
            </w:r>
            <w:r w:rsidR="00C416E1">
              <w:rPr>
                <w:lang w:eastAsia="en-US"/>
              </w:rPr>
              <w:t>is</w:t>
            </w:r>
            <w:r w:rsidR="007A71A8">
              <w:rPr>
                <w:lang w:eastAsia="en-US"/>
              </w:rPr>
              <w:t>tīt</w:t>
            </w:r>
            <w:r w:rsidR="00C416E1">
              <w:rPr>
                <w:lang w:eastAsia="en-US"/>
              </w:rPr>
              <w:t>ajiem</w:t>
            </w:r>
            <w:r w:rsidR="003916D1">
              <w:rPr>
                <w:lang w:eastAsia="en-US"/>
              </w:rPr>
              <w:t xml:space="preserve"> </w:t>
            </w:r>
            <w:r w:rsidR="0009184C">
              <w:rPr>
                <w:lang w:eastAsia="en-US"/>
              </w:rPr>
              <w:t xml:space="preserve"> </w:t>
            </w:r>
            <w:r w:rsidR="00F91CD1">
              <w:rPr>
                <w:lang w:eastAsia="en-US"/>
              </w:rPr>
              <w:t>VBTAI</w:t>
            </w:r>
            <w:r w:rsidR="00C416E1">
              <w:rPr>
                <w:lang w:eastAsia="en-US"/>
              </w:rPr>
              <w:t xml:space="preserve"> darbiniekiem</w:t>
            </w:r>
            <w:r w:rsidR="00A442CF">
              <w:rPr>
                <w:lang w:eastAsia="en-US"/>
              </w:rPr>
              <w:t xml:space="preserve"> </w:t>
            </w:r>
            <w:r w:rsidR="00C416E1">
              <w:rPr>
                <w:lang w:eastAsia="en-US"/>
              </w:rPr>
              <w:t xml:space="preserve">izvirzāmajām prasībām, tajā skaitā kvalifikācijas prasībām, kā arī citiem svarīgiem </w:t>
            </w:r>
            <w:r w:rsidR="3D5E9FA5" w:rsidRPr="3D5E9FA5">
              <w:rPr>
                <w:lang w:eastAsia="en-US"/>
              </w:rPr>
              <w:t>priekšnoteikumiem</w:t>
            </w:r>
            <w:r w:rsidR="00C416E1">
              <w:rPr>
                <w:lang w:eastAsia="en-US"/>
              </w:rPr>
              <w:t>.</w:t>
            </w:r>
          </w:p>
        </w:tc>
      </w:tr>
    </w:tbl>
    <w:p w14:paraId="7F722314" w14:textId="77777777" w:rsidR="005B0BE8" w:rsidRPr="00F50461" w:rsidRDefault="005B0BE8">
      <w:pPr>
        <w:pStyle w:val="naisf"/>
        <w:tabs>
          <w:tab w:val="left" w:pos="5311"/>
        </w:tabs>
        <w:spacing w:before="0" w:after="0"/>
        <w:ind w:firstLine="0"/>
      </w:pPr>
      <w:r w:rsidRPr="00F50461">
        <w:lastRenderedPageBreak/>
        <w:tab/>
      </w:r>
    </w:p>
    <w:p w14:paraId="58B8AE26" w14:textId="77777777" w:rsidR="005B0BE8" w:rsidRPr="00F50461" w:rsidRDefault="005B0BE8">
      <w:pPr>
        <w:pStyle w:val="naisf"/>
        <w:spacing w:before="0" w:after="0"/>
        <w:ind w:firstLine="0"/>
      </w:pPr>
    </w:p>
    <w:tbl>
      <w:tblPr>
        <w:tblW w:w="5161" w:type="pct"/>
        <w:tblInd w:w="30" w:type="dxa"/>
        <w:tblLayout w:type="fixed"/>
        <w:tblCellMar>
          <w:top w:w="30" w:type="dxa"/>
          <w:left w:w="30" w:type="dxa"/>
          <w:bottom w:w="30" w:type="dxa"/>
          <w:right w:w="30" w:type="dxa"/>
        </w:tblCellMar>
        <w:tblLook w:val="0000" w:firstRow="0" w:lastRow="0" w:firstColumn="0" w:lastColumn="0" w:noHBand="0" w:noVBand="0"/>
      </w:tblPr>
      <w:tblGrid>
        <w:gridCol w:w="537"/>
        <w:gridCol w:w="3572"/>
        <w:gridCol w:w="5244"/>
      </w:tblGrid>
      <w:tr w:rsidR="005B0BE8" w:rsidRPr="00F50461" w14:paraId="08927F3C" w14:textId="77777777" w:rsidTr="00861FB0">
        <w:trPr>
          <w:trHeight w:val="555"/>
        </w:trPr>
        <w:tc>
          <w:tcPr>
            <w:tcW w:w="9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DD99F" w14:textId="77777777" w:rsidR="005B0BE8" w:rsidRPr="00F50461" w:rsidRDefault="005B0BE8">
            <w:pPr>
              <w:ind w:firstLine="300"/>
              <w:jc w:val="center"/>
            </w:pPr>
            <w:r w:rsidRPr="00F50461">
              <w:rPr>
                <w:b/>
                <w:bCs/>
              </w:rPr>
              <w:t>II. Tiesību akta projekta ietekme uz sabiedrību, tautsaimniecības attīstību un administratīvo slogu</w:t>
            </w:r>
          </w:p>
        </w:tc>
      </w:tr>
      <w:tr w:rsidR="005B0BE8" w:rsidRPr="00F50461" w14:paraId="099A32CA" w14:textId="77777777" w:rsidTr="00083B9D">
        <w:trPr>
          <w:trHeight w:val="465"/>
        </w:trPr>
        <w:tc>
          <w:tcPr>
            <w:tcW w:w="540" w:type="dxa"/>
            <w:tcBorders>
              <w:top w:val="single" w:sz="4" w:space="0" w:color="000000"/>
              <w:left w:val="single" w:sz="4" w:space="0" w:color="000000"/>
              <w:bottom w:val="single" w:sz="4" w:space="0" w:color="000000"/>
            </w:tcBorders>
            <w:shd w:val="clear" w:color="auto" w:fill="auto"/>
          </w:tcPr>
          <w:p w14:paraId="7727C56F" w14:textId="77777777" w:rsidR="005B0BE8" w:rsidRPr="00F50461" w:rsidRDefault="005B0BE8">
            <w:r w:rsidRPr="00F50461">
              <w:rPr>
                <w:rFonts w:eastAsia="Calibri"/>
                <w:iCs/>
              </w:rPr>
              <w:t>1.</w:t>
            </w:r>
          </w:p>
        </w:tc>
        <w:tc>
          <w:tcPr>
            <w:tcW w:w="3600" w:type="dxa"/>
            <w:tcBorders>
              <w:top w:val="single" w:sz="4" w:space="0" w:color="000000"/>
              <w:left w:val="single" w:sz="4" w:space="0" w:color="000000"/>
              <w:bottom w:val="single" w:sz="4" w:space="0" w:color="000000"/>
            </w:tcBorders>
            <w:shd w:val="clear" w:color="auto" w:fill="auto"/>
          </w:tcPr>
          <w:p w14:paraId="4BCE2CB5" w14:textId="77777777" w:rsidR="005B0BE8" w:rsidRPr="00F50461" w:rsidRDefault="005B0BE8">
            <w:r w:rsidRPr="00F50461">
              <w:rPr>
                <w:rFonts w:eastAsia="Calibri"/>
                <w:iCs/>
              </w:rPr>
              <w:t xml:space="preserve">Sabiedrības </w:t>
            </w:r>
            <w:proofErr w:type="spellStart"/>
            <w:r w:rsidRPr="00F50461">
              <w:rPr>
                <w:rFonts w:eastAsia="Calibri"/>
                <w:iCs/>
              </w:rPr>
              <w:t>mērķ</w:t>
            </w:r>
            <w:r w:rsidR="001A6A9E" w:rsidRPr="00F50461">
              <w:rPr>
                <w:rFonts w:eastAsia="Calibri"/>
                <w:iCs/>
              </w:rPr>
              <w:t>a</w:t>
            </w:r>
            <w:r w:rsidRPr="00F50461">
              <w:rPr>
                <w:rFonts w:eastAsia="Calibri"/>
                <w:iCs/>
              </w:rPr>
              <w:t>grupas</w:t>
            </w:r>
            <w:proofErr w:type="spellEnd"/>
            <w:r w:rsidRPr="00F50461">
              <w:rPr>
                <w:rFonts w:eastAsia="Calibri"/>
                <w:iCs/>
              </w:rPr>
              <w:t>, kuras tiesiskais regulējums ietekmē vai varētu ietekmēt</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787708D1" w14:textId="36066ADC" w:rsidR="00CB7AE9" w:rsidRPr="00F50461" w:rsidRDefault="00E75A57" w:rsidP="00E75A57">
            <w:pPr>
              <w:spacing w:after="120"/>
              <w:jc w:val="both"/>
            </w:pPr>
            <w:r w:rsidRPr="00F50461">
              <w:t xml:space="preserve">Sabiedrība kopumā un </w:t>
            </w:r>
            <w:r w:rsidR="00B85392" w:rsidRPr="00F50461">
              <w:t xml:space="preserve">VBTAI </w:t>
            </w:r>
            <w:r w:rsidRPr="00F50461">
              <w:t xml:space="preserve"> </w:t>
            </w:r>
            <w:r w:rsidR="007E0115">
              <w:t>amatpersonas</w:t>
            </w:r>
            <w:r w:rsidRPr="00F50461">
              <w:t>.</w:t>
            </w:r>
          </w:p>
        </w:tc>
      </w:tr>
      <w:tr w:rsidR="005B0BE8" w:rsidRPr="00F50461" w14:paraId="6AFAE8AE" w14:textId="77777777" w:rsidTr="00083B9D">
        <w:trPr>
          <w:trHeight w:val="510"/>
        </w:trPr>
        <w:tc>
          <w:tcPr>
            <w:tcW w:w="540" w:type="dxa"/>
            <w:tcBorders>
              <w:top w:val="single" w:sz="4" w:space="0" w:color="000000"/>
              <w:left w:val="single" w:sz="4" w:space="0" w:color="000000"/>
              <w:bottom w:val="single" w:sz="4" w:space="0" w:color="000000"/>
            </w:tcBorders>
            <w:shd w:val="clear" w:color="auto" w:fill="auto"/>
          </w:tcPr>
          <w:p w14:paraId="7B9B2268" w14:textId="77777777" w:rsidR="005B0BE8" w:rsidRPr="00F50461" w:rsidRDefault="005B0BE8">
            <w:r w:rsidRPr="00F50461">
              <w:rPr>
                <w:rFonts w:eastAsia="Calibri"/>
                <w:iCs/>
              </w:rPr>
              <w:t>2.</w:t>
            </w:r>
          </w:p>
        </w:tc>
        <w:tc>
          <w:tcPr>
            <w:tcW w:w="3600" w:type="dxa"/>
            <w:tcBorders>
              <w:top w:val="single" w:sz="4" w:space="0" w:color="000000"/>
              <w:left w:val="single" w:sz="4" w:space="0" w:color="000000"/>
              <w:bottom w:val="single" w:sz="4" w:space="0" w:color="000000"/>
            </w:tcBorders>
            <w:shd w:val="clear" w:color="auto" w:fill="auto"/>
          </w:tcPr>
          <w:p w14:paraId="0983E460" w14:textId="77777777" w:rsidR="005B0BE8" w:rsidRPr="00F50461" w:rsidRDefault="005B0BE8">
            <w:r w:rsidRPr="00F50461">
              <w:rPr>
                <w:rFonts w:eastAsia="Calibri"/>
                <w:iCs/>
              </w:rPr>
              <w:t>Tiesiskā regulējuma ietekme uz tautsaimniecību un administratīvo slogu</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23DCDC44" w14:textId="77777777" w:rsidR="005B0BE8" w:rsidRPr="00F50461" w:rsidRDefault="005B0BE8">
            <w:pPr>
              <w:jc w:val="both"/>
            </w:pPr>
            <w:r w:rsidRPr="00F50461">
              <w:rPr>
                <w:rFonts w:eastAsia="Calibri"/>
                <w:iCs/>
              </w:rPr>
              <w:t>Nav.</w:t>
            </w:r>
          </w:p>
        </w:tc>
      </w:tr>
      <w:tr w:rsidR="005B0BE8" w:rsidRPr="00F50461" w14:paraId="335449CE" w14:textId="77777777" w:rsidTr="00083B9D">
        <w:trPr>
          <w:trHeight w:val="510"/>
        </w:trPr>
        <w:tc>
          <w:tcPr>
            <w:tcW w:w="540" w:type="dxa"/>
            <w:tcBorders>
              <w:top w:val="single" w:sz="4" w:space="0" w:color="000000"/>
              <w:left w:val="single" w:sz="4" w:space="0" w:color="000000"/>
              <w:bottom w:val="single" w:sz="4" w:space="0" w:color="000000"/>
            </w:tcBorders>
            <w:shd w:val="clear" w:color="auto" w:fill="auto"/>
          </w:tcPr>
          <w:p w14:paraId="36BD3C18" w14:textId="77777777" w:rsidR="005B0BE8" w:rsidRPr="00F50461" w:rsidRDefault="005B0BE8">
            <w:r w:rsidRPr="00F50461">
              <w:t>3.</w:t>
            </w:r>
          </w:p>
        </w:tc>
        <w:tc>
          <w:tcPr>
            <w:tcW w:w="3600" w:type="dxa"/>
            <w:tcBorders>
              <w:top w:val="single" w:sz="4" w:space="0" w:color="000000"/>
              <w:left w:val="single" w:sz="4" w:space="0" w:color="000000"/>
              <w:bottom w:val="single" w:sz="4" w:space="0" w:color="000000"/>
            </w:tcBorders>
            <w:shd w:val="clear" w:color="auto" w:fill="auto"/>
          </w:tcPr>
          <w:p w14:paraId="14B73951" w14:textId="77777777" w:rsidR="005B0BE8" w:rsidRPr="00F50461" w:rsidRDefault="005B0BE8">
            <w:r w:rsidRPr="00F50461">
              <w:rPr>
                <w:rFonts w:eastAsia="Calibri"/>
                <w:iCs/>
              </w:rPr>
              <w:t>Administratīvo izmaksu monetārs novērtējums</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541E8EAC" w14:textId="77777777" w:rsidR="005B0BE8" w:rsidRPr="00F50461" w:rsidRDefault="005B0BE8">
            <w:r w:rsidRPr="00F50461">
              <w:t>Nav.</w:t>
            </w:r>
          </w:p>
        </w:tc>
      </w:tr>
      <w:tr w:rsidR="005B0BE8" w:rsidRPr="00F50461" w14:paraId="612AC966" w14:textId="77777777" w:rsidTr="00083B9D">
        <w:trPr>
          <w:trHeight w:val="345"/>
        </w:trPr>
        <w:tc>
          <w:tcPr>
            <w:tcW w:w="540" w:type="dxa"/>
            <w:tcBorders>
              <w:top w:val="single" w:sz="4" w:space="0" w:color="000000"/>
              <w:left w:val="single" w:sz="4" w:space="0" w:color="000000"/>
              <w:bottom w:val="single" w:sz="4" w:space="0" w:color="000000"/>
            </w:tcBorders>
            <w:shd w:val="clear" w:color="auto" w:fill="auto"/>
          </w:tcPr>
          <w:p w14:paraId="43A03E33" w14:textId="77777777" w:rsidR="005B0BE8" w:rsidRPr="00F50461" w:rsidRDefault="005B0BE8">
            <w:r w:rsidRPr="00F50461">
              <w:t>4.</w:t>
            </w:r>
          </w:p>
        </w:tc>
        <w:tc>
          <w:tcPr>
            <w:tcW w:w="3600" w:type="dxa"/>
            <w:tcBorders>
              <w:top w:val="single" w:sz="4" w:space="0" w:color="000000"/>
              <w:left w:val="single" w:sz="4" w:space="0" w:color="000000"/>
              <w:bottom w:val="single" w:sz="4" w:space="0" w:color="000000"/>
            </w:tcBorders>
            <w:shd w:val="clear" w:color="auto" w:fill="auto"/>
          </w:tcPr>
          <w:p w14:paraId="757F069C" w14:textId="77777777" w:rsidR="005B0BE8" w:rsidRPr="00F50461" w:rsidRDefault="005B0BE8">
            <w:r w:rsidRPr="00F50461">
              <w:rPr>
                <w:rFonts w:eastAsia="Calibri"/>
                <w:iCs/>
              </w:rPr>
              <w:t>Cita informācija</w:t>
            </w:r>
          </w:p>
        </w:tc>
        <w:tc>
          <w:tcPr>
            <w:tcW w:w="5285" w:type="dxa"/>
            <w:tcBorders>
              <w:top w:val="single" w:sz="4" w:space="0" w:color="000000"/>
              <w:left w:val="single" w:sz="4" w:space="0" w:color="000000"/>
              <w:bottom w:val="single" w:sz="4" w:space="0" w:color="000000"/>
              <w:right w:val="single" w:sz="4" w:space="0" w:color="000000"/>
            </w:tcBorders>
            <w:shd w:val="clear" w:color="auto" w:fill="auto"/>
          </w:tcPr>
          <w:p w14:paraId="252D97F1" w14:textId="77777777" w:rsidR="005B0BE8" w:rsidRPr="00F50461" w:rsidRDefault="005B0BE8">
            <w:r w:rsidRPr="00F50461">
              <w:rPr>
                <w:rFonts w:eastAsia="Calibri"/>
                <w:iCs/>
              </w:rPr>
              <w:t>Nav.</w:t>
            </w:r>
          </w:p>
        </w:tc>
      </w:tr>
    </w:tbl>
    <w:p w14:paraId="417D2785" w14:textId="77777777" w:rsidR="005B0BE8" w:rsidRPr="00F50461" w:rsidRDefault="005B0BE8">
      <w:pPr>
        <w:pStyle w:val="naisf"/>
        <w:spacing w:before="0" w:after="0"/>
        <w:ind w:firstLine="0"/>
      </w:pPr>
    </w:p>
    <w:p w14:paraId="7961EE82" w14:textId="77777777" w:rsidR="005B0BE8" w:rsidRPr="00F50461" w:rsidRDefault="005B0BE8">
      <w:pPr>
        <w:rPr>
          <w:lang w:eastAsia="lv-LV"/>
        </w:rPr>
      </w:pPr>
    </w:p>
    <w:tbl>
      <w:tblPr>
        <w:tblW w:w="5177" w:type="pct"/>
        <w:tblInd w:w="28" w:type="dxa"/>
        <w:tblLayout w:type="fixed"/>
        <w:tblCellMar>
          <w:top w:w="28" w:type="dxa"/>
          <w:left w:w="28" w:type="dxa"/>
          <w:bottom w:w="28" w:type="dxa"/>
          <w:right w:w="28" w:type="dxa"/>
        </w:tblCellMar>
        <w:tblLook w:val="0000" w:firstRow="0" w:lastRow="0" w:firstColumn="0" w:lastColumn="0" w:noHBand="0" w:noVBand="0"/>
      </w:tblPr>
      <w:tblGrid>
        <w:gridCol w:w="1829"/>
        <w:gridCol w:w="985"/>
        <w:gridCol w:w="986"/>
        <w:gridCol w:w="1126"/>
        <w:gridCol w:w="1171"/>
        <w:gridCol w:w="940"/>
        <w:gridCol w:w="1126"/>
        <w:gridCol w:w="1219"/>
      </w:tblGrid>
      <w:tr w:rsidR="005B0BE8" w:rsidRPr="00F50461" w14:paraId="720B5A0E" w14:textId="77777777" w:rsidTr="66C903E6">
        <w:tc>
          <w:tcPr>
            <w:tcW w:w="94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7DF39" w14:textId="77777777" w:rsidR="005B0BE8" w:rsidRPr="00F50461" w:rsidRDefault="005B0BE8">
            <w:pPr>
              <w:jc w:val="center"/>
            </w:pPr>
            <w:r w:rsidRPr="00F50461">
              <w:rPr>
                <w:b/>
                <w:bCs/>
              </w:rPr>
              <w:lastRenderedPageBreak/>
              <w:t>III. Tiesību akta projekta ietekme uz valsts budžetu un pašvaldību budžetiem</w:t>
            </w:r>
          </w:p>
        </w:tc>
      </w:tr>
      <w:tr w:rsidR="005B0BE8" w:rsidRPr="00F50461" w14:paraId="5D42915B" w14:textId="77777777" w:rsidTr="003B3F4F">
        <w:tc>
          <w:tcPr>
            <w:tcW w:w="1843" w:type="dxa"/>
            <w:vMerge w:val="restart"/>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14:paraId="388ACED0" w14:textId="77777777" w:rsidR="005B0BE8" w:rsidRPr="00F50461" w:rsidRDefault="005B0BE8">
            <w:pPr>
              <w:jc w:val="center"/>
            </w:pPr>
            <w:r w:rsidRPr="00F50461">
              <w:rPr>
                <w:bCs/>
              </w:rPr>
              <w:t>Rādītāji</w:t>
            </w:r>
          </w:p>
        </w:tc>
        <w:tc>
          <w:tcPr>
            <w:tcW w:w="1985" w:type="dxa"/>
            <w:gridSpan w:val="2"/>
            <w:vMerge w:val="restart"/>
            <w:tcBorders>
              <w:top w:val="single" w:sz="4" w:space="0" w:color="000000" w:themeColor="text1"/>
              <w:left w:val="single" w:sz="4" w:space="0" w:color="auto"/>
              <w:bottom w:val="single" w:sz="4" w:space="0" w:color="auto"/>
            </w:tcBorders>
            <w:shd w:val="clear" w:color="auto" w:fill="FFFFFF" w:themeFill="background1"/>
            <w:vAlign w:val="center"/>
          </w:tcPr>
          <w:p w14:paraId="402CC1A0" w14:textId="77777777" w:rsidR="005B0BE8" w:rsidRPr="00F50461" w:rsidRDefault="005B0BE8">
            <w:pPr>
              <w:jc w:val="center"/>
            </w:pPr>
            <w:r w:rsidRPr="00F50461">
              <w:rPr>
                <w:bCs/>
              </w:rPr>
              <w:t>202</w:t>
            </w:r>
            <w:r w:rsidR="002718B3" w:rsidRPr="00F50461">
              <w:rPr>
                <w:bCs/>
              </w:rPr>
              <w:t>1</w:t>
            </w:r>
            <w:r w:rsidRPr="00F50461">
              <w:rPr>
                <w:bCs/>
              </w:rPr>
              <w:t>. gads</w:t>
            </w:r>
          </w:p>
        </w:tc>
        <w:tc>
          <w:tcPr>
            <w:tcW w:w="56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0CFC95" w14:textId="77777777" w:rsidR="005B0BE8" w:rsidRPr="00F50461" w:rsidRDefault="005B0BE8">
            <w:pPr>
              <w:jc w:val="center"/>
            </w:pPr>
            <w:r w:rsidRPr="00F50461">
              <w:t>Turpmākie trīs gadi (</w:t>
            </w:r>
            <w:r w:rsidRPr="00F50461">
              <w:rPr>
                <w:i/>
                <w:iCs/>
              </w:rPr>
              <w:t>euro</w:t>
            </w:r>
            <w:r w:rsidRPr="00F50461">
              <w:t>)</w:t>
            </w:r>
          </w:p>
        </w:tc>
      </w:tr>
      <w:tr w:rsidR="005B0BE8" w:rsidRPr="00F50461" w14:paraId="02E6B189" w14:textId="77777777" w:rsidTr="003B3F4F">
        <w:tc>
          <w:tcPr>
            <w:tcW w:w="1843" w:type="dxa"/>
            <w:vMerge/>
            <w:tcBorders>
              <w:top w:val="single" w:sz="4" w:space="0" w:color="auto"/>
              <w:left w:val="single" w:sz="4" w:space="0" w:color="auto"/>
              <w:bottom w:val="single" w:sz="4" w:space="0" w:color="auto"/>
              <w:right w:val="single" w:sz="4" w:space="0" w:color="auto"/>
            </w:tcBorders>
            <w:vAlign w:val="center"/>
          </w:tcPr>
          <w:p w14:paraId="5DCF36DC" w14:textId="77777777" w:rsidR="005B0BE8" w:rsidRPr="00F50461" w:rsidRDefault="005B0BE8">
            <w:pPr>
              <w:snapToGrid w:val="0"/>
              <w:rPr>
                <w:bCs/>
              </w:rPr>
            </w:pPr>
          </w:p>
        </w:tc>
        <w:tc>
          <w:tcPr>
            <w:tcW w:w="1985" w:type="dxa"/>
            <w:gridSpan w:val="2"/>
            <w:vMerge/>
            <w:tcBorders>
              <w:top w:val="single" w:sz="4" w:space="0" w:color="auto"/>
              <w:left w:val="single" w:sz="4" w:space="0" w:color="auto"/>
              <w:bottom w:val="single" w:sz="4" w:space="0" w:color="auto"/>
            </w:tcBorders>
            <w:vAlign w:val="center"/>
          </w:tcPr>
          <w:p w14:paraId="717877DA" w14:textId="77777777" w:rsidR="005B0BE8" w:rsidRPr="00F50461" w:rsidRDefault="005B0BE8">
            <w:pPr>
              <w:snapToGrid w:val="0"/>
              <w:rPr>
                <w:bCs/>
              </w:rPr>
            </w:pPr>
          </w:p>
        </w:tc>
        <w:tc>
          <w:tcPr>
            <w:tcW w:w="2313"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59ACF8C" w14:textId="77777777" w:rsidR="005B0BE8" w:rsidRPr="00F50461" w:rsidRDefault="005B0BE8">
            <w:pPr>
              <w:jc w:val="center"/>
            </w:pPr>
            <w:r w:rsidRPr="00F50461">
              <w:rPr>
                <w:bCs/>
              </w:rPr>
              <w:t>202</w:t>
            </w:r>
            <w:r w:rsidR="002718B3" w:rsidRPr="00F50461">
              <w:rPr>
                <w:bCs/>
              </w:rPr>
              <w:t>2</w:t>
            </w:r>
          </w:p>
        </w:tc>
        <w:tc>
          <w:tcPr>
            <w:tcW w:w="2081" w:type="dxa"/>
            <w:gridSpan w:val="2"/>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F18F053" w14:textId="77777777" w:rsidR="005B0BE8" w:rsidRPr="00F50461" w:rsidRDefault="005B0BE8">
            <w:pPr>
              <w:jc w:val="center"/>
            </w:pPr>
            <w:r w:rsidRPr="00F50461">
              <w:rPr>
                <w:bCs/>
              </w:rPr>
              <w:t>202</w:t>
            </w:r>
            <w:r w:rsidR="002718B3" w:rsidRPr="00F50461">
              <w:rPr>
                <w:bCs/>
              </w:rPr>
              <w:t>3</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C8580C" w14:textId="77777777" w:rsidR="005B0BE8" w:rsidRPr="00F50461" w:rsidRDefault="005B0BE8">
            <w:pPr>
              <w:jc w:val="center"/>
            </w:pPr>
            <w:r w:rsidRPr="00F50461">
              <w:rPr>
                <w:bCs/>
              </w:rPr>
              <w:t>202</w:t>
            </w:r>
            <w:r w:rsidR="002718B3" w:rsidRPr="00F50461">
              <w:rPr>
                <w:bCs/>
              </w:rPr>
              <w:t>4</w:t>
            </w:r>
          </w:p>
        </w:tc>
      </w:tr>
      <w:tr w:rsidR="005B0BE8" w:rsidRPr="00F50461" w14:paraId="7247DB9D" w14:textId="77777777" w:rsidTr="003B3F4F">
        <w:tc>
          <w:tcPr>
            <w:tcW w:w="1843" w:type="dxa"/>
            <w:vMerge/>
            <w:tcBorders>
              <w:top w:val="single" w:sz="4" w:space="0" w:color="auto"/>
              <w:left w:val="single" w:sz="4" w:space="0" w:color="auto"/>
              <w:bottom w:val="single" w:sz="4" w:space="0" w:color="auto"/>
            </w:tcBorders>
            <w:vAlign w:val="center"/>
          </w:tcPr>
          <w:p w14:paraId="67357AD5" w14:textId="77777777" w:rsidR="005B0BE8" w:rsidRPr="00F50461" w:rsidRDefault="005B0BE8">
            <w:pPr>
              <w:snapToGrid w:val="0"/>
              <w:rPr>
                <w:bCs/>
              </w:rPr>
            </w:pPr>
          </w:p>
        </w:tc>
        <w:tc>
          <w:tcPr>
            <w:tcW w:w="992" w:type="dxa"/>
            <w:tcBorders>
              <w:top w:val="single" w:sz="4" w:space="0" w:color="auto"/>
              <w:left w:val="single" w:sz="4" w:space="0" w:color="000000" w:themeColor="text1"/>
              <w:bottom w:val="single" w:sz="4" w:space="0" w:color="000000" w:themeColor="text1"/>
            </w:tcBorders>
            <w:shd w:val="clear" w:color="auto" w:fill="FFFFFF" w:themeFill="background1"/>
            <w:vAlign w:val="center"/>
          </w:tcPr>
          <w:p w14:paraId="09B621B7" w14:textId="77777777" w:rsidR="005B0BE8" w:rsidRPr="00F50461" w:rsidRDefault="005B0BE8">
            <w:pPr>
              <w:jc w:val="center"/>
            </w:pPr>
            <w:r w:rsidRPr="00F50461">
              <w:t>saskaņā ar valsts budžetu kārtējam gadam</w:t>
            </w:r>
          </w:p>
        </w:tc>
        <w:tc>
          <w:tcPr>
            <w:tcW w:w="993" w:type="dxa"/>
            <w:tcBorders>
              <w:top w:val="single" w:sz="4" w:space="0" w:color="auto"/>
              <w:left w:val="single" w:sz="4" w:space="0" w:color="000000" w:themeColor="text1"/>
              <w:bottom w:val="single" w:sz="4" w:space="0" w:color="000000" w:themeColor="text1"/>
            </w:tcBorders>
            <w:shd w:val="clear" w:color="auto" w:fill="FFFFFF" w:themeFill="background1"/>
            <w:vAlign w:val="center"/>
          </w:tcPr>
          <w:p w14:paraId="2B3815EA" w14:textId="77777777" w:rsidR="005B0BE8" w:rsidRPr="00F50461" w:rsidRDefault="005B0BE8">
            <w:pPr>
              <w:jc w:val="center"/>
            </w:pPr>
            <w:r w:rsidRPr="00F50461">
              <w:t>izmaiņas kārtējā gadā, salīdzinot ar valsts budžetu kārtējam gadam</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1AD80D6" w14:textId="77777777" w:rsidR="005B0BE8" w:rsidRPr="00F50461" w:rsidRDefault="005B0BE8">
            <w:pPr>
              <w:jc w:val="center"/>
            </w:pPr>
            <w:r w:rsidRPr="00F50461">
              <w:t>saskaņā ar vidēja termiņa budžeta ietvaru</w:t>
            </w:r>
          </w:p>
        </w:tc>
        <w:tc>
          <w:tcPr>
            <w:tcW w:w="117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8344884" w14:textId="19FD950C" w:rsidR="00154D55" w:rsidRPr="00F50461" w:rsidRDefault="005B0BE8">
            <w:pPr>
              <w:jc w:val="center"/>
            </w:pPr>
            <w:r w:rsidRPr="00F50461">
              <w:t>izmaiņas, salīdzinot ar vidēja termiņa budžeta ietvaru 202</w:t>
            </w:r>
            <w:r w:rsidR="005D55C9">
              <w:t>2</w:t>
            </w:r>
            <w:r w:rsidRPr="00F50461">
              <w:t>.</w:t>
            </w:r>
          </w:p>
          <w:p w14:paraId="28CEC154" w14:textId="77777777" w:rsidR="005B0BE8" w:rsidRPr="00F50461" w:rsidRDefault="005B0BE8">
            <w:pPr>
              <w:jc w:val="center"/>
            </w:pPr>
            <w:r w:rsidRPr="00F50461">
              <w:t> gadam</w:t>
            </w:r>
          </w:p>
        </w:tc>
        <w:tc>
          <w:tcPr>
            <w:tcW w:w="94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EDB7109" w14:textId="77777777" w:rsidR="005B0BE8" w:rsidRPr="00F50461" w:rsidRDefault="005B0BE8">
            <w:pPr>
              <w:jc w:val="center"/>
            </w:pPr>
            <w:r w:rsidRPr="00F50461">
              <w:t>saskaņā ar vidēja termiņa budžeta ietvaru</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38C1E9D" w14:textId="622F25DA" w:rsidR="00154D55" w:rsidRPr="00F50461" w:rsidRDefault="005B0BE8">
            <w:pPr>
              <w:jc w:val="center"/>
            </w:pPr>
            <w:r w:rsidRPr="00F50461">
              <w:t>izmaiņas, salīdzinot ar vidēja termiņa budžeta ietvaru 202</w:t>
            </w:r>
            <w:r w:rsidR="005D55C9">
              <w:t>3</w:t>
            </w:r>
            <w:r w:rsidRPr="00F50461">
              <w:t>. </w:t>
            </w:r>
          </w:p>
          <w:p w14:paraId="117F5DA8" w14:textId="77777777" w:rsidR="005B0BE8" w:rsidRPr="00F50461" w:rsidRDefault="005B0BE8">
            <w:pPr>
              <w:jc w:val="center"/>
            </w:pPr>
            <w:r w:rsidRPr="00F50461">
              <w:t>gadam</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38A9BB" w14:textId="40875C74" w:rsidR="00390714" w:rsidRPr="00F50461" w:rsidRDefault="005B0BE8">
            <w:pPr>
              <w:jc w:val="center"/>
            </w:pPr>
            <w:r w:rsidRPr="00F50461">
              <w:t>izmaiņas, salīdzinot ar vidēja termiņa budžeta 202</w:t>
            </w:r>
            <w:r w:rsidR="005D55C9">
              <w:t>3</w:t>
            </w:r>
            <w:r w:rsidRPr="00F50461">
              <w:t>. </w:t>
            </w:r>
          </w:p>
          <w:p w14:paraId="3ED45183" w14:textId="77777777" w:rsidR="005B0BE8" w:rsidRPr="00F50461" w:rsidRDefault="005B0BE8">
            <w:pPr>
              <w:jc w:val="center"/>
            </w:pPr>
            <w:r w:rsidRPr="00F50461">
              <w:t>gadam</w:t>
            </w:r>
          </w:p>
        </w:tc>
      </w:tr>
      <w:tr w:rsidR="005B0BE8" w:rsidRPr="00F50461" w14:paraId="51B9F9C1" w14:textId="77777777" w:rsidTr="003B3F4F">
        <w:tc>
          <w:tcPr>
            <w:tcW w:w="1843" w:type="dxa"/>
            <w:tcBorders>
              <w:top w:val="single" w:sz="4" w:space="0" w:color="auto"/>
              <w:left w:val="single" w:sz="4" w:space="0" w:color="000000" w:themeColor="text1"/>
              <w:bottom w:val="single" w:sz="4" w:space="0" w:color="000000" w:themeColor="text1"/>
            </w:tcBorders>
            <w:shd w:val="clear" w:color="auto" w:fill="FFFFFF" w:themeFill="background1"/>
            <w:vAlign w:val="center"/>
          </w:tcPr>
          <w:p w14:paraId="49C10BBF" w14:textId="77777777" w:rsidR="005B0BE8" w:rsidRPr="00F50461" w:rsidRDefault="005B0BE8">
            <w:pPr>
              <w:jc w:val="center"/>
            </w:pPr>
            <w:r w:rsidRPr="00F50461">
              <w:t>1</w:t>
            </w:r>
          </w:p>
        </w:tc>
        <w:tc>
          <w:tcPr>
            <w:tcW w:w="992"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DEC8604" w14:textId="77777777" w:rsidR="005B0BE8" w:rsidRPr="00F50461" w:rsidRDefault="005B0BE8">
            <w:pPr>
              <w:jc w:val="center"/>
            </w:pPr>
            <w:r w:rsidRPr="00F50461">
              <w:t>2</w:t>
            </w:r>
          </w:p>
        </w:tc>
        <w:tc>
          <w:tcPr>
            <w:tcW w:w="9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5DE02F2" w14:textId="77777777" w:rsidR="005B0BE8" w:rsidRPr="00F50461" w:rsidRDefault="005B0BE8">
            <w:pPr>
              <w:jc w:val="center"/>
            </w:pPr>
            <w:r w:rsidRPr="00F50461">
              <w:t>3</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123E04B" w14:textId="77777777" w:rsidR="005B0BE8" w:rsidRPr="00F50461" w:rsidRDefault="005B0BE8">
            <w:pPr>
              <w:jc w:val="center"/>
            </w:pPr>
            <w:r w:rsidRPr="00F50461">
              <w:t>4</w:t>
            </w:r>
          </w:p>
        </w:tc>
        <w:tc>
          <w:tcPr>
            <w:tcW w:w="117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8608A0C" w14:textId="77777777" w:rsidR="005B0BE8" w:rsidRPr="00F50461" w:rsidRDefault="005B0BE8">
            <w:pPr>
              <w:jc w:val="center"/>
            </w:pPr>
            <w:r w:rsidRPr="00F50461">
              <w:t>5</w:t>
            </w:r>
          </w:p>
        </w:tc>
        <w:tc>
          <w:tcPr>
            <w:tcW w:w="94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7A9C97F1" w14:textId="77777777" w:rsidR="005B0BE8" w:rsidRPr="00F50461" w:rsidRDefault="005B0BE8">
            <w:pPr>
              <w:jc w:val="center"/>
            </w:pPr>
            <w:r w:rsidRPr="00F50461">
              <w:t>6</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47DF17C" w14:textId="77777777" w:rsidR="005B0BE8" w:rsidRPr="00F50461" w:rsidRDefault="005B0BE8">
            <w:pPr>
              <w:jc w:val="center"/>
            </w:pPr>
            <w:r w:rsidRPr="00F50461">
              <w:t>7</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A6027B" w14:textId="77777777" w:rsidR="005B0BE8" w:rsidRPr="00F50461" w:rsidRDefault="005B0BE8">
            <w:pPr>
              <w:jc w:val="center"/>
            </w:pPr>
            <w:r w:rsidRPr="00F50461">
              <w:t>8</w:t>
            </w:r>
          </w:p>
        </w:tc>
      </w:tr>
      <w:tr w:rsidR="005B0BE8" w:rsidRPr="00F50461" w14:paraId="42A4EF64"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6AF4F7B" w14:textId="77777777" w:rsidR="005B0BE8" w:rsidRPr="00F50461" w:rsidRDefault="005B0BE8">
            <w:r w:rsidRPr="00F50461">
              <w:t xml:space="preserve">1. Budžeta ieņēmumi </w:t>
            </w:r>
          </w:p>
        </w:tc>
        <w:tc>
          <w:tcPr>
            <w:tcW w:w="992"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E8910E0"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1B59507F"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C71DA00"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46C4FEE0"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0E72BF27"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31C0499"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E93BB9" w14:textId="77777777" w:rsidR="005B0BE8" w:rsidRPr="00F50461" w:rsidRDefault="005B0BE8">
            <w:pPr>
              <w:jc w:val="center"/>
            </w:pPr>
            <w:r w:rsidRPr="00F50461">
              <w:t>0</w:t>
            </w:r>
          </w:p>
        </w:tc>
      </w:tr>
      <w:tr w:rsidR="005B0BE8" w:rsidRPr="00F50461" w14:paraId="6507D510"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4C80983C" w14:textId="77777777" w:rsidR="005B0BE8" w:rsidRPr="00F50461" w:rsidRDefault="005B0BE8">
            <w:r w:rsidRPr="00F50461">
              <w:t>1.1. valsts pamatbudžets, tai skaitā ieņēmumi no maksas pakalpojumiem un citi pašu ieņēmumi</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C5D0584"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A9A359"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EC53B0"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537648"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ED7EDA"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282ABE"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C81AF" w14:textId="77777777" w:rsidR="005B0BE8" w:rsidRPr="00F50461" w:rsidRDefault="005B0BE8">
            <w:pPr>
              <w:jc w:val="center"/>
            </w:pPr>
            <w:r w:rsidRPr="00F50461">
              <w:t>0</w:t>
            </w:r>
          </w:p>
        </w:tc>
      </w:tr>
      <w:tr w:rsidR="005B0BE8" w:rsidRPr="00F50461" w14:paraId="64AACDA5"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7885B361" w14:textId="77777777" w:rsidR="005B0BE8" w:rsidRPr="00F50461" w:rsidRDefault="005B0BE8">
            <w:r w:rsidRPr="00F50461">
              <w:t>1.2. valsts speciālais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3F9802"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B763A8"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C77298F"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81FA70"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7169F6"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FAE2F4"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E16349" w14:textId="77777777" w:rsidR="005B0BE8" w:rsidRPr="00F50461" w:rsidRDefault="005B0BE8">
            <w:pPr>
              <w:jc w:val="center"/>
            </w:pPr>
            <w:r w:rsidRPr="00F50461">
              <w:t>0</w:t>
            </w:r>
          </w:p>
        </w:tc>
      </w:tr>
      <w:tr w:rsidR="005B0BE8" w:rsidRPr="00F50461" w14:paraId="7A4C837E"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07A022E3" w14:textId="77777777" w:rsidR="005B0BE8" w:rsidRPr="00F50461" w:rsidRDefault="005B0BE8">
            <w:r w:rsidRPr="00F50461">
              <w:t>1.3. pašvaldību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67202E"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4A43A8"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22753"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7B63D6"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BB1D1F2"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D01C83"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2A122" w14:textId="77777777" w:rsidR="005B0BE8" w:rsidRPr="00F50461" w:rsidRDefault="005B0BE8">
            <w:pPr>
              <w:jc w:val="center"/>
            </w:pPr>
            <w:r w:rsidRPr="00F50461">
              <w:t>0</w:t>
            </w:r>
          </w:p>
        </w:tc>
      </w:tr>
      <w:tr w:rsidR="005B0BE8" w:rsidRPr="00F50461" w14:paraId="4CDA94A9"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645D7993" w14:textId="77777777" w:rsidR="005B0BE8" w:rsidRPr="00F50461" w:rsidRDefault="005B0BE8">
            <w:r w:rsidRPr="00F50461">
              <w:t>2. Budžeta izdevumi</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0DDF88"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454A29"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AD425"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E973B1"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084EDA"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C5DD49"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6F610" w14:textId="77777777" w:rsidR="005B0BE8" w:rsidRPr="00F50461" w:rsidRDefault="005B0BE8">
            <w:pPr>
              <w:jc w:val="center"/>
            </w:pPr>
            <w:r w:rsidRPr="00F50461">
              <w:t>0</w:t>
            </w:r>
          </w:p>
        </w:tc>
      </w:tr>
      <w:tr w:rsidR="005B0BE8" w:rsidRPr="00F50461" w14:paraId="60F25E53"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7885F0DB" w14:textId="77777777" w:rsidR="005B0BE8" w:rsidRPr="00F50461" w:rsidRDefault="005B0BE8">
            <w:r w:rsidRPr="00F50461">
              <w:t>2.1. valsts pamatbudžets, t.sk.</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575FD1E"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7C2F9B"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3B20A0"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5F99BB"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995B3A"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4D6DB5"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765D9F" w14:textId="77777777" w:rsidR="005B0BE8" w:rsidRPr="00F50461" w:rsidRDefault="005B0BE8">
            <w:pPr>
              <w:jc w:val="center"/>
            </w:pPr>
            <w:r w:rsidRPr="00F50461">
              <w:t>0</w:t>
            </w:r>
          </w:p>
        </w:tc>
      </w:tr>
      <w:tr w:rsidR="005B0BE8" w:rsidRPr="00F50461" w14:paraId="5D93047A"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4D196D85" w14:textId="77777777" w:rsidR="005B0BE8" w:rsidRPr="00F50461" w:rsidRDefault="005B0BE8">
            <w:r w:rsidRPr="00F50461">
              <w:t>2.2. valsts speciālais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8B5936"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EA5AE9"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AE84E0"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2C2BF7"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9F6B1D"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5DD0850"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49133" w14:textId="77777777" w:rsidR="005B0BE8" w:rsidRPr="00F50461" w:rsidRDefault="005B0BE8">
            <w:pPr>
              <w:jc w:val="center"/>
            </w:pPr>
            <w:r w:rsidRPr="00F50461">
              <w:t>0</w:t>
            </w:r>
          </w:p>
        </w:tc>
      </w:tr>
      <w:tr w:rsidR="005B0BE8" w:rsidRPr="00F50461" w14:paraId="55D24725"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6C1FA9F0" w14:textId="77777777" w:rsidR="005B0BE8" w:rsidRPr="00F50461" w:rsidRDefault="005B0BE8">
            <w:r w:rsidRPr="00F50461">
              <w:t>2.3. pašvaldību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C7526D"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B1EB5A"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9EA7AC"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93525D"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CBB4AB"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DED9C4"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54FF49" w14:textId="77777777" w:rsidR="005B0BE8" w:rsidRPr="00F50461" w:rsidRDefault="005B0BE8">
            <w:pPr>
              <w:jc w:val="center"/>
            </w:pPr>
            <w:r w:rsidRPr="00F50461">
              <w:t>0</w:t>
            </w:r>
          </w:p>
        </w:tc>
      </w:tr>
      <w:tr w:rsidR="005B0BE8" w:rsidRPr="00F50461" w14:paraId="45F6A02A"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7F00360C" w14:textId="77777777" w:rsidR="005B0BE8" w:rsidRPr="00F50461" w:rsidRDefault="005B0BE8">
            <w:r w:rsidRPr="00F50461">
              <w:t xml:space="preserve">3. Finansiālā ietekme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2661DF"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857710"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356C7E"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8FE2C8" w14:textId="77777777" w:rsidR="005B0BE8" w:rsidRPr="00F50461" w:rsidRDefault="003E6A54">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FBF7A8"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B58E28A"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7A15F" w14:textId="77777777" w:rsidR="005B0BE8" w:rsidRPr="00F50461" w:rsidRDefault="005B0BE8">
            <w:pPr>
              <w:jc w:val="center"/>
            </w:pPr>
            <w:r w:rsidRPr="00F50461">
              <w:t>0</w:t>
            </w:r>
          </w:p>
        </w:tc>
      </w:tr>
      <w:tr w:rsidR="005B0BE8" w:rsidRPr="00F50461" w14:paraId="15314CEB"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216B3F41" w14:textId="77777777" w:rsidR="005B0BE8" w:rsidRPr="00F50461" w:rsidRDefault="005B0BE8">
            <w:r w:rsidRPr="00F50461">
              <w:t xml:space="preserve">3.1. valsts pamatbudžets </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A666BD8"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43FF08"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9BAD45"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532854"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53EE672"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1B8BA3"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C8DF74" w14:textId="77777777" w:rsidR="005B0BE8" w:rsidRPr="00F50461" w:rsidRDefault="005B0BE8">
            <w:pPr>
              <w:jc w:val="center"/>
            </w:pPr>
            <w:r w:rsidRPr="00F50461">
              <w:t>0</w:t>
            </w:r>
          </w:p>
        </w:tc>
      </w:tr>
      <w:tr w:rsidR="005B0BE8" w:rsidRPr="00F50461" w14:paraId="264AADAA"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1F609CCE" w14:textId="77777777" w:rsidR="005B0BE8" w:rsidRPr="00F50461" w:rsidRDefault="005B0BE8">
            <w:r w:rsidRPr="00F50461">
              <w:t>3.2. speciālais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86C3E9C"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AAD437"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39C313F"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A1A33F9"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48BB7C"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4D70B2"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91EAD" w14:textId="77777777" w:rsidR="005B0BE8" w:rsidRPr="00F50461" w:rsidRDefault="005B0BE8">
            <w:pPr>
              <w:jc w:val="center"/>
            </w:pPr>
            <w:r w:rsidRPr="00F50461">
              <w:t>0</w:t>
            </w:r>
          </w:p>
        </w:tc>
      </w:tr>
      <w:tr w:rsidR="005B0BE8" w:rsidRPr="00F50461" w14:paraId="66DEF418"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19F522EF" w14:textId="77777777" w:rsidR="005B0BE8" w:rsidRPr="00F50461" w:rsidRDefault="005B0BE8">
            <w:r w:rsidRPr="00F50461">
              <w:t>3.3. pašvaldību budžets</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49EBEF" w14:textId="77777777" w:rsidR="005B0BE8" w:rsidRPr="00F50461" w:rsidRDefault="005B0BE8">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ED2A1B"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775386F"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02C015"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8FC397"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4F4927"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B63A15" w14:textId="77777777" w:rsidR="005B0BE8" w:rsidRPr="00F50461" w:rsidRDefault="005B0BE8">
            <w:pPr>
              <w:jc w:val="center"/>
            </w:pPr>
            <w:r w:rsidRPr="00F50461">
              <w:t>0</w:t>
            </w:r>
          </w:p>
        </w:tc>
      </w:tr>
      <w:tr w:rsidR="005B0BE8" w:rsidRPr="00F50461" w14:paraId="050001EA" w14:textId="77777777" w:rsidTr="00BD4A29">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12472CF7" w14:textId="77777777" w:rsidR="005B0BE8" w:rsidRPr="00F50461" w:rsidRDefault="005B0BE8">
            <w:r w:rsidRPr="00F50461">
              <w:t xml:space="preserve">4. Finanšu līdzekļi papildu </w:t>
            </w:r>
            <w:r w:rsidRPr="00F50461">
              <w:lastRenderedPageBreak/>
              <w:t>izdevumu finansēšanai (kompensējošu izdevumu samazinājumu norāda ar "+" zīmi)</w:t>
            </w: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F94B6F4" w14:textId="77777777" w:rsidR="005B0BE8" w:rsidRPr="00F50461" w:rsidRDefault="003E6A54">
            <w:pPr>
              <w:jc w:val="center"/>
            </w:pPr>
            <w:r w:rsidRPr="00F50461">
              <w:lastRenderedPageBreak/>
              <w:t>0</w:t>
            </w:r>
          </w:p>
        </w:tc>
        <w:tc>
          <w:tcPr>
            <w:tcW w:w="99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73B8376"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2F1105" w14:textId="77777777" w:rsidR="005B0BE8" w:rsidRPr="00F50461" w:rsidRDefault="005B0BE8">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ACCDC6" w14:textId="77777777" w:rsidR="005B0BE8" w:rsidRPr="00F50461" w:rsidRDefault="005B0BE8">
            <w:pPr>
              <w:jc w:val="center"/>
            </w:pPr>
            <w:r w:rsidRPr="00F50461">
              <w:t>0</w:t>
            </w:r>
          </w:p>
        </w:tc>
        <w:tc>
          <w:tcPr>
            <w:tcW w:w="94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5F006B" w14:textId="77777777" w:rsidR="005B0BE8" w:rsidRPr="00F50461" w:rsidRDefault="005B0BE8">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9FDA65"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8A2025" w14:textId="77777777" w:rsidR="005B0BE8" w:rsidRPr="00F50461" w:rsidRDefault="005B0BE8">
            <w:pPr>
              <w:jc w:val="center"/>
            </w:pPr>
            <w:r w:rsidRPr="00F50461">
              <w:t>0</w:t>
            </w:r>
          </w:p>
        </w:tc>
      </w:tr>
      <w:tr w:rsidR="005B0BE8" w:rsidRPr="00F50461" w14:paraId="0CB8B771" w14:textId="77777777" w:rsidTr="00BD4A29">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C5612A5" w14:textId="77777777" w:rsidR="005B0BE8" w:rsidRPr="00F50461" w:rsidRDefault="005B0BE8">
            <w:r w:rsidRPr="00F50461">
              <w:t>5. Precizēta finansiālā ietekme</w:t>
            </w:r>
          </w:p>
        </w:tc>
        <w:tc>
          <w:tcPr>
            <w:tcW w:w="992" w:type="dxa"/>
            <w:vMerge w:val="restart"/>
            <w:tcBorders>
              <w:top w:val="single" w:sz="4" w:space="0" w:color="000000" w:themeColor="text1"/>
              <w:left w:val="single" w:sz="4" w:space="0" w:color="auto"/>
            </w:tcBorders>
            <w:shd w:val="clear" w:color="auto" w:fill="auto"/>
            <w:vAlign w:val="center"/>
          </w:tcPr>
          <w:p w14:paraId="3D163D53" w14:textId="77777777" w:rsidR="005B0BE8" w:rsidRPr="00F50461" w:rsidRDefault="003E6A54">
            <w:pPr>
              <w:jc w:val="center"/>
            </w:pPr>
            <w:r w:rsidRPr="00F50461">
              <w:t>0</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93B7CE2" w14:textId="77777777" w:rsidR="005B0BE8" w:rsidRPr="00F50461" w:rsidRDefault="005B0BE8">
            <w:pPr>
              <w:jc w:val="center"/>
            </w:pPr>
            <w:r w:rsidRPr="00F50461">
              <w:t>0</w:t>
            </w:r>
          </w:p>
        </w:tc>
        <w:tc>
          <w:tcPr>
            <w:tcW w:w="1134" w:type="dxa"/>
            <w:vMerge w:val="restart"/>
            <w:tcBorders>
              <w:top w:val="single" w:sz="4" w:space="0" w:color="000000" w:themeColor="text1"/>
              <w:left w:val="single" w:sz="4" w:space="0" w:color="auto"/>
            </w:tcBorders>
            <w:shd w:val="clear" w:color="auto" w:fill="auto"/>
            <w:vAlign w:val="center"/>
          </w:tcPr>
          <w:p w14:paraId="1A32BAE0" w14:textId="77777777" w:rsidR="005B0BE8" w:rsidRPr="00F50461" w:rsidRDefault="003E6A54">
            <w:pPr>
              <w:jc w:val="center"/>
            </w:pPr>
            <w:r w:rsidRPr="00F50461">
              <w:t>0</w:t>
            </w:r>
          </w:p>
        </w:tc>
        <w:tc>
          <w:tcPr>
            <w:tcW w:w="117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2737F5DF" w14:textId="77777777" w:rsidR="005B0BE8" w:rsidRPr="00F50461" w:rsidRDefault="005B0BE8">
            <w:pPr>
              <w:jc w:val="center"/>
            </w:pPr>
            <w:r w:rsidRPr="00F50461">
              <w:t>0</w:t>
            </w:r>
          </w:p>
        </w:tc>
        <w:tc>
          <w:tcPr>
            <w:tcW w:w="947" w:type="dxa"/>
            <w:vMerge w:val="restart"/>
            <w:tcBorders>
              <w:top w:val="single" w:sz="4" w:space="0" w:color="000000" w:themeColor="text1"/>
              <w:left w:val="single" w:sz="4" w:space="0" w:color="auto"/>
            </w:tcBorders>
            <w:shd w:val="clear" w:color="auto" w:fill="auto"/>
            <w:vAlign w:val="center"/>
          </w:tcPr>
          <w:p w14:paraId="28E04554" w14:textId="77777777" w:rsidR="005B0BE8" w:rsidRPr="00F50461" w:rsidRDefault="003E6A54">
            <w:pPr>
              <w:jc w:val="center"/>
            </w:pPr>
            <w:r w:rsidRPr="00F50461">
              <w:t>0</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D06EC6"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71CD" w14:textId="77777777" w:rsidR="005B0BE8" w:rsidRPr="00F50461" w:rsidRDefault="003E6A54">
            <w:pPr>
              <w:jc w:val="center"/>
            </w:pPr>
            <w:r w:rsidRPr="00F50461">
              <w:t>0</w:t>
            </w:r>
          </w:p>
        </w:tc>
      </w:tr>
      <w:tr w:rsidR="005B0BE8" w:rsidRPr="00F50461" w14:paraId="41C2CFD2" w14:textId="77777777" w:rsidTr="66D813AE">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25622818" w14:textId="77777777" w:rsidR="005B0BE8" w:rsidRPr="00F50461" w:rsidRDefault="005B0BE8">
            <w:r w:rsidRPr="00F50461">
              <w:t>5.1. valsts pamatbudžets</w:t>
            </w:r>
          </w:p>
        </w:tc>
        <w:tc>
          <w:tcPr>
            <w:tcW w:w="992" w:type="dxa"/>
            <w:vMerge/>
            <w:vAlign w:val="center"/>
          </w:tcPr>
          <w:p w14:paraId="41A8E37B" w14:textId="77777777" w:rsidR="005B0BE8" w:rsidRPr="00F50461" w:rsidRDefault="005B0BE8">
            <w:pPr>
              <w:snapToGrid w:val="0"/>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72BB975" w14:textId="77777777" w:rsidR="005B0BE8" w:rsidRPr="00F50461" w:rsidRDefault="005B0BE8">
            <w:pPr>
              <w:jc w:val="center"/>
            </w:pPr>
            <w:r w:rsidRPr="00F50461">
              <w:t>0</w:t>
            </w:r>
          </w:p>
        </w:tc>
        <w:tc>
          <w:tcPr>
            <w:tcW w:w="1134" w:type="dxa"/>
            <w:vMerge/>
            <w:vAlign w:val="center"/>
          </w:tcPr>
          <w:p w14:paraId="337673D4" w14:textId="77777777" w:rsidR="005B0BE8" w:rsidRPr="00F50461" w:rsidRDefault="005B0BE8">
            <w:pPr>
              <w:snapToGrid w:val="0"/>
              <w:jc w:val="center"/>
            </w:pPr>
          </w:p>
        </w:tc>
        <w:tc>
          <w:tcPr>
            <w:tcW w:w="117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624659F0" w14:textId="77777777" w:rsidR="005B0BE8" w:rsidRPr="00F50461" w:rsidRDefault="005B0BE8">
            <w:pPr>
              <w:jc w:val="center"/>
            </w:pPr>
            <w:r w:rsidRPr="00F50461">
              <w:t>0</w:t>
            </w:r>
          </w:p>
        </w:tc>
        <w:tc>
          <w:tcPr>
            <w:tcW w:w="947" w:type="dxa"/>
            <w:vMerge/>
            <w:vAlign w:val="center"/>
          </w:tcPr>
          <w:p w14:paraId="3FF548CB" w14:textId="77777777" w:rsidR="005B0BE8" w:rsidRPr="00F50461" w:rsidRDefault="005B0BE8">
            <w:pPr>
              <w:snapToGrid w:val="0"/>
              <w:jc w:val="cente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F67035"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3B80A3" w14:textId="77777777" w:rsidR="005B0BE8" w:rsidRPr="00F50461" w:rsidRDefault="003E6A54">
            <w:pPr>
              <w:jc w:val="center"/>
            </w:pPr>
            <w:r w:rsidRPr="00F50461">
              <w:t>0</w:t>
            </w:r>
          </w:p>
        </w:tc>
      </w:tr>
      <w:tr w:rsidR="005B0BE8" w:rsidRPr="00F50461" w14:paraId="125E8D1F" w14:textId="77777777" w:rsidTr="66D813AE">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9AB86A0" w14:textId="77777777" w:rsidR="005B0BE8" w:rsidRPr="00F50461" w:rsidRDefault="005B0BE8">
            <w:r w:rsidRPr="00F50461">
              <w:t>5.2. speciālais budžets</w:t>
            </w:r>
          </w:p>
        </w:tc>
        <w:tc>
          <w:tcPr>
            <w:tcW w:w="992" w:type="dxa"/>
            <w:vMerge/>
            <w:vAlign w:val="center"/>
          </w:tcPr>
          <w:p w14:paraId="74589212" w14:textId="77777777" w:rsidR="005B0BE8" w:rsidRPr="00F50461" w:rsidRDefault="005B0BE8">
            <w:pPr>
              <w:snapToGrid w:val="0"/>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4E8B69A" w14:textId="77777777" w:rsidR="005B0BE8" w:rsidRPr="00F50461" w:rsidRDefault="005B0BE8">
            <w:pPr>
              <w:jc w:val="center"/>
            </w:pPr>
            <w:r w:rsidRPr="00F50461">
              <w:t>0</w:t>
            </w:r>
          </w:p>
        </w:tc>
        <w:tc>
          <w:tcPr>
            <w:tcW w:w="1134" w:type="dxa"/>
            <w:vMerge/>
            <w:vAlign w:val="center"/>
          </w:tcPr>
          <w:p w14:paraId="6EB1E15F" w14:textId="77777777" w:rsidR="005B0BE8" w:rsidRPr="00F50461" w:rsidRDefault="005B0BE8">
            <w:pPr>
              <w:snapToGrid w:val="0"/>
              <w:jc w:val="center"/>
            </w:pPr>
          </w:p>
        </w:tc>
        <w:tc>
          <w:tcPr>
            <w:tcW w:w="117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391FF8E4" w14:textId="77777777" w:rsidR="005B0BE8" w:rsidRPr="00F50461" w:rsidRDefault="005B0BE8">
            <w:pPr>
              <w:jc w:val="center"/>
            </w:pPr>
            <w:r w:rsidRPr="00F50461">
              <w:t>0</w:t>
            </w:r>
          </w:p>
        </w:tc>
        <w:tc>
          <w:tcPr>
            <w:tcW w:w="947" w:type="dxa"/>
            <w:vMerge/>
            <w:vAlign w:val="center"/>
          </w:tcPr>
          <w:p w14:paraId="1A9C1494" w14:textId="77777777" w:rsidR="005B0BE8" w:rsidRPr="00F50461" w:rsidRDefault="005B0BE8">
            <w:pPr>
              <w:snapToGrid w:val="0"/>
              <w:jc w:val="cente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E2BC2"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71A1F2" w14:textId="77777777" w:rsidR="005B0BE8" w:rsidRPr="00F50461" w:rsidRDefault="005B0BE8">
            <w:pPr>
              <w:jc w:val="center"/>
            </w:pPr>
            <w:r w:rsidRPr="00F50461">
              <w:t>0</w:t>
            </w:r>
          </w:p>
        </w:tc>
      </w:tr>
      <w:tr w:rsidR="005B0BE8" w:rsidRPr="00F50461" w14:paraId="14C6A435" w14:textId="77777777" w:rsidTr="0004587D">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0588752" w14:textId="77777777" w:rsidR="005B0BE8" w:rsidRPr="00F50461" w:rsidRDefault="005B0BE8">
            <w:r w:rsidRPr="00F50461">
              <w:t>5.3. pašvaldību budžets</w:t>
            </w:r>
          </w:p>
        </w:tc>
        <w:tc>
          <w:tcPr>
            <w:tcW w:w="992" w:type="dxa"/>
            <w:vMerge/>
            <w:tcBorders>
              <w:bottom w:val="single" w:sz="4" w:space="0" w:color="000000" w:themeColor="text1"/>
            </w:tcBorders>
            <w:vAlign w:val="center"/>
          </w:tcPr>
          <w:p w14:paraId="6F4C434E" w14:textId="77777777" w:rsidR="005B0BE8" w:rsidRPr="00F50461" w:rsidRDefault="005B0BE8">
            <w:pPr>
              <w:snapToGrid w:val="0"/>
              <w:jc w:val="center"/>
            </w:pP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BBF0477" w14:textId="77777777" w:rsidR="005B0BE8" w:rsidRPr="00F50461" w:rsidRDefault="005B0BE8">
            <w:pPr>
              <w:jc w:val="center"/>
            </w:pPr>
            <w:r w:rsidRPr="00F50461">
              <w:t>0</w:t>
            </w:r>
          </w:p>
        </w:tc>
        <w:tc>
          <w:tcPr>
            <w:tcW w:w="1134" w:type="dxa"/>
            <w:vMerge/>
            <w:tcBorders>
              <w:bottom w:val="single" w:sz="4" w:space="0" w:color="000000" w:themeColor="text1"/>
            </w:tcBorders>
            <w:vAlign w:val="center"/>
          </w:tcPr>
          <w:p w14:paraId="4A1B3042" w14:textId="77777777" w:rsidR="005B0BE8" w:rsidRPr="00F50461" w:rsidRDefault="005B0BE8">
            <w:pPr>
              <w:snapToGrid w:val="0"/>
              <w:jc w:val="center"/>
            </w:pPr>
          </w:p>
        </w:tc>
        <w:tc>
          <w:tcPr>
            <w:tcW w:w="117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10172474" w14:textId="77777777" w:rsidR="005B0BE8" w:rsidRPr="00F50461" w:rsidRDefault="005B0BE8">
            <w:pPr>
              <w:jc w:val="center"/>
            </w:pPr>
            <w:r w:rsidRPr="00F50461">
              <w:t>0</w:t>
            </w:r>
          </w:p>
        </w:tc>
        <w:tc>
          <w:tcPr>
            <w:tcW w:w="947" w:type="dxa"/>
            <w:vMerge/>
            <w:tcBorders>
              <w:bottom w:val="single" w:sz="4" w:space="0" w:color="000000" w:themeColor="text1"/>
            </w:tcBorders>
            <w:vAlign w:val="center"/>
          </w:tcPr>
          <w:p w14:paraId="62DE2CC3" w14:textId="77777777" w:rsidR="005B0BE8" w:rsidRPr="00F50461" w:rsidRDefault="005B0BE8">
            <w:pPr>
              <w:snapToGrid w:val="0"/>
              <w:jc w:val="center"/>
            </w:pP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681EA5" w14:textId="77777777" w:rsidR="005B0BE8" w:rsidRPr="00F50461" w:rsidRDefault="005B0BE8">
            <w:pPr>
              <w:jc w:val="center"/>
            </w:pPr>
            <w:r w:rsidRPr="00F50461">
              <w:t>0</w:t>
            </w:r>
          </w:p>
        </w:tc>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C3F56" w14:textId="77777777" w:rsidR="005B0BE8" w:rsidRPr="00F50461" w:rsidRDefault="005B0BE8">
            <w:pPr>
              <w:jc w:val="center"/>
            </w:pPr>
            <w:r w:rsidRPr="00F50461">
              <w:t>0</w:t>
            </w:r>
          </w:p>
        </w:tc>
      </w:tr>
      <w:tr w:rsidR="005B0BE8" w:rsidRPr="00F50461" w14:paraId="42A26A2C" w14:textId="77777777" w:rsidTr="00BD4A29">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23963E93" w14:textId="77777777" w:rsidR="005B0BE8" w:rsidRPr="00F50461" w:rsidRDefault="005B0BE8">
            <w:r w:rsidRPr="00F50461">
              <w:t>6. Detalizēts ieņēmumu un izdevumu aprēķins (ja nepieciešams, detalizētu ieņēmumu un izdevumu aprēķinu var pievienot anotācijas pielikumā)</w:t>
            </w:r>
          </w:p>
        </w:tc>
        <w:tc>
          <w:tcPr>
            <w:tcW w:w="7607" w:type="dxa"/>
            <w:gridSpan w:val="7"/>
            <w:vMerge w:val="restar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55EB6584" w14:textId="77777777" w:rsidR="004E7256" w:rsidRPr="00F50461" w:rsidRDefault="00476685" w:rsidP="00083B9D">
            <w:pPr>
              <w:pStyle w:val="Sarakstarindkopa"/>
              <w:snapToGrid w:val="0"/>
              <w:spacing w:after="0" w:line="240" w:lineRule="auto"/>
              <w:ind w:left="0"/>
              <w:jc w:val="both"/>
              <w:rPr>
                <w:rFonts w:ascii="Times New Roman" w:eastAsia="Times New Roman" w:hAnsi="Times New Roman" w:cs="Times New Roman"/>
                <w:sz w:val="24"/>
                <w:szCs w:val="24"/>
                <w:lang w:eastAsia="lv-LV"/>
              </w:rPr>
            </w:pPr>
            <w:r w:rsidRPr="00F50461">
              <w:rPr>
                <w:rFonts w:ascii="Times New Roman" w:eastAsia="Times New Roman" w:hAnsi="Times New Roman" w:cs="Times New Roman"/>
                <w:sz w:val="24"/>
                <w:szCs w:val="24"/>
                <w:lang w:eastAsia="lv-LV"/>
              </w:rPr>
              <w:t>Nav.</w:t>
            </w:r>
          </w:p>
        </w:tc>
      </w:tr>
      <w:tr w:rsidR="005B0BE8" w:rsidRPr="00F50461" w14:paraId="3A5A30E7" w14:textId="77777777" w:rsidTr="0004587D">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BCFDF11" w14:textId="77777777" w:rsidR="005B0BE8" w:rsidRPr="00F50461" w:rsidRDefault="005B0BE8">
            <w:r w:rsidRPr="00F50461">
              <w:t>6.1. detalizēts ieņēmumu aprēķins</w:t>
            </w:r>
          </w:p>
        </w:tc>
        <w:tc>
          <w:tcPr>
            <w:tcW w:w="7607" w:type="dxa"/>
            <w:gridSpan w:val="7"/>
            <w:vMerge/>
            <w:tcBorders>
              <w:right w:val="single" w:sz="4" w:space="0" w:color="auto"/>
            </w:tcBorders>
            <w:vAlign w:val="center"/>
          </w:tcPr>
          <w:p w14:paraId="20AD7B26" w14:textId="77777777" w:rsidR="005B0BE8" w:rsidRPr="00F50461" w:rsidRDefault="005B0BE8">
            <w:pPr>
              <w:snapToGrid w:val="0"/>
              <w:ind w:firstLine="232"/>
              <w:jc w:val="both"/>
              <w:rPr>
                <w:rFonts w:eastAsia="Calibri"/>
              </w:rPr>
            </w:pPr>
          </w:p>
        </w:tc>
      </w:tr>
      <w:tr w:rsidR="005B0BE8" w:rsidRPr="00F50461" w14:paraId="5CFF8E76" w14:textId="77777777" w:rsidTr="0004587D">
        <w:tc>
          <w:tcPr>
            <w:tcW w:w="184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112EE6D" w14:textId="77777777" w:rsidR="005B0BE8" w:rsidRPr="00F50461" w:rsidRDefault="005B0BE8">
            <w:r w:rsidRPr="00F50461">
              <w:t>6.2. detalizēts izdevumu aprēķins</w:t>
            </w:r>
          </w:p>
        </w:tc>
        <w:tc>
          <w:tcPr>
            <w:tcW w:w="7607" w:type="dxa"/>
            <w:gridSpan w:val="7"/>
            <w:vMerge/>
            <w:tcBorders>
              <w:bottom w:val="single" w:sz="4" w:space="0" w:color="000000" w:themeColor="text1"/>
              <w:right w:val="single" w:sz="4" w:space="0" w:color="auto"/>
            </w:tcBorders>
            <w:vAlign w:val="center"/>
          </w:tcPr>
          <w:p w14:paraId="3E51A3A4" w14:textId="77777777" w:rsidR="005B0BE8" w:rsidRPr="00F50461" w:rsidRDefault="005B0BE8">
            <w:pPr>
              <w:snapToGrid w:val="0"/>
              <w:ind w:firstLine="232"/>
              <w:jc w:val="both"/>
              <w:rPr>
                <w:rFonts w:eastAsia="Calibri"/>
              </w:rPr>
            </w:pPr>
          </w:p>
        </w:tc>
      </w:tr>
      <w:tr w:rsidR="005B0BE8" w:rsidRPr="00F50461" w14:paraId="21783E48" w14:textId="77777777" w:rsidTr="0004587D">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5309346F" w14:textId="77777777" w:rsidR="005B0BE8" w:rsidRPr="00F50461" w:rsidRDefault="005B0BE8">
            <w:r w:rsidRPr="00F50461">
              <w:t>7. Amata vietu skaita izmaiņas</w:t>
            </w:r>
          </w:p>
        </w:tc>
        <w:tc>
          <w:tcPr>
            <w:tcW w:w="7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D71EC" w14:textId="77777777" w:rsidR="005B0BE8" w:rsidRPr="00F50461" w:rsidRDefault="003E6A54" w:rsidP="003E6A54">
            <w:pPr>
              <w:snapToGrid w:val="0"/>
              <w:jc w:val="both"/>
            </w:pPr>
            <w:r w:rsidRPr="00F50461">
              <w:t>Nav.</w:t>
            </w:r>
          </w:p>
        </w:tc>
      </w:tr>
      <w:tr w:rsidR="005B0BE8" w:rsidRPr="00F50461" w14:paraId="4E34C4B7" w14:textId="77777777" w:rsidTr="66C903E6">
        <w:tc>
          <w:tcPr>
            <w:tcW w:w="1843" w:type="dxa"/>
            <w:tcBorders>
              <w:top w:val="single" w:sz="4" w:space="0" w:color="000000" w:themeColor="text1"/>
              <w:left w:val="single" w:sz="4" w:space="0" w:color="000000" w:themeColor="text1"/>
              <w:bottom w:val="single" w:sz="4" w:space="0" w:color="000000" w:themeColor="text1"/>
            </w:tcBorders>
            <w:shd w:val="clear" w:color="auto" w:fill="auto"/>
          </w:tcPr>
          <w:p w14:paraId="1CFA17F1" w14:textId="77777777" w:rsidR="005B0BE8" w:rsidRPr="00F50461" w:rsidRDefault="005B0BE8">
            <w:r w:rsidRPr="00F50461">
              <w:t>8. Cita informācija</w:t>
            </w:r>
          </w:p>
        </w:tc>
        <w:tc>
          <w:tcPr>
            <w:tcW w:w="7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81970" w14:textId="042C8BA4" w:rsidR="00066ABE" w:rsidRPr="00F50461" w:rsidRDefault="000229CB">
            <w:pPr>
              <w:snapToGrid w:val="0"/>
              <w:jc w:val="both"/>
            </w:pPr>
            <w:r w:rsidRPr="66C903E6">
              <w:rPr>
                <w:color w:val="000000" w:themeColor="text1"/>
              </w:rPr>
              <w:t xml:space="preserve">Normatīvā akta projekta ietekme uz valsts budžetu un pašvaldību budžetiem </w:t>
            </w:r>
            <w:r w:rsidR="66D813AE" w:rsidRPr="66D813AE">
              <w:rPr>
                <w:color w:val="000000" w:themeColor="text1"/>
              </w:rPr>
              <w:t>norādīta</w:t>
            </w:r>
            <w:r w:rsidRPr="66C903E6">
              <w:rPr>
                <w:color w:val="000000" w:themeColor="text1"/>
              </w:rPr>
              <w:t xml:space="preserve"> </w:t>
            </w:r>
            <w:r w:rsidR="00565220">
              <w:rPr>
                <w:color w:val="000000" w:themeColor="text1"/>
              </w:rPr>
              <w:t xml:space="preserve">likuma “Grozījumi </w:t>
            </w:r>
            <w:r w:rsidRPr="66C903E6">
              <w:rPr>
                <w:color w:val="000000" w:themeColor="text1"/>
              </w:rPr>
              <w:t>B</w:t>
            </w:r>
            <w:r w:rsidR="002B2438" w:rsidRPr="66C903E6">
              <w:rPr>
                <w:color w:val="000000" w:themeColor="text1"/>
              </w:rPr>
              <w:t>ā</w:t>
            </w:r>
            <w:r w:rsidRPr="66C903E6">
              <w:rPr>
                <w:color w:val="000000" w:themeColor="text1"/>
              </w:rPr>
              <w:t>ri</w:t>
            </w:r>
            <w:r w:rsidR="002B2438" w:rsidRPr="66C903E6">
              <w:rPr>
                <w:color w:val="000000" w:themeColor="text1"/>
              </w:rPr>
              <w:t>ņ</w:t>
            </w:r>
            <w:r w:rsidRPr="66C903E6">
              <w:rPr>
                <w:color w:val="000000" w:themeColor="text1"/>
              </w:rPr>
              <w:t>tiesu likum</w:t>
            </w:r>
            <w:r w:rsidR="00565220">
              <w:rPr>
                <w:color w:val="000000" w:themeColor="text1"/>
              </w:rPr>
              <w:t>a” anotācijā</w:t>
            </w:r>
            <w:r w:rsidR="00565220">
              <w:t xml:space="preserve"> (p</w:t>
            </w:r>
            <w:r w:rsidR="00565220" w:rsidRPr="003F7555">
              <w:t>ieņemt</w:t>
            </w:r>
            <w:r w:rsidR="00565220">
              <w:t>s Saeimā š.g.</w:t>
            </w:r>
            <w:r w:rsidR="00565220" w:rsidRPr="003F7555">
              <w:t xml:space="preserve"> </w:t>
            </w:r>
            <w:r w:rsidR="00565220" w:rsidRPr="003F7555">
              <w:rPr>
                <w:sz w:val="22"/>
                <w:szCs w:val="22"/>
              </w:rPr>
              <w:t>16.jūnijā</w:t>
            </w:r>
            <w:r w:rsidR="00565220" w:rsidRPr="003F7555">
              <w:t xml:space="preserve"> un </w:t>
            </w:r>
            <w:r w:rsidR="00807162">
              <w:t>stājies spēkā š.g. 1.jūlijā</w:t>
            </w:r>
            <w:r w:rsidR="00565220">
              <w:t>)</w:t>
            </w:r>
            <w:r w:rsidR="00565220">
              <w:rPr>
                <w:color w:val="000000" w:themeColor="text1"/>
              </w:rPr>
              <w:t>.</w:t>
            </w:r>
          </w:p>
        </w:tc>
      </w:tr>
    </w:tbl>
    <w:p w14:paraId="596B70F4" w14:textId="77777777" w:rsidR="005B0BE8" w:rsidRPr="00F50461" w:rsidRDefault="005B0BE8">
      <w:pPr>
        <w:rPr>
          <w:lang w:eastAsia="lv-LV"/>
        </w:rPr>
      </w:pPr>
    </w:p>
    <w:tbl>
      <w:tblPr>
        <w:tblW w:w="5327" w:type="pct"/>
        <w:tblInd w:w="-15" w:type="dxa"/>
        <w:tblLayout w:type="fixed"/>
        <w:tblCellMar>
          <w:top w:w="30" w:type="dxa"/>
          <w:left w:w="30" w:type="dxa"/>
          <w:bottom w:w="30" w:type="dxa"/>
          <w:right w:w="30" w:type="dxa"/>
        </w:tblCellMar>
        <w:tblLook w:val="0000" w:firstRow="0" w:lastRow="0" w:firstColumn="0" w:lastColumn="0" w:noHBand="0" w:noVBand="0"/>
      </w:tblPr>
      <w:tblGrid>
        <w:gridCol w:w="45"/>
        <w:gridCol w:w="10"/>
        <w:gridCol w:w="553"/>
        <w:gridCol w:w="114"/>
        <w:gridCol w:w="139"/>
        <w:gridCol w:w="2126"/>
        <w:gridCol w:w="1565"/>
        <w:gridCol w:w="140"/>
        <w:gridCol w:w="4777"/>
        <w:gridCol w:w="185"/>
      </w:tblGrid>
      <w:tr w:rsidR="005B0BE8" w:rsidRPr="00F50461" w14:paraId="69526CEC" w14:textId="77777777" w:rsidTr="00650136">
        <w:trPr>
          <w:gridBefore w:val="1"/>
          <w:gridAfter w:val="1"/>
          <w:wBefore w:w="45" w:type="dxa"/>
          <w:wAfter w:w="184" w:type="dxa"/>
        </w:trPr>
        <w:tc>
          <w:tcPr>
            <w:tcW w:w="9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91DA1" w14:textId="77777777" w:rsidR="005B0BE8" w:rsidRPr="00F50461" w:rsidRDefault="005B0BE8">
            <w:pPr>
              <w:jc w:val="center"/>
            </w:pPr>
            <w:r w:rsidRPr="00F50461">
              <w:rPr>
                <w:b/>
                <w:bCs/>
              </w:rPr>
              <w:t>IV. Tiesību akta projekta ietekme uz spēkā esošo tiesību normu sistēmu</w:t>
            </w:r>
          </w:p>
        </w:tc>
      </w:tr>
      <w:tr w:rsidR="005B0BE8" w:rsidRPr="00F50461" w14:paraId="062CC6F3" w14:textId="77777777" w:rsidTr="00650136">
        <w:trPr>
          <w:gridBefore w:val="1"/>
          <w:gridAfter w:val="1"/>
          <w:wBefore w:w="45" w:type="dxa"/>
          <w:wAfter w:w="184" w:type="dxa"/>
        </w:trPr>
        <w:tc>
          <w:tcPr>
            <w:tcW w:w="5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A2985DC" w14:textId="77777777" w:rsidR="005B0BE8" w:rsidRPr="00F50461" w:rsidRDefault="005B0BE8">
            <w:pPr>
              <w:jc w:val="center"/>
            </w:pPr>
            <w:r w:rsidRPr="00F50461">
              <w:t>1.</w:t>
            </w:r>
          </w:p>
        </w:tc>
        <w:tc>
          <w:tcPr>
            <w:tcW w:w="2379"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46010085" w14:textId="77777777" w:rsidR="005B0BE8" w:rsidRPr="00F50461" w:rsidRDefault="005B0BE8">
            <w:r w:rsidRPr="00F50461">
              <w:t>Saistītie tiesību aktu projekti</w:t>
            </w:r>
          </w:p>
        </w:tc>
        <w:tc>
          <w:tcPr>
            <w:tcW w:w="64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DBF9D" w14:textId="77777777" w:rsidR="005B0BE8" w:rsidRPr="00F50461" w:rsidRDefault="00476685" w:rsidP="00843977">
            <w:pPr>
              <w:jc w:val="both"/>
            </w:pPr>
            <w:r w:rsidRPr="00F50461">
              <w:t>Nav.</w:t>
            </w:r>
          </w:p>
        </w:tc>
      </w:tr>
      <w:tr w:rsidR="005B0BE8" w:rsidRPr="00F50461" w14:paraId="29779672" w14:textId="77777777" w:rsidTr="00650136">
        <w:trPr>
          <w:gridBefore w:val="1"/>
          <w:gridAfter w:val="1"/>
          <w:wBefore w:w="45" w:type="dxa"/>
          <w:wAfter w:w="184" w:type="dxa"/>
        </w:trPr>
        <w:tc>
          <w:tcPr>
            <w:tcW w:w="5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ED914BE" w14:textId="77777777" w:rsidR="005B0BE8" w:rsidRPr="00F50461" w:rsidRDefault="005B0BE8">
            <w:pPr>
              <w:jc w:val="center"/>
            </w:pPr>
            <w:r w:rsidRPr="00F50461">
              <w:t>2.</w:t>
            </w:r>
          </w:p>
        </w:tc>
        <w:tc>
          <w:tcPr>
            <w:tcW w:w="2379"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68FDAD44" w14:textId="77777777" w:rsidR="005B0BE8" w:rsidRPr="00F50461" w:rsidRDefault="005B0BE8">
            <w:r w:rsidRPr="00F50461">
              <w:t>Atbildīgā institūcija</w:t>
            </w:r>
          </w:p>
        </w:tc>
        <w:tc>
          <w:tcPr>
            <w:tcW w:w="64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ECE770" w14:textId="339E5014" w:rsidR="005B0BE8" w:rsidRPr="00F50461" w:rsidRDefault="005B0BE8">
            <w:pPr>
              <w:jc w:val="both"/>
            </w:pPr>
            <w:r w:rsidRPr="00F50461">
              <w:t>LM</w:t>
            </w:r>
            <w:r w:rsidR="4381384A">
              <w:t>.</w:t>
            </w:r>
          </w:p>
        </w:tc>
      </w:tr>
      <w:tr w:rsidR="005B0BE8" w:rsidRPr="00F50461" w14:paraId="460447D3" w14:textId="77777777" w:rsidTr="00650136">
        <w:trPr>
          <w:gridBefore w:val="1"/>
          <w:gridAfter w:val="1"/>
          <w:wBefore w:w="45" w:type="dxa"/>
          <w:wAfter w:w="184" w:type="dxa"/>
        </w:trPr>
        <w:tc>
          <w:tcPr>
            <w:tcW w:w="56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BD35653" w14:textId="77777777" w:rsidR="005B0BE8" w:rsidRPr="00F50461" w:rsidRDefault="005B0BE8">
            <w:pPr>
              <w:jc w:val="center"/>
            </w:pPr>
            <w:r w:rsidRPr="00F50461">
              <w:t>3.</w:t>
            </w:r>
          </w:p>
        </w:tc>
        <w:tc>
          <w:tcPr>
            <w:tcW w:w="2379"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25A38FDC" w14:textId="77777777" w:rsidR="005B0BE8" w:rsidRPr="00F50461" w:rsidRDefault="005B0BE8">
            <w:r w:rsidRPr="00F50461">
              <w:t>Cita informācija</w:t>
            </w:r>
          </w:p>
        </w:tc>
        <w:tc>
          <w:tcPr>
            <w:tcW w:w="64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2BF5F" w14:textId="30FC5504" w:rsidR="004B07B4" w:rsidRPr="00F50461" w:rsidRDefault="004B07B4" w:rsidP="0006274B">
            <w:pPr>
              <w:jc w:val="both"/>
            </w:pPr>
            <w:r w:rsidRPr="00F50461">
              <w:t>Ministrija iesnie</w:t>
            </w:r>
            <w:r w:rsidR="00565220">
              <w:t xml:space="preserve">dza </w:t>
            </w:r>
            <w:r w:rsidRPr="00F50461">
              <w:t>priekšlikumu</w:t>
            </w:r>
            <w:r w:rsidR="00596297">
              <w:t xml:space="preserve"> </w:t>
            </w:r>
            <w:r w:rsidR="004B4D54">
              <w:t>likumprojektam “Grozījumi Bērnu tiesību aizsardzības likumā”</w:t>
            </w:r>
            <w:r w:rsidRPr="00F50461">
              <w:t xml:space="preserve"> </w:t>
            </w:r>
            <w:r w:rsidR="00C32DF4">
              <w:t xml:space="preserve">izskatīšanai pirms </w:t>
            </w:r>
            <w:r w:rsidR="00224170">
              <w:t>2.lasījuma.</w:t>
            </w:r>
            <w:r w:rsidR="00362D69">
              <w:t xml:space="preserve"> </w:t>
            </w:r>
            <w:r w:rsidR="00892E82">
              <w:lastRenderedPageBreak/>
              <w:t>Priekšlikuma būtība ir</w:t>
            </w:r>
            <w:r w:rsidR="00361849">
              <w:t>:</w:t>
            </w:r>
            <w:r w:rsidR="00892E82">
              <w:t xml:space="preserve"> </w:t>
            </w:r>
            <w:r w:rsidRPr="00F50461">
              <w:t>papildināt Bērnu tiesību aizsardzības likum</w:t>
            </w:r>
            <w:r w:rsidR="00361849">
              <w:t>u ar normu</w:t>
            </w:r>
            <w:r w:rsidRPr="00F50461">
              <w:t>, kas nosaka, ka VBTAI ir labklājības ministra pārraudzī</w:t>
            </w:r>
            <w:r w:rsidR="00644EA4">
              <w:t>b</w:t>
            </w:r>
            <w:r w:rsidR="00014C42">
              <w:t>ā</w:t>
            </w:r>
            <w:r w:rsidRPr="00F50461">
              <w:t>.</w:t>
            </w:r>
          </w:p>
        </w:tc>
      </w:tr>
      <w:tr w:rsidR="00620A26" w:rsidRPr="00F50461" w14:paraId="41C28045" w14:textId="77777777" w:rsidTr="00650136">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blCellSpacing w:w="15" w:type="dxa"/>
        </w:trPr>
        <w:tc>
          <w:tcPr>
            <w:tcW w:w="9654" w:type="dxa"/>
            <w:gridSpan w:val="10"/>
            <w:vAlign w:val="center"/>
            <w:hideMark/>
          </w:tcPr>
          <w:p w14:paraId="6C34D454" w14:textId="4A30372D" w:rsidR="002C71EB" w:rsidRPr="00272F0C" w:rsidRDefault="005B0BE8" w:rsidP="002C71EB">
            <w:pPr>
              <w:suppressAutoHyphens w:val="0"/>
              <w:rPr>
                <w:b/>
                <w:bCs/>
                <w:iCs/>
                <w:lang w:eastAsia="lv-LV"/>
              </w:rPr>
            </w:pPr>
            <w:r w:rsidRPr="00F50461">
              <w:lastRenderedPageBreak/>
              <w:t> </w:t>
            </w:r>
            <w:r w:rsidR="002C71EB" w:rsidRPr="00272F0C">
              <w:rPr>
                <w:b/>
                <w:bCs/>
                <w:iCs/>
                <w:lang w:eastAsia="lv-LV"/>
              </w:rPr>
              <w:t>V. Tiesību akta projekta atbilstība Latvijas Republikas starptautiskajām saistībām</w:t>
            </w:r>
          </w:p>
        </w:tc>
      </w:tr>
      <w:tr w:rsidR="00620A26" w:rsidRPr="00F50461" w14:paraId="72444E10" w14:textId="77777777" w:rsidTr="00650136">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blCellSpacing w:w="15" w:type="dxa"/>
        </w:trPr>
        <w:tc>
          <w:tcPr>
            <w:tcW w:w="722" w:type="dxa"/>
            <w:gridSpan w:val="4"/>
            <w:hideMark/>
          </w:tcPr>
          <w:p w14:paraId="5DBFA451" w14:textId="77777777" w:rsidR="002C71EB" w:rsidRPr="00F50461" w:rsidRDefault="002C71EB" w:rsidP="002C71EB">
            <w:pPr>
              <w:suppressAutoHyphens w:val="0"/>
              <w:rPr>
                <w:iCs/>
                <w:color w:val="414142"/>
                <w:lang w:eastAsia="lv-LV"/>
              </w:rPr>
            </w:pPr>
            <w:r w:rsidRPr="00F50461">
              <w:rPr>
                <w:iCs/>
                <w:color w:val="414142"/>
                <w:lang w:eastAsia="lv-LV"/>
              </w:rPr>
              <w:t>1.</w:t>
            </w:r>
          </w:p>
        </w:tc>
        <w:tc>
          <w:tcPr>
            <w:tcW w:w="3830" w:type="dxa"/>
            <w:gridSpan w:val="3"/>
            <w:hideMark/>
          </w:tcPr>
          <w:p w14:paraId="1C0F9BAF" w14:textId="77777777" w:rsidR="002C71EB" w:rsidRPr="00272F0C" w:rsidRDefault="002C71EB" w:rsidP="002C71EB">
            <w:pPr>
              <w:suppressAutoHyphens w:val="0"/>
              <w:rPr>
                <w:iCs/>
                <w:lang w:eastAsia="lv-LV"/>
              </w:rPr>
            </w:pPr>
            <w:r w:rsidRPr="00272F0C">
              <w:rPr>
                <w:iCs/>
                <w:lang w:eastAsia="lv-LV"/>
              </w:rPr>
              <w:t>Saistības pret Eiropas Savienību</w:t>
            </w:r>
          </w:p>
        </w:tc>
        <w:tc>
          <w:tcPr>
            <w:tcW w:w="5102" w:type="dxa"/>
            <w:gridSpan w:val="3"/>
          </w:tcPr>
          <w:p w14:paraId="1DD43D67" w14:textId="77777777" w:rsidR="002C71EB" w:rsidRPr="00272F0C" w:rsidRDefault="002C71EB" w:rsidP="002C71EB">
            <w:pPr>
              <w:suppressAutoHyphens w:val="0"/>
              <w:rPr>
                <w:iCs/>
                <w:lang w:eastAsia="lv-LV"/>
              </w:rPr>
            </w:pPr>
            <w:r w:rsidRPr="00272F0C">
              <w:rPr>
                <w:iCs/>
                <w:lang w:eastAsia="lv-LV"/>
              </w:rPr>
              <w:t>Nav</w:t>
            </w:r>
          </w:p>
        </w:tc>
      </w:tr>
      <w:tr w:rsidR="00620A26" w:rsidRPr="00F50461" w14:paraId="3FDA4880" w14:textId="77777777" w:rsidTr="00650136">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blCellSpacing w:w="15" w:type="dxa"/>
        </w:trPr>
        <w:tc>
          <w:tcPr>
            <w:tcW w:w="722" w:type="dxa"/>
            <w:gridSpan w:val="4"/>
            <w:hideMark/>
          </w:tcPr>
          <w:p w14:paraId="4173BE1D" w14:textId="77777777" w:rsidR="002C71EB" w:rsidRPr="00F50461" w:rsidRDefault="002C71EB" w:rsidP="002C71EB">
            <w:pPr>
              <w:suppressAutoHyphens w:val="0"/>
              <w:rPr>
                <w:iCs/>
                <w:color w:val="414142"/>
                <w:lang w:eastAsia="lv-LV"/>
              </w:rPr>
            </w:pPr>
            <w:r w:rsidRPr="00F50461">
              <w:rPr>
                <w:iCs/>
                <w:color w:val="414142"/>
                <w:lang w:eastAsia="lv-LV"/>
              </w:rPr>
              <w:t>2.</w:t>
            </w:r>
          </w:p>
        </w:tc>
        <w:tc>
          <w:tcPr>
            <w:tcW w:w="3830" w:type="dxa"/>
            <w:gridSpan w:val="3"/>
            <w:hideMark/>
          </w:tcPr>
          <w:p w14:paraId="10513395" w14:textId="77777777" w:rsidR="002C71EB" w:rsidRPr="00272F0C" w:rsidRDefault="002C71EB" w:rsidP="002C71EB">
            <w:pPr>
              <w:suppressAutoHyphens w:val="0"/>
              <w:rPr>
                <w:iCs/>
                <w:lang w:eastAsia="lv-LV"/>
              </w:rPr>
            </w:pPr>
            <w:r w:rsidRPr="00272F0C">
              <w:rPr>
                <w:iCs/>
                <w:lang w:eastAsia="lv-LV"/>
              </w:rPr>
              <w:t>Citas starptautiskās saistības</w:t>
            </w:r>
          </w:p>
        </w:tc>
        <w:tc>
          <w:tcPr>
            <w:tcW w:w="5102" w:type="dxa"/>
            <w:gridSpan w:val="3"/>
          </w:tcPr>
          <w:p w14:paraId="163494D4" w14:textId="77777777" w:rsidR="002C71EB" w:rsidRPr="00272F0C" w:rsidRDefault="002C71EB" w:rsidP="002C71EB">
            <w:pPr>
              <w:suppressAutoHyphens w:val="0"/>
              <w:jc w:val="both"/>
              <w:rPr>
                <w:iCs/>
                <w:lang w:eastAsia="lv-LV"/>
              </w:rPr>
            </w:pPr>
            <w:r w:rsidRPr="00272F0C">
              <w:rPr>
                <w:iCs/>
                <w:lang w:eastAsia="lv-LV"/>
              </w:rPr>
              <w:t>Nav</w:t>
            </w:r>
          </w:p>
          <w:p w14:paraId="7A3E373E" w14:textId="77777777" w:rsidR="002C71EB" w:rsidRPr="00272F0C" w:rsidRDefault="002C71EB" w:rsidP="002C71EB">
            <w:pPr>
              <w:suppressAutoHyphens w:val="0"/>
              <w:jc w:val="both"/>
              <w:rPr>
                <w:iCs/>
                <w:lang w:eastAsia="lv-LV"/>
              </w:rPr>
            </w:pPr>
          </w:p>
        </w:tc>
      </w:tr>
      <w:tr w:rsidR="00620A26" w:rsidRPr="00F50461" w14:paraId="0D143235" w14:textId="77777777" w:rsidTr="00650136">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blCellSpacing w:w="15" w:type="dxa"/>
        </w:trPr>
        <w:tc>
          <w:tcPr>
            <w:tcW w:w="722" w:type="dxa"/>
            <w:gridSpan w:val="4"/>
            <w:hideMark/>
          </w:tcPr>
          <w:p w14:paraId="341C1D75" w14:textId="77777777" w:rsidR="002C71EB" w:rsidRPr="00F50461" w:rsidRDefault="002C71EB" w:rsidP="002C71EB">
            <w:pPr>
              <w:suppressAutoHyphens w:val="0"/>
              <w:rPr>
                <w:iCs/>
                <w:color w:val="414142"/>
                <w:lang w:eastAsia="lv-LV"/>
              </w:rPr>
            </w:pPr>
            <w:r w:rsidRPr="00F50461">
              <w:rPr>
                <w:iCs/>
                <w:color w:val="414142"/>
                <w:lang w:eastAsia="lv-LV"/>
              </w:rPr>
              <w:t>3.</w:t>
            </w:r>
          </w:p>
        </w:tc>
        <w:tc>
          <w:tcPr>
            <w:tcW w:w="3830" w:type="dxa"/>
            <w:gridSpan w:val="3"/>
            <w:hideMark/>
          </w:tcPr>
          <w:p w14:paraId="35A2EBDE" w14:textId="77777777" w:rsidR="002C71EB" w:rsidRPr="00272F0C" w:rsidRDefault="002C71EB" w:rsidP="002C71EB">
            <w:pPr>
              <w:suppressAutoHyphens w:val="0"/>
              <w:rPr>
                <w:iCs/>
                <w:lang w:eastAsia="lv-LV"/>
              </w:rPr>
            </w:pPr>
            <w:r w:rsidRPr="00272F0C">
              <w:rPr>
                <w:iCs/>
                <w:lang w:eastAsia="lv-LV"/>
              </w:rPr>
              <w:t>Cita informācija</w:t>
            </w:r>
          </w:p>
        </w:tc>
        <w:tc>
          <w:tcPr>
            <w:tcW w:w="5102" w:type="dxa"/>
            <w:gridSpan w:val="3"/>
          </w:tcPr>
          <w:p w14:paraId="463F7FBC" w14:textId="77777777" w:rsidR="002C71EB" w:rsidRPr="00272F0C" w:rsidRDefault="002C71EB" w:rsidP="002C71EB">
            <w:pPr>
              <w:suppressAutoHyphens w:val="0"/>
              <w:jc w:val="both"/>
              <w:rPr>
                <w:iCs/>
                <w:lang w:eastAsia="lv-LV"/>
              </w:rPr>
            </w:pPr>
            <w:r w:rsidRPr="00272F0C">
              <w:rPr>
                <w:iCs/>
                <w:lang w:eastAsia="lv-LV"/>
              </w:rPr>
              <w:t>Nav</w:t>
            </w:r>
          </w:p>
        </w:tc>
      </w:tr>
      <w:tr w:rsidR="005B0BE8" w:rsidRPr="00F50461" w14:paraId="72A049D1" w14:textId="77777777" w:rsidTr="006501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5" w:type="dxa"/>
          <w:trHeight w:val="420"/>
          <w:jc w:val="center"/>
        </w:trPr>
        <w:tc>
          <w:tcPr>
            <w:tcW w:w="9599" w:type="dxa"/>
            <w:gridSpan w:val="8"/>
            <w:shd w:val="clear" w:color="auto" w:fill="auto"/>
            <w:vAlign w:val="center"/>
          </w:tcPr>
          <w:p w14:paraId="7C6CBD1F" w14:textId="77777777" w:rsidR="005B0BE8" w:rsidRPr="00F50461" w:rsidRDefault="005B0BE8">
            <w:pPr>
              <w:pStyle w:val="naisf"/>
              <w:spacing w:before="0" w:after="0"/>
              <w:ind w:firstLine="0"/>
            </w:pPr>
            <w:r w:rsidRPr="00F50461">
              <w:rPr>
                <w:b/>
                <w:bCs/>
              </w:rPr>
              <w:t>VI. Sabiedrības līdzdalība un komunikācijas aktivitātes</w:t>
            </w:r>
          </w:p>
        </w:tc>
      </w:tr>
      <w:tr w:rsidR="005B0BE8" w:rsidRPr="00F50461" w14:paraId="426EF08C" w14:textId="77777777" w:rsidTr="006501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5" w:type="dxa"/>
          <w:trHeight w:val="540"/>
          <w:jc w:val="center"/>
        </w:trPr>
        <w:tc>
          <w:tcPr>
            <w:tcW w:w="805" w:type="dxa"/>
            <w:gridSpan w:val="3"/>
            <w:shd w:val="clear" w:color="auto" w:fill="auto"/>
          </w:tcPr>
          <w:p w14:paraId="0A3CC500" w14:textId="77777777" w:rsidR="005B0BE8" w:rsidRPr="00F50461" w:rsidRDefault="005B0BE8" w:rsidP="008F2117">
            <w:pPr>
              <w:pStyle w:val="naisf"/>
              <w:ind w:firstLine="0"/>
            </w:pPr>
            <w:r w:rsidRPr="00F50461">
              <w:t>1.</w:t>
            </w:r>
          </w:p>
        </w:tc>
        <w:tc>
          <w:tcPr>
            <w:tcW w:w="3831" w:type="dxa"/>
            <w:gridSpan w:val="3"/>
            <w:shd w:val="clear" w:color="auto" w:fill="auto"/>
          </w:tcPr>
          <w:p w14:paraId="585E3E08" w14:textId="77777777" w:rsidR="005B0BE8" w:rsidRPr="00F50461" w:rsidRDefault="005B0BE8" w:rsidP="00221D83">
            <w:pPr>
              <w:pStyle w:val="naisf"/>
              <w:ind w:firstLine="0"/>
            </w:pPr>
            <w:r w:rsidRPr="00F50461">
              <w:t>Plānotās sabiedrības līdzdalības un komunikācijas aktivitātes saistībā ar projektu</w:t>
            </w:r>
          </w:p>
        </w:tc>
        <w:tc>
          <w:tcPr>
            <w:tcW w:w="4963" w:type="dxa"/>
            <w:gridSpan w:val="2"/>
            <w:shd w:val="clear" w:color="auto" w:fill="auto"/>
          </w:tcPr>
          <w:p w14:paraId="3DC4D011" w14:textId="0C66DAD8" w:rsidR="00221D83" w:rsidRPr="00F50461" w:rsidRDefault="003A5653" w:rsidP="6F243023">
            <w:pPr>
              <w:jc w:val="both"/>
              <w:rPr>
                <w:i/>
              </w:rPr>
            </w:pPr>
            <w:r w:rsidRPr="00E40054">
              <w:rPr>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5B0BE8" w:rsidRPr="00F50461" w14:paraId="704F9289" w14:textId="77777777" w:rsidTr="006501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5" w:type="dxa"/>
          <w:trHeight w:val="330"/>
          <w:jc w:val="center"/>
        </w:trPr>
        <w:tc>
          <w:tcPr>
            <w:tcW w:w="805" w:type="dxa"/>
            <w:gridSpan w:val="3"/>
            <w:shd w:val="clear" w:color="auto" w:fill="auto"/>
          </w:tcPr>
          <w:p w14:paraId="350EF291" w14:textId="77777777" w:rsidR="005B0BE8" w:rsidRPr="00F50461" w:rsidRDefault="005B0BE8" w:rsidP="008F2117">
            <w:pPr>
              <w:pStyle w:val="naisf"/>
              <w:ind w:firstLine="0"/>
            </w:pPr>
            <w:r w:rsidRPr="00F50461">
              <w:t>2.</w:t>
            </w:r>
          </w:p>
        </w:tc>
        <w:tc>
          <w:tcPr>
            <w:tcW w:w="3831" w:type="dxa"/>
            <w:gridSpan w:val="3"/>
            <w:shd w:val="clear" w:color="auto" w:fill="auto"/>
          </w:tcPr>
          <w:p w14:paraId="197C7800" w14:textId="77777777" w:rsidR="005B0BE8" w:rsidRPr="00F50461" w:rsidRDefault="005B0BE8" w:rsidP="008F2117">
            <w:pPr>
              <w:pStyle w:val="naisf"/>
              <w:ind w:firstLine="0"/>
            </w:pPr>
            <w:r w:rsidRPr="00F50461">
              <w:t>Sabiedrības līdzdalība projekta izstrādē</w:t>
            </w:r>
          </w:p>
        </w:tc>
        <w:tc>
          <w:tcPr>
            <w:tcW w:w="4963" w:type="dxa"/>
            <w:gridSpan w:val="2"/>
            <w:shd w:val="clear" w:color="auto" w:fill="auto"/>
          </w:tcPr>
          <w:p w14:paraId="40895A07" w14:textId="57D59EDE" w:rsidR="005B0BE8" w:rsidRPr="00F50461" w:rsidRDefault="003A5653" w:rsidP="00FE1962">
            <w:pPr>
              <w:pStyle w:val="naisf"/>
              <w:ind w:firstLine="0"/>
            </w:pPr>
            <w:r>
              <w:t>Lai informētu sabiedrību par Noteikumu projektu un dotu iespēju izteikt par to viedokļus, Noteikumu projekts 2021. gada 31</w:t>
            </w:r>
            <w:r w:rsidR="00272F0C">
              <w:t>. </w:t>
            </w:r>
            <w:r>
              <w:t>martā ievietots Labklājības ministrijas tīmekļa vietnē,  kā arī Ministru kabineta tīmekļa vietnē un termiņš viedokļa izteikšanai tika noteikts 2021.gada  16.aprīlis.</w:t>
            </w:r>
          </w:p>
        </w:tc>
      </w:tr>
      <w:tr w:rsidR="005B0BE8" w:rsidRPr="00F50461" w14:paraId="30679D08" w14:textId="77777777" w:rsidTr="006501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5" w:type="dxa"/>
          <w:trHeight w:val="465"/>
          <w:jc w:val="center"/>
        </w:trPr>
        <w:tc>
          <w:tcPr>
            <w:tcW w:w="805" w:type="dxa"/>
            <w:gridSpan w:val="3"/>
            <w:shd w:val="clear" w:color="auto" w:fill="auto"/>
          </w:tcPr>
          <w:p w14:paraId="37B5835D" w14:textId="77777777" w:rsidR="005B0BE8" w:rsidRPr="00F50461" w:rsidRDefault="005B0BE8" w:rsidP="008F2117">
            <w:pPr>
              <w:pStyle w:val="naisf"/>
              <w:ind w:firstLine="0"/>
            </w:pPr>
            <w:r w:rsidRPr="00F50461">
              <w:t>3.</w:t>
            </w:r>
          </w:p>
        </w:tc>
        <w:tc>
          <w:tcPr>
            <w:tcW w:w="3831" w:type="dxa"/>
            <w:gridSpan w:val="3"/>
            <w:shd w:val="clear" w:color="auto" w:fill="auto"/>
          </w:tcPr>
          <w:p w14:paraId="497D4859" w14:textId="77777777" w:rsidR="005B0BE8" w:rsidRPr="00F50461" w:rsidRDefault="005B0BE8" w:rsidP="008F2117">
            <w:pPr>
              <w:pStyle w:val="naisf"/>
              <w:ind w:firstLine="0"/>
            </w:pPr>
            <w:r w:rsidRPr="00F50461">
              <w:t>Sabiedrības līdzdalības rezultāti</w:t>
            </w:r>
          </w:p>
        </w:tc>
        <w:tc>
          <w:tcPr>
            <w:tcW w:w="4963" w:type="dxa"/>
            <w:gridSpan w:val="2"/>
            <w:shd w:val="clear" w:color="auto" w:fill="auto"/>
          </w:tcPr>
          <w:p w14:paraId="3FDD85ED" w14:textId="27FBBCB1" w:rsidR="00C925DC" w:rsidRPr="00F50461" w:rsidRDefault="003A5653" w:rsidP="0043715C">
            <w:pPr>
              <w:pStyle w:val="naisf"/>
              <w:ind w:firstLine="0"/>
              <w:rPr>
                <w:lang w:eastAsia="lv-LV"/>
              </w:rPr>
            </w:pPr>
            <w:r w:rsidRPr="00E40054">
              <w:rPr>
                <w:lang w:eastAsia="lv-LV"/>
              </w:rPr>
              <w:t>Priekšlikumi un iebildumi par Noteikumu projektu Labklājības ministrijā netika saņemti.</w:t>
            </w:r>
          </w:p>
        </w:tc>
      </w:tr>
      <w:tr w:rsidR="005B0BE8" w:rsidRPr="00F50461" w14:paraId="02339F73" w14:textId="77777777" w:rsidTr="006501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5" w:type="dxa"/>
          <w:trHeight w:val="465"/>
          <w:jc w:val="center"/>
        </w:trPr>
        <w:tc>
          <w:tcPr>
            <w:tcW w:w="805" w:type="dxa"/>
            <w:gridSpan w:val="3"/>
            <w:shd w:val="clear" w:color="auto" w:fill="auto"/>
          </w:tcPr>
          <w:p w14:paraId="11FFFDC5" w14:textId="77777777" w:rsidR="005B0BE8" w:rsidRPr="00F50461" w:rsidRDefault="005B0BE8" w:rsidP="008F2117">
            <w:pPr>
              <w:pStyle w:val="naisf"/>
              <w:ind w:firstLine="0"/>
            </w:pPr>
            <w:r w:rsidRPr="00F50461">
              <w:t>4</w:t>
            </w:r>
            <w:r w:rsidR="008F2117" w:rsidRPr="00F50461">
              <w:t>.</w:t>
            </w:r>
          </w:p>
        </w:tc>
        <w:tc>
          <w:tcPr>
            <w:tcW w:w="3831" w:type="dxa"/>
            <w:gridSpan w:val="3"/>
            <w:shd w:val="clear" w:color="auto" w:fill="auto"/>
          </w:tcPr>
          <w:p w14:paraId="24B73B72" w14:textId="77777777" w:rsidR="005B0BE8" w:rsidRPr="00F50461" w:rsidRDefault="005B0BE8" w:rsidP="008F2117">
            <w:pPr>
              <w:pStyle w:val="naisf"/>
              <w:ind w:firstLine="0"/>
            </w:pPr>
            <w:r w:rsidRPr="00F50461">
              <w:t>Cita informācija</w:t>
            </w:r>
          </w:p>
        </w:tc>
        <w:tc>
          <w:tcPr>
            <w:tcW w:w="4963" w:type="dxa"/>
            <w:gridSpan w:val="2"/>
            <w:shd w:val="clear" w:color="auto" w:fill="auto"/>
          </w:tcPr>
          <w:p w14:paraId="247045D4" w14:textId="77777777" w:rsidR="005B0BE8" w:rsidRPr="00F50461" w:rsidRDefault="005B0BE8">
            <w:pPr>
              <w:pStyle w:val="naisf"/>
              <w:spacing w:before="0" w:after="0"/>
              <w:ind w:firstLine="0"/>
            </w:pPr>
            <w:r w:rsidRPr="00F50461">
              <w:t xml:space="preserve">  Nav.</w:t>
            </w:r>
          </w:p>
        </w:tc>
      </w:tr>
      <w:tr w:rsidR="005B0BE8" w:rsidRPr="00F50461" w14:paraId="25CB3D7A" w14:textId="77777777" w:rsidTr="00650136">
        <w:tblPrEx>
          <w:jc w:val="center"/>
          <w:tblInd w:w="0" w:type="dxa"/>
          <w:tblCellMar>
            <w:top w:w="28" w:type="dxa"/>
            <w:left w:w="28" w:type="dxa"/>
            <w:bottom w:w="28" w:type="dxa"/>
            <w:right w:w="28" w:type="dxa"/>
          </w:tblCellMar>
        </w:tblPrEx>
        <w:trPr>
          <w:gridBefore w:val="2"/>
          <w:wBefore w:w="55" w:type="dxa"/>
          <w:trHeight w:val="271"/>
          <w:jc w:val="center"/>
        </w:trPr>
        <w:tc>
          <w:tcPr>
            <w:tcW w:w="95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66B8C5" w14:textId="147F7575" w:rsidR="005B0BE8" w:rsidRPr="00F50461" w:rsidRDefault="005B0BE8">
            <w:pPr>
              <w:pStyle w:val="naisnod"/>
              <w:spacing w:before="0" w:after="0"/>
              <w:ind w:left="85" w:right="57" w:hanging="28"/>
            </w:pPr>
            <w:r w:rsidRPr="00F50461">
              <w:t> VII. Tiesību akta projekta izpildes nodrošināšana un tās ietekme uz institūcijām</w:t>
            </w:r>
          </w:p>
        </w:tc>
      </w:tr>
      <w:tr w:rsidR="005B0BE8" w:rsidRPr="00F50461" w14:paraId="386B92F5" w14:textId="77777777" w:rsidTr="00650136">
        <w:tblPrEx>
          <w:jc w:val="center"/>
          <w:tblInd w:w="0" w:type="dxa"/>
          <w:tblCellMar>
            <w:top w:w="28" w:type="dxa"/>
            <w:left w:w="28" w:type="dxa"/>
            <w:bottom w:w="28" w:type="dxa"/>
            <w:right w:w="28" w:type="dxa"/>
          </w:tblCellMar>
        </w:tblPrEx>
        <w:trPr>
          <w:gridBefore w:val="2"/>
          <w:wBefore w:w="55" w:type="dxa"/>
          <w:trHeight w:val="377"/>
          <w:jc w:val="center"/>
        </w:trPr>
        <w:tc>
          <w:tcPr>
            <w:tcW w:w="806"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010237FB" w14:textId="77777777" w:rsidR="005B0BE8" w:rsidRPr="00F50461" w:rsidRDefault="005B0BE8">
            <w:pPr>
              <w:pStyle w:val="naisnod"/>
              <w:spacing w:before="0" w:after="0"/>
              <w:ind w:left="57" w:right="57"/>
              <w:jc w:val="both"/>
            </w:pPr>
            <w:r w:rsidRPr="00F50461">
              <w:rPr>
                <w:b w:val="0"/>
              </w:rPr>
              <w:t>1.</w:t>
            </w:r>
          </w:p>
        </w:tc>
        <w:tc>
          <w:tcPr>
            <w:tcW w:w="3830"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4D2A56AC" w14:textId="77777777" w:rsidR="005B0BE8" w:rsidRPr="00F50461" w:rsidRDefault="005B0BE8">
            <w:pPr>
              <w:pStyle w:val="naisf"/>
              <w:spacing w:before="0" w:after="0"/>
              <w:ind w:left="57" w:right="57" w:firstLine="0"/>
            </w:pPr>
            <w:r w:rsidRPr="00F50461">
              <w:t>Projekta izpildē iesaistītās institūcijas</w:t>
            </w:r>
          </w:p>
        </w:tc>
        <w:tc>
          <w:tcPr>
            <w:tcW w:w="4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F10E" w14:textId="36A40A36" w:rsidR="005B0BE8" w:rsidRPr="00F50461" w:rsidRDefault="6A8FC781" w:rsidP="00997BD4">
            <w:pPr>
              <w:shd w:val="clear" w:color="auto" w:fill="FFFFFF"/>
              <w:jc w:val="both"/>
            </w:pPr>
            <w:r w:rsidRPr="00F50461">
              <w:t>Labklājības ministrija, VBTAI.</w:t>
            </w:r>
          </w:p>
        </w:tc>
      </w:tr>
      <w:tr w:rsidR="005B0BE8" w:rsidRPr="00F50461" w14:paraId="47D7B56A" w14:textId="77777777" w:rsidTr="00650136">
        <w:tblPrEx>
          <w:jc w:val="center"/>
          <w:tblInd w:w="0" w:type="dxa"/>
          <w:tblCellMar>
            <w:top w:w="28" w:type="dxa"/>
            <w:left w:w="28" w:type="dxa"/>
            <w:bottom w:w="28" w:type="dxa"/>
            <w:right w:w="28" w:type="dxa"/>
          </w:tblCellMar>
        </w:tblPrEx>
        <w:trPr>
          <w:gridBefore w:val="2"/>
          <w:wBefore w:w="55" w:type="dxa"/>
          <w:trHeight w:val="1405"/>
          <w:jc w:val="center"/>
        </w:trPr>
        <w:tc>
          <w:tcPr>
            <w:tcW w:w="806"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11F19800" w14:textId="77777777" w:rsidR="005B0BE8" w:rsidRPr="00F50461" w:rsidRDefault="005B0BE8">
            <w:pPr>
              <w:pStyle w:val="naisnod"/>
              <w:spacing w:before="0" w:after="0"/>
              <w:ind w:left="57" w:right="57"/>
              <w:jc w:val="both"/>
            </w:pPr>
            <w:r w:rsidRPr="00F50461">
              <w:rPr>
                <w:b w:val="0"/>
              </w:rPr>
              <w:t>2.</w:t>
            </w:r>
          </w:p>
        </w:tc>
        <w:tc>
          <w:tcPr>
            <w:tcW w:w="3830"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7C60E70D" w14:textId="77777777" w:rsidR="005B0BE8" w:rsidRPr="00F50461" w:rsidRDefault="005B0BE8">
            <w:pPr>
              <w:pStyle w:val="naisf"/>
              <w:spacing w:before="0" w:after="0"/>
              <w:ind w:left="57" w:right="57" w:firstLine="0"/>
            </w:pPr>
            <w:r w:rsidRPr="00F50461">
              <w:t>Projekta izpildes ietekme uz pār</w:t>
            </w:r>
            <w:r w:rsidRPr="00F50461">
              <w:softHyphen/>
              <w:t>valdes funkcijām un institucionālo struktūru.</w:t>
            </w:r>
          </w:p>
          <w:p w14:paraId="2C8CE0A0" w14:textId="77777777" w:rsidR="005B0BE8" w:rsidRPr="00F50461" w:rsidRDefault="005B0BE8">
            <w:pPr>
              <w:pStyle w:val="naisf"/>
              <w:spacing w:before="0" w:after="0"/>
              <w:ind w:left="57" w:right="57" w:firstLine="0"/>
            </w:pPr>
            <w:r w:rsidRPr="00F50461">
              <w:t>Jaunu institūciju izveide, esošu institūciju likvidācija vai reorga</w:t>
            </w:r>
            <w:r w:rsidRPr="00F50461">
              <w:softHyphen/>
              <w:t>nizācija, to ietekme uz institūcijas cilvēkresursiem.</w:t>
            </w:r>
          </w:p>
        </w:tc>
        <w:tc>
          <w:tcPr>
            <w:tcW w:w="4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CDD35" w14:textId="5FBF6983" w:rsidR="008E2F7B" w:rsidRDefault="008E2F7B" w:rsidP="00997BD4">
            <w:pPr>
              <w:shd w:val="clear" w:color="auto" w:fill="FFFFFF"/>
              <w:jc w:val="both"/>
              <w:rPr>
                <w:rFonts w:eastAsia="Calibri"/>
              </w:rPr>
            </w:pPr>
            <w:r>
              <w:rPr>
                <w:rFonts w:eastAsia="Calibri"/>
              </w:rPr>
              <w:t>Noteikumu projekts neparedz jaunu institūciju izveidi vai esošo likvidāciju vai reorganizāciju.</w:t>
            </w:r>
          </w:p>
          <w:p w14:paraId="73F60AA3" w14:textId="77777777" w:rsidR="008E2F7B" w:rsidRDefault="008E2F7B" w:rsidP="00997BD4">
            <w:pPr>
              <w:shd w:val="clear" w:color="auto" w:fill="FFFFFF"/>
              <w:jc w:val="both"/>
              <w:rPr>
                <w:rFonts w:eastAsia="Calibri"/>
              </w:rPr>
            </w:pPr>
          </w:p>
          <w:p w14:paraId="0AAA71AD" w14:textId="77777777" w:rsidR="005B0BE8" w:rsidRPr="00F50461" w:rsidRDefault="005B0BE8">
            <w:pPr>
              <w:shd w:val="clear" w:color="auto" w:fill="FFFFFF"/>
              <w:jc w:val="both"/>
              <w:rPr>
                <w:rFonts w:eastAsia="Calibri"/>
                <w:iCs/>
              </w:rPr>
            </w:pPr>
          </w:p>
        </w:tc>
      </w:tr>
      <w:tr w:rsidR="005B0BE8" w:rsidRPr="00F50461" w14:paraId="75E0104F" w14:textId="77777777" w:rsidTr="00650136">
        <w:tblPrEx>
          <w:jc w:val="center"/>
          <w:tblInd w:w="0" w:type="dxa"/>
          <w:tblCellMar>
            <w:top w:w="28" w:type="dxa"/>
            <w:left w:w="28" w:type="dxa"/>
            <w:bottom w:w="28" w:type="dxa"/>
            <w:right w:w="28" w:type="dxa"/>
          </w:tblCellMar>
        </w:tblPrEx>
        <w:trPr>
          <w:gridBefore w:val="2"/>
          <w:wBefore w:w="55" w:type="dxa"/>
          <w:trHeight w:val="258"/>
          <w:jc w:val="center"/>
        </w:trPr>
        <w:tc>
          <w:tcPr>
            <w:tcW w:w="806"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39578CDC" w14:textId="77777777" w:rsidR="005B0BE8" w:rsidRPr="00F50461" w:rsidRDefault="005B0BE8">
            <w:pPr>
              <w:pStyle w:val="naisnod"/>
              <w:spacing w:before="0" w:after="0"/>
              <w:ind w:left="57" w:right="57"/>
              <w:jc w:val="both"/>
            </w:pPr>
            <w:r w:rsidRPr="00F50461">
              <w:rPr>
                <w:b w:val="0"/>
              </w:rPr>
              <w:t>3.</w:t>
            </w:r>
          </w:p>
        </w:tc>
        <w:tc>
          <w:tcPr>
            <w:tcW w:w="3830" w:type="dxa"/>
            <w:gridSpan w:val="3"/>
            <w:tcBorders>
              <w:top w:val="single" w:sz="4" w:space="0" w:color="000000" w:themeColor="text1"/>
              <w:left w:val="single" w:sz="4" w:space="0" w:color="000000" w:themeColor="text1"/>
              <w:bottom w:val="single" w:sz="4" w:space="0" w:color="000000" w:themeColor="text1"/>
            </w:tcBorders>
            <w:shd w:val="clear" w:color="auto" w:fill="auto"/>
          </w:tcPr>
          <w:p w14:paraId="6EC3963B" w14:textId="77777777" w:rsidR="005B0BE8" w:rsidRPr="00F50461" w:rsidRDefault="005B0BE8">
            <w:pPr>
              <w:pStyle w:val="naisf"/>
              <w:spacing w:before="0" w:after="0"/>
              <w:ind w:right="57" w:firstLine="0"/>
            </w:pPr>
            <w:r w:rsidRPr="00F50461">
              <w:t>Cita informācija</w:t>
            </w:r>
          </w:p>
        </w:tc>
        <w:tc>
          <w:tcPr>
            <w:tcW w:w="49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674C1E" w14:textId="77777777" w:rsidR="005B0BE8" w:rsidRPr="00F50461" w:rsidRDefault="005B0BE8">
            <w:pPr>
              <w:ind w:left="57" w:right="57"/>
              <w:jc w:val="both"/>
            </w:pPr>
            <w:r w:rsidRPr="00F50461">
              <w:t>Nav.</w:t>
            </w:r>
          </w:p>
        </w:tc>
      </w:tr>
    </w:tbl>
    <w:p w14:paraId="09967630" w14:textId="77777777" w:rsidR="005B0BE8" w:rsidRPr="00AD7672" w:rsidRDefault="005B0BE8">
      <w:pPr>
        <w:tabs>
          <w:tab w:val="left" w:pos="6237"/>
        </w:tabs>
        <w:rPr>
          <w:i/>
          <w:sz w:val="26"/>
          <w:szCs w:val="26"/>
        </w:rPr>
      </w:pPr>
    </w:p>
    <w:p w14:paraId="76DAFB80" w14:textId="068E1389" w:rsidR="00015A6B" w:rsidRDefault="005B0BE8">
      <w:pPr>
        <w:tabs>
          <w:tab w:val="left" w:pos="6237"/>
        </w:tabs>
        <w:rPr>
          <w:sz w:val="26"/>
          <w:szCs w:val="26"/>
        </w:rPr>
      </w:pPr>
      <w:r w:rsidRPr="00AD7672">
        <w:rPr>
          <w:sz w:val="26"/>
          <w:szCs w:val="26"/>
        </w:rPr>
        <w:t>Labklājības ministr</w:t>
      </w:r>
      <w:r w:rsidR="004A3FF1">
        <w:rPr>
          <w:sz w:val="26"/>
          <w:szCs w:val="26"/>
        </w:rPr>
        <w:t xml:space="preserve">s </w:t>
      </w:r>
      <w:r w:rsidR="004A3FF1">
        <w:rPr>
          <w:sz w:val="26"/>
          <w:szCs w:val="26"/>
        </w:rPr>
        <w:tab/>
      </w:r>
      <w:r w:rsidR="004A3FF1">
        <w:rPr>
          <w:sz w:val="26"/>
          <w:szCs w:val="26"/>
        </w:rPr>
        <w:tab/>
      </w:r>
      <w:r w:rsidR="004A3FF1">
        <w:rPr>
          <w:sz w:val="26"/>
          <w:szCs w:val="26"/>
        </w:rPr>
        <w:tab/>
      </w:r>
      <w:r w:rsidR="004A3FF1">
        <w:rPr>
          <w:sz w:val="26"/>
          <w:szCs w:val="26"/>
        </w:rPr>
        <w:tab/>
        <w:t xml:space="preserve">     G.Eglītis</w:t>
      </w:r>
    </w:p>
    <w:p w14:paraId="6C40B5A6" w14:textId="79F9E967" w:rsidR="005B0BE8" w:rsidRDefault="005B0BE8">
      <w:pPr>
        <w:tabs>
          <w:tab w:val="left" w:pos="6237"/>
        </w:tabs>
        <w:rPr>
          <w:sz w:val="26"/>
          <w:szCs w:val="26"/>
        </w:rPr>
      </w:pPr>
      <w:r w:rsidRPr="00AD7672">
        <w:rPr>
          <w:sz w:val="26"/>
          <w:szCs w:val="26"/>
        </w:rPr>
        <w:t xml:space="preserve">                 </w:t>
      </w:r>
    </w:p>
    <w:p w14:paraId="037BFD2C" w14:textId="77777777" w:rsidR="00542B54" w:rsidRPr="00AD7672" w:rsidRDefault="00542B54">
      <w:pPr>
        <w:tabs>
          <w:tab w:val="left" w:pos="6237"/>
        </w:tabs>
        <w:rPr>
          <w:sz w:val="26"/>
          <w:szCs w:val="26"/>
        </w:rPr>
      </w:pPr>
    </w:p>
    <w:p w14:paraId="60E4317B" w14:textId="4A40357A" w:rsidR="00442B65" w:rsidRPr="00B82F91" w:rsidRDefault="00DB555C" w:rsidP="00B82F91">
      <w:pPr>
        <w:rPr>
          <w:sz w:val="20"/>
          <w:szCs w:val="20"/>
        </w:rPr>
      </w:pPr>
      <w:r>
        <w:rPr>
          <w:sz w:val="20"/>
          <w:szCs w:val="20"/>
        </w:rPr>
        <w:t>05</w:t>
      </w:r>
      <w:bookmarkStart w:id="4" w:name="_GoBack"/>
      <w:bookmarkEnd w:id="4"/>
      <w:r w:rsidR="00442B65">
        <w:rPr>
          <w:sz w:val="20"/>
          <w:szCs w:val="20"/>
        </w:rPr>
        <w:t>.0</w:t>
      </w:r>
      <w:r>
        <w:rPr>
          <w:sz w:val="20"/>
          <w:szCs w:val="20"/>
        </w:rPr>
        <w:t>8</w:t>
      </w:r>
      <w:r w:rsidR="00442B65">
        <w:rPr>
          <w:sz w:val="20"/>
          <w:szCs w:val="20"/>
        </w:rPr>
        <w:t>.2021.</w:t>
      </w:r>
    </w:p>
    <w:p w14:paraId="08F61432" w14:textId="77777777" w:rsidR="00234BDD" w:rsidRPr="00B82F91" w:rsidRDefault="00234BDD" w:rsidP="00B82F91">
      <w:pPr>
        <w:widowControl w:val="0"/>
        <w:suppressAutoHyphens w:val="0"/>
        <w:jc w:val="both"/>
        <w:rPr>
          <w:sz w:val="20"/>
          <w:szCs w:val="20"/>
          <w:lang w:eastAsia="en-US"/>
        </w:rPr>
      </w:pPr>
      <w:r w:rsidRPr="00B82F91">
        <w:rPr>
          <w:sz w:val="20"/>
          <w:szCs w:val="20"/>
          <w:lang w:eastAsia="en-US"/>
        </w:rPr>
        <w:t xml:space="preserve">K.Venta-Kittele 67021610, </w:t>
      </w:r>
    </w:p>
    <w:p w14:paraId="63718765" w14:textId="77777777" w:rsidR="00234BDD" w:rsidRPr="00B82F91" w:rsidRDefault="00170EFC" w:rsidP="00B82F91">
      <w:pPr>
        <w:widowControl w:val="0"/>
        <w:suppressAutoHyphens w:val="0"/>
        <w:jc w:val="both"/>
        <w:rPr>
          <w:color w:val="0070C0"/>
          <w:sz w:val="20"/>
          <w:szCs w:val="20"/>
          <w:u w:val="single"/>
          <w:lang w:eastAsia="en-US"/>
        </w:rPr>
      </w:pPr>
      <w:hyperlink r:id="rId11" w:history="1">
        <w:r w:rsidR="00234BDD" w:rsidRPr="00B82F91">
          <w:rPr>
            <w:color w:val="0070C0"/>
            <w:sz w:val="20"/>
            <w:szCs w:val="20"/>
            <w:u w:val="single"/>
            <w:lang w:eastAsia="en-US"/>
          </w:rPr>
          <w:t>kristine.venta-kittele@lm.gov.lv</w:t>
        </w:r>
      </w:hyperlink>
    </w:p>
    <w:p w14:paraId="1564279A" w14:textId="77777777" w:rsidR="00B82F91" w:rsidRPr="00B82F91" w:rsidRDefault="00B82F91" w:rsidP="00B82F91">
      <w:pPr>
        <w:pStyle w:val="Sarakstarindkopa"/>
        <w:spacing w:after="0" w:line="240" w:lineRule="auto"/>
        <w:ind w:left="0"/>
        <w:rPr>
          <w:rFonts w:ascii="Times New Roman" w:hAnsi="Times New Roman" w:cs="Times New Roman"/>
          <w:sz w:val="20"/>
          <w:szCs w:val="20"/>
        </w:rPr>
      </w:pPr>
      <w:r w:rsidRPr="00B82F91">
        <w:rPr>
          <w:rFonts w:ascii="Times New Roman" w:hAnsi="Times New Roman" w:cs="Times New Roman"/>
          <w:sz w:val="20"/>
          <w:szCs w:val="20"/>
        </w:rPr>
        <w:t>L.Neikens, 67021673</w:t>
      </w:r>
    </w:p>
    <w:p w14:paraId="1F1EE7DC" w14:textId="5E2CAF81" w:rsidR="005B0BE8" w:rsidRPr="0004587D" w:rsidRDefault="00170EFC" w:rsidP="0004587D">
      <w:pPr>
        <w:pStyle w:val="Sarakstarindkopa"/>
        <w:spacing w:after="0" w:line="240" w:lineRule="auto"/>
        <w:ind w:left="0"/>
        <w:rPr>
          <w:rFonts w:ascii="Times New Roman" w:hAnsi="Times New Roman" w:cs="Times New Roman"/>
          <w:color w:val="0070C0"/>
          <w:sz w:val="20"/>
          <w:szCs w:val="20"/>
          <w:u w:val="single"/>
        </w:rPr>
      </w:pPr>
      <w:hyperlink r:id="rId12" w:history="1">
        <w:r w:rsidR="00B82F91" w:rsidRPr="00B82F91">
          <w:rPr>
            <w:rStyle w:val="Hipersaite"/>
            <w:rFonts w:ascii="Times New Roman" w:hAnsi="Times New Roman" w:cs="Times New Roman"/>
            <w:sz w:val="20"/>
            <w:szCs w:val="20"/>
          </w:rPr>
          <w:t>Lauris.neikens@lm.gov.lv</w:t>
        </w:r>
      </w:hyperlink>
    </w:p>
    <w:sectPr w:rsidR="005B0BE8" w:rsidRPr="0004587D">
      <w:headerReference w:type="default" r:id="rId13"/>
      <w:footerReference w:type="default" r:id="rId14"/>
      <w:headerReference w:type="first" r:id="rId15"/>
      <w:footerReference w:type="first" r:id="rId16"/>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E8F3" w14:textId="77777777" w:rsidR="00170EFC" w:rsidRDefault="00170EFC">
      <w:r>
        <w:separator/>
      </w:r>
    </w:p>
  </w:endnote>
  <w:endnote w:type="continuationSeparator" w:id="0">
    <w:p w14:paraId="1D462C93" w14:textId="77777777" w:rsidR="00170EFC" w:rsidRDefault="00170EFC">
      <w:r>
        <w:continuationSeparator/>
      </w:r>
    </w:p>
  </w:endnote>
  <w:endnote w:type="continuationNotice" w:id="1">
    <w:p w14:paraId="3CEB6830" w14:textId="77777777" w:rsidR="00170EFC" w:rsidRDefault="00170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Droid Sans Fallback">
    <w:panose1 w:val="00000000000000000000"/>
    <w:charset w:val="00"/>
    <w:family w:val="roman"/>
    <w:notTrueType/>
    <w:pitch w:val="default"/>
  </w:font>
  <w:font w:name="Liberation Serif">
    <w:altName w:val="Times New Roman"/>
    <w:charset w:val="00"/>
    <w:family w:val="roman"/>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CE3A" w14:textId="77777777" w:rsidR="00933242" w:rsidRDefault="00933242" w:rsidP="00D92908">
    <w:pPr>
      <w:pStyle w:val="Kjene"/>
      <w:jc w:val="both"/>
      <w:rPr>
        <w:sz w:val="20"/>
        <w:szCs w:val="20"/>
      </w:rPr>
    </w:pPr>
  </w:p>
  <w:p w14:paraId="4325A5AF" w14:textId="5D53FEB5" w:rsidR="00933242" w:rsidRPr="009F0C37" w:rsidRDefault="00442B65" w:rsidP="00E512EA">
    <w:pPr>
      <w:spacing w:before="28" w:after="28"/>
      <w:jc w:val="both"/>
      <w:rPr>
        <w:sz w:val="20"/>
        <w:szCs w:val="20"/>
      </w:rPr>
    </w:pPr>
    <w:r w:rsidRPr="009F0C37">
      <w:rPr>
        <w:sz w:val="20"/>
        <w:szCs w:val="20"/>
      </w:rPr>
      <w:t>LMAnot_</w:t>
    </w:r>
    <w:r w:rsidR="00DB555C">
      <w:rPr>
        <w:sz w:val="20"/>
        <w:szCs w:val="20"/>
      </w:rPr>
      <w:t>05</w:t>
    </w:r>
    <w:r w:rsidRPr="009F0C37">
      <w:rPr>
        <w:sz w:val="20"/>
        <w:szCs w:val="20"/>
      </w:rPr>
      <w:t>0</w:t>
    </w:r>
    <w:r w:rsidR="00DB555C">
      <w:rPr>
        <w:sz w:val="20"/>
        <w:szCs w:val="20"/>
      </w:rPr>
      <w:t>8</w:t>
    </w:r>
    <w:r w:rsidRPr="009F0C37">
      <w:rPr>
        <w:sz w:val="20"/>
        <w:szCs w:val="20"/>
      </w:rPr>
      <w:t>21_VBTAInol; Ministru kabineta  noteikumu projekta “Valsts bērnu tiesību aizsardzības inspekcijas nolikums” sākotnējās ietekmes novērtējuma ziņojums (anotācija)</w:t>
    </w:r>
  </w:p>
  <w:p w14:paraId="16520BAF" w14:textId="77777777" w:rsidR="00933242" w:rsidRDefault="00933242" w:rsidP="00E512EA">
    <w:pPr>
      <w:spacing w:before="28" w:after="28"/>
      <w:jc w:val="both"/>
    </w:pPr>
  </w:p>
  <w:p w14:paraId="6496FBA2" w14:textId="77777777" w:rsidR="00933242" w:rsidRDefault="00933242">
    <w:pPr>
      <w:spacing w:before="28" w:after="28"/>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8557" w14:textId="77777777" w:rsidR="00933242" w:rsidRDefault="00933242">
    <w:pPr>
      <w:pStyle w:val="Kjene"/>
      <w:jc w:val="both"/>
      <w:rPr>
        <w:sz w:val="20"/>
        <w:szCs w:val="20"/>
      </w:rPr>
    </w:pPr>
  </w:p>
  <w:p w14:paraId="0E422A08" w14:textId="58826959" w:rsidR="00933242" w:rsidRPr="009F0C37" w:rsidRDefault="00933242" w:rsidP="009F0C37">
    <w:pPr>
      <w:spacing w:before="28" w:after="28"/>
      <w:jc w:val="both"/>
      <w:rPr>
        <w:sz w:val="20"/>
        <w:szCs w:val="20"/>
      </w:rPr>
    </w:pPr>
    <w:r w:rsidRPr="009F0C37">
      <w:rPr>
        <w:sz w:val="20"/>
        <w:szCs w:val="20"/>
      </w:rPr>
      <w:t>LMAnot_</w:t>
    </w:r>
    <w:r w:rsidR="00DB555C">
      <w:rPr>
        <w:sz w:val="20"/>
        <w:szCs w:val="20"/>
      </w:rPr>
      <w:t>05</w:t>
    </w:r>
    <w:r w:rsidRPr="009F0C37">
      <w:rPr>
        <w:sz w:val="20"/>
        <w:szCs w:val="20"/>
      </w:rPr>
      <w:t>0</w:t>
    </w:r>
    <w:r w:rsidR="00DB555C">
      <w:rPr>
        <w:sz w:val="20"/>
        <w:szCs w:val="20"/>
      </w:rPr>
      <w:t>8</w:t>
    </w:r>
    <w:r w:rsidRPr="009F0C37">
      <w:rPr>
        <w:sz w:val="20"/>
        <w:szCs w:val="20"/>
      </w:rPr>
      <w:t>21_VBTAInol</w:t>
    </w:r>
    <w:r w:rsidR="00442B65" w:rsidRPr="009F0C37">
      <w:rPr>
        <w:sz w:val="20"/>
        <w:szCs w:val="20"/>
      </w:rPr>
      <w:t>; Ministru kabineta  noteikumu projekta “Valsts bērnu tiesību aizsardzības inspekcijas nolikums” sākotnējās ietekmes novērtējuma ziņojums (anotācija)</w:t>
    </w:r>
  </w:p>
  <w:p w14:paraId="1B533D11" w14:textId="77777777" w:rsidR="00933242" w:rsidRDefault="00933242" w:rsidP="00476685">
    <w:pPr>
      <w:spacing w:before="28" w:after="28"/>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DE44" w14:textId="77777777" w:rsidR="00170EFC" w:rsidRDefault="00170EFC">
      <w:r>
        <w:separator/>
      </w:r>
    </w:p>
  </w:footnote>
  <w:footnote w:type="continuationSeparator" w:id="0">
    <w:p w14:paraId="2E967916" w14:textId="77777777" w:rsidR="00170EFC" w:rsidRDefault="00170EFC">
      <w:r>
        <w:continuationSeparator/>
      </w:r>
    </w:p>
  </w:footnote>
  <w:footnote w:type="continuationNotice" w:id="1">
    <w:p w14:paraId="47F6AF91" w14:textId="77777777" w:rsidR="00170EFC" w:rsidRDefault="00170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9575"/>
      <w:docPartObj>
        <w:docPartGallery w:val="Page Numbers (Top of Page)"/>
        <w:docPartUnique/>
      </w:docPartObj>
    </w:sdtPr>
    <w:sdtEndPr/>
    <w:sdtContent>
      <w:p w14:paraId="4E0577A7" w14:textId="2E86D686" w:rsidR="0078598A" w:rsidRDefault="0078598A">
        <w:pPr>
          <w:pStyle w:val="Galvene"/>
          <w:jc w:val="center"/>
        </w:pPr>
        <w:r w:rsidRPr="0004587D">
          <w:rPr>
            <w:rFonts w:asciiTheme="majorHAnsi" w:hAnsiTheme="majorHAnsi" w:cstheme="majorHAnsi"/>
            <w:sz w:val="22"/>
            <w:szCs w:val="22"/>
          </w:rPr>
          <w:fldChar w:fldCharType="begin"/>
        </w:r>
        <w:r w:rsidRPr="0004587D">
          <w:rPr>
            <w:rFonts w:asciiTheme="majorHAnsi" w:hAnsiTheme="majorHAnsi" w:cstheme="majorHAnsi"/>
            <w:sz w:val="22"/>
            <w:szCs w:val="22"/>
          </w:rPr>
          <w:instrText>PAGE   \* MERGEFORMAT</w:instrText>
        </w:r>
        <w:r w:rsidRPr="0004587D">
          <w:rPr>
            <w:rFonts w:asciiTheme="majorHAnsi" w:hAnsiTheme="majorHAnsi" w:cstheme="majorHAnsi"/>
            <w:sz w:val="22"/>
            <w:szCs w:val="22"/>
          </w:rPr>
          <w:fldChar w:fldCharType="separate"/>
        </w:r>
        <w:r w:rsidRPr="0004587D">
          <w:rPr>
            <w:rFonts w:asciiTheme="majorHAnsi" w:hAnsiTheme="majorHAnsi" w:cstheme="majorHAnsi"/>
            <w:sz w:val="22"/>
            <w:szCs w:val="22"/>
          </w:rPr>
          <w:t>2</w:t>
        </w:r>
        <w:r w:rsidRPr="0004587D">
          <w:rPr>
            <w:rFonts w:asciiTheme="majorHAnsi" w:hAnsiTheme="majorHAnsi" w:cstheme="majorHAnsi"/>
            <w:sz w:val="22"/>
            <w:szCs w:val="22"/>
          </w:rPr>
          <w:fldChar w:fldCharType="end"/>
        </w:r>
      </w:p>
    </w:sdtContent>
  </w:sdt>
  <w:p w14:paraId="6D1A35F3" w14:textId="37302B9A" w:rsidR="00933242" w:rsidRDefault="0093324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BA41" w14:textId="2D30A9B0" w:rsidR="00933242" w:rsidRDefault="00933242" w:rsidP="00C21412">
    <w:pPr>
      <w:pStyle w:val="Galvene"/>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Considran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65640BA"/>
    <w:multiLevelType w:val="hybridMultilevel"/>
    <w:tmpl w:val="7D64E124"/>
    <w:lvl w:ilvl="0" w:tplc="028CED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56380E"/>
    <w:multiLevelType w:val="hybridMultilevel"/>
    <w:tmpl w:val="0600A93A"/>
    <w:lvl w:ilvl="0" w:tplc="ABD0B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D60CEC"/>
    <w:multiLevelType w:val="multilevel"/>
    <w:tmpl w:val="E25A1B5A"/>
    <w:lvl w:ilvl="0">
      <w:start w:val="1"/>
      <w:numFmt w:val="decimal"/>
      <w:lvlText w:val="%1."/>
      <w:lvlJc w:val="left"/>
      <w:pPr>
        <w:tabs>
          <w:tab w:val="num" w:pos="142"/>
        </w:tabs>
        <w:ind w:left="502" w:hanging="360"/>
      </w:pPr>
      <w:rPr>
        <w:rFonts w:eastAsia="Times New Roman" w:cs="Times New Roman"/>
        <w:sz w:val="28"/>
        <w:szCs w:val="28"/>
      </w:rPr>
    </w:lvl>
    <w:lvl w:ilvl="1">
      <w:start w:val="1"/>
      <w:numFmt w:val="decimal"/>
      <w:lvlText w:val="%1.%2."/>
      <w:lvlJc w:val="left"/>
      <w:pPr>
        <w:ind w:left="1567"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BF7EA9"/>
    <w:multiLevelType w:val="hybridMultilevel"/>
    <w:tmpl w:val="6012F298"/>
    <w:lvl w:ilvl="0" w:tplc="C53AF1DE">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D8718E"/>
    <w:multiLevelType w:val="hybridMultilevel"/>
    <w:tmpl w:val="C0D42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F73360"/>
    <w:multiLevelType w:val="hybridMultilevel"/>
    <w:tmpl w:val="D2CC792C"/>
    <w:lvl w:ilvl="0" w:tplc="3E3026F4">
      <w:start w:val="40"/>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D6"/>
    <w:rsid w:val="00001E93"/>
    <w:rsid w:val="0000503E"/>
    <w:rsid w:val="00011699"/>
    <w:rsid w:val="000131D8"/>
    <w:rsid w:val="00014C42"/>
    <w:rsid w:val="00014D5D"/>
    <w:rsid w:val="00015A6B"/>
    <w:rsid w:val="00015B47"/>
    <w:rsid w:val="00015C50"/>
    <w:rsid w:val="00016ED4"/>
    <w:rsid w:val="000215E6"/>
    <w:rsid w:val="000229CB"/>
    <w:rsid w:val="00024CAE"/>
    <w:rsid w:val="00027DAE"/>
    <w:rsid w:val="00030DF5"/>
    <w:rsid w:val="00032E25"/>
    <w:rsid w:val="00041CCB"/>
    <w:rsid w:val="000431B0"/>
    <w:rsid w:val="00045371"/>
    <w:rsid w:val="0004587D"/>
    <w:rsid w:val="000522A6"/>
    <w:rsid w:val="00052E53"/>
    <w:rsid w:val="00056C88"/>
    <w:rsid w:val="00056D1D"/>
    <w:rsid w:val="0006006A"/>
    <w:rsid w:val="0006274B"/>
    <w:rsid w:val="00062A27"/>
    <w:rsid w:val="000646CE"/>
    <w:rsid w:val="00064B6C"/>
    <w:rsid w:val="000654E7"/>
    <w:rsid w:val="00066ABE"/>
    <w:rsid w:val="00070424"/>
    <w:rsid w:val="00071953"/>
    <w:rsid w:val="00072841"/>
    <w:rsid w:val="00072B5E"/>
    <w:rsid w:val="000731FD"/>
    <w:rsid w:val="00073DF0"/>
    <w:rsid w:val="000763CB"/>
    <w:rsid w:val="000767F4"/>
    <w:rsid w:val="00077DD9"/>
    <w:rsid w:val="00077E33"/>
    <w:rsid w:val="00080845"/>
    <w:rsid w:val="00081D1D"/>
    <w:rsid w:val="000839BF"/>
    <w:rsid w:val="00083B9D"/>
    <w:rsid w:val="00084AAD"/>
    <w:rsid w:val="00087477"/>
    <w:rsid w:val="0008758E"/>
    <w:rsid w:val="00087A84"/>
    <w:rsid w:val="000907AA"/>
    <w:rsid w:val="000910B3"/>
    <w:rsid w:val="0009128E"/>
    <w:rsid w:val="0009184C"/>
    <w:rsid w:val="000A0028"/>
    <w:rsid w:val="000A0A3D"/>
    <w:rsid w:val="000A14FB"/>
    <w:rsid w:val="000A26EA"/>
    <w:rsid w:val="000A2B34"/>
    <w:rsid w:val="000A3752"/>
    <w:rsid w:val="000A3B77"/>
    <w:rsid w:val="000A65BD"/>
    <w:rsid w:val="000A6E7F"/>
    <w:rsid w:val="000B10CD"/>
    <w:rsid w:val="000B20A7"/>
    <w:rsid w:val="000B26D7"/>
    <w:rsid w:val="000B2C69"/>
    <w:rsid w:val="000B35D2"/>
    <w:rsid w:val="000B3C9F"/>
    <w:rsid w:val="000B3F1E"/>
    <w:rsid w:val="000B6293"/>
    <w:rsid w:val="000B7164"/>
    <w:rsid w:val="000C09B8"/>
    <w:rsid w:val="000C4776"/>
    <w:rsid w:val="000C622C"/>
    <w:rsid w:val="000C77E8"/>
    <w:rsid w:val="000D04BB"/>
    <w:rsid w:val="000D0E02"/>
    <w:rsid w:val="000D294F"/>
    <w:rsid w:val="000D320E"/>
    <w:rsid w:val="000D7169"/>
    <w:rsid w:val="000E094E"/>
    <w:rsid w:val="000E3606"/>
    <w:rsid w:val="000E3647"/>
    <w:rsid w:val="000E431B"/>
    <w:rsid w:val="000F136E"/>
    <w:rsid w:val="000F413A"/>
    <w:rsid w:val="000F6B3B"/>
    <w:rsid w:val="000F7960"/>
    <w:rsid w:val="001019FA"/>
    <w:rsid w:val="00102F39"/>
    <w:rsid w:val="00105C21"/>
    <w:rsid w:val="00107A6C"/>
    <w:rsid w:val="00110188"/>
    <w:rsid w:val="00111DAD"/>
    <w:rsid w:val="00112B91"/>
    <w:rsid w:val="00117AF4"/>
    <w:rsid w:val="00122959"/>
    <w:rsid w:val="00130604"/>
    <w:rsid w:val="0013233D"/>
    <w:rsid w:val="001345CA"/>
    <w:rsid w:val="00140C45"/>
    <w:rsid w:val="00143A2A"/>
    <w:rsid w:val="00151C72"/>
    <w:rsid w:val="00152957"/>
    <w:rsid w:val="0015397D"/>
    <w:rsid w:val="00154214"/>
    <w:rsid w:val="00154D03"/>
    <w:rsid w:val="00154D55"/>
    <w:rsid w:val="00155424"/>
    <w:rsid w:val="001558ED"/>
    <w:rsid w:val="00155AA7"/>
    <w:rsid w:val="00156835"/>
    <w:rsid w:val="001608A0"/>
    <w:rsid w:val="00162EE5"/>
    <w:rsid w:val="0016496E"/>
    <w:rsid w:val="001651AB"/>
    <w:rsid w:val="00165AAD"/>
    <w:rsid w:val="00170EFC"/>
    <w:rsid w:val="00171C4E"/>
    <w:rsid w:val="00171CAD"/>
    <w:rsid w:val="00175C5B"/>
    <w:rsid w:val="00177EE8"/>
    <w:rsid w:val="00186FC4"/>
    <w:rsid w:val="0019045D"/>
    <w:rsid w:val="001922BC"/>
    <w:rsid w:val="00195136"/>
    <w:rsid w:val="001A02B1"/>
    <w:rsid w:val="001A23AF"/>
    <w:rsid w:val="001A4A20"/>
    <w:rsid w:val="001A6A9E"/>
    <w:rsid w:val="001B01C8"/>
    <w:rsid w:val="001B3B08"/>
    <w:rsid w:val="001B6B9C"/>
    <w:rsid w:val="001B78D0"/>
    <w:rsid w:val="001C08D9"/>
    <w:rsid w:val="001C3F33"/>
    <w:rsid w:val="001C497C"/>
    <w:rsid w:val="001C5EFF"/>
    <w:rsid w:val="001D0D82"/>
    <w:rsid w:val="001D138D"/>
    <w:rsid w:val="001D1CFF"/>
    <w:rsid w:val="001D2833"/>
    <w:rsid w:val="001D687F"/>
    <w:rsid w:val="001E2F55"/>
    <w:rsid w:val="001E646F"/>
    <w:rsid w:val="001F16F3"/>
    <w:rsid w:val="001F40C9"/>
    <w:rsid w:val="001F517B"/>
    <w:rsid w:val="001F5502"/>
    <w:rsid w:val="001F6396"/>
    <w:rsid w:val="001F77CB"/>
    <w:rsid w:val="0020013B"/>
    <w:rsid w:val="002002D8"/>
    <w:rsid w:val="0020121C"/>
    <w:rsid w:val="00204279"/>
    <w:rsid w:val="00204A2F"/>
    <w:rsid w:val="00204E29"/>
    <w:rsid w:val="002133D5"/>
    <w:rsid w:val="00214E2D"/>
    <w:rsid w:val="00215B2E"/>
    <w:rsid w:val="00220371"/>
    <w:rsid w:val="0022080D"/>
    <w:rsid w:val="00221D83"/>
    <w:rsid w:val="00224170"/>
    <w:rsid w:val="002260B2"/>
    <w:rsid w:val="00227646"/>
    <w:rsid w:val="00230B49"/>
    <w:rsid w:val="00230FCD"/>
    <w:rsid w:val="00232395"/>
    <w:rsid w:val="002332DE"/>
    <w:rsid w:val="00234BDD"/>
    <w:rsid w:val="00235F1A"/>
    <w:rsid w:val="00235FF6"/>
    <w:rsid w:val="0023701E"/>
    <w:rsid w:val="0024659A"/>
    <w:rsid w:val="00246E27"/>
    <w:rsid w:val="00246E97"/>
    <w:rsid w:val="0025354E"/>
    <w:rsid w:val="00254345"/>
    <w:rsid w:val="002545E9"/>
    <w:rsid w:val="00255D4A"/>
    <w:rsid w:val="002612F8"/>
    <w:rsid w:val="00263A7C"/>
    <w:rsid w:val="00263B58"/>
    <w:rsid w:val="002641E6"/>
    <w:rsid w:val="002643A2"/>
    <w:rsid w:val="00265241"/>
    <w:rsid w:val="00265D6D"/>
    <w:rsid w:val="002718B3"/>
    <w:rsid w:val="002722EE"/>
    <w:rsid w:val="00272F0C"/>
    <w:rsid w:val="002740D8"/>
    <w:rsid w:val="002753A3"/>
    <w:rsid w:val="00275BA6"/>
    <w:rsid w:val="00280EEA"/>
    <w:rsid w:val="00282899"/>
    <w:rsid w:val="00284C1F"/>
    <w:rsid w:val="00285E2F"/>
    <w:rsid w:val="00286193"/>
    <w:rsid w:val="0028632F"/>
    <w:rsid w:val="002866F7"/>
    <w:rsid w:val="00294AE9"/>
    <w:rsid w:val="00295AE7"/>
    <w:rsid w:val="002A06AA"/>
    <w:rsid w:val="002A153F"/>
    <w:rsid w:val="002B15D9"/>
    <w:rsid w:val="002B1642"/>
    <w:rsid w:val="002B2438"/>
    <w:rsid w:val="002B28C1"/>
    <w:rsid w:val="002B2CEC"/>
    <w:rsid w:val="002B59D9"/>
    <w:rsid w:val="002C0306"/>
    <w:rsid w:val="002C3154"/>
    <w:rsid w:val="002C6B12"/>
    <w:rsid w:val="002C71EB"/>
    <w:rsid w:val="002D45A8"/>
    <w:rsid w:val="002D4DA1"/>
    <w:rsid w:val="002D58B9"/>
    <w:rsid w:val="002D7C8A"/>
    <w:rsid w:val="002E1C96"/>
    <w:rsid w:val="002E2C83"/>
    <w:rsid w:val="002E5631"/>
    <w:rsid w:val="002E5C9F"/>
    <w:rsid w:val="002F3966"/>
    <w:rsid w:val="002F3CF9"/>
    <w:rsid w:val="002F3F16"/>
    <w:rsid w:val="002F5834"/>
    <w:rsid w:val="002F6C15"/>
    <w:rsid w:val="002F6FC8"/>
    <w:rsid w:val="002F79EB"/>
    <w:rsid w:val="00302B9F"/>
    <w:rsid w:val="00303A9A"/>
    <w:rsid w:val="003055F0"/>
    <w:rsid w:val="0031123E"/>
    <w:rsid w:val="0031178B"/>
    <w:rsid w:val="0031212D"/>
    <w:rsid w:val="003229E6"/>
    <w:rsid w:val="00324617"/>
    <w:rsid w:val="00333633"/>
    <w:rsid w:val="0033516E"/>
    <w:rsid w:val="003373FC"/>
    <w:rsid w:val="00337838"/>
    <w:rsid w:val="00337A88"/>
    <w:rsid w:val="00346438"/>
    <w:rsid w:val="00346622"/>
    <w:rsid w:val="00347DB0"/>
    <w:rsid w:val="00352381"/>
    <w:rsid w:val="00355C7C"/>
    <w:rsid w:val="0036152B"/>
    <w:rsid w:val="00361849"/>
    <w:rsid w:val="00362D69"/>
    <w:rsid w:val="003639F5"/>
    <w:rsid w:val="00364F33"/>
    <w:rsid w:val="003672BF"/>
    <w:rsid w:val="00367740"/>
    <w:rsid w:val="00371230"/>
    <w:rsid w:val="0037272A"/>
    <w:rsid w:val="00373A7F"/>
    <w:rsid w:val="0037405C"/>
    <w:rsid w:val="00375A86"/>
    <w:rsid w:val="00376A27"/>
    <w:rsid w:val="00382837"/>
    <w:rsid w:val="00384FAF"/>
    <w:rsid w:val="00385B09"/>
    <w:rsid w:val="00390714"/>
    <w:rsid w:val="0039096A"/>
    <w:rsid w:val="00390DDD"/>
    <w:rsid w:val="003916D1"/>
    <w:rsid w:val="00391A12"/>
    <w:rsid w:val="00395316"/>
    <w:rsid w:val="00396377"/>
    <w:rsid w:val="00397CD0"/>
    <w:rsid w:val="003A0D1D"/>
    <w:rsid w:val="003A2A3F"/>
    <w:rsid w:val="003A5653"/>
    <w:rsid w:val="003A5EE4"/>
    <w:rsid w:val="003A6D5A"/>
    <w:rsid w:val="003A752E"/>
    <w:rsid w:val="003B1722"/>
    <w:rsid w:val="003B1DEE"/>
    <w:rsid w:val="003B397B"/>
    <w:rsid w:val="003B3A59"/>
    <w:rsid w:val="003B3F4F"/>
    <w:rsid w:val="003B5EA5"/>
    <w:rsid w:val="003C311D"/>
    <w:rsid w:val="003C3628"/>
    <w:rsid w:val="003C37AC"/>
    <w:rsid w:val="003C3F31"/>
    <w:rsid w:val="003C40F8"/>
    <w:rsid w:val="003C78D9"/>
    <w:rsid w:val="003C7DDD"/>
    <w:rsid w:val="003D5CC9"/>
    <w:rsid w:val="003D63A7"/>
    <w:rsid w:val="003D7AA3"/>
    <w:rsid w:val="003E3599"/>
    <w:rsid w:val="003E6A54"/>
    <w:rsid w:val="003F072E"/>
    <w:rsid w:val="003F08A5"/>
    <w:rsid w:val="003F1D51"/>
    <w:rsid w:val="003F262E"/>
    <w:rsid w:val="003F34D1"/>
    <w:rsid w:val="003F619B"/>
    <w:rsid w:val="003F7BBB"/>
    <w:rsid w:val="004002A1"/>
    <w:rsid w:val="00403577"/>
    <w:rsid w:val="00403B6A"/>
    <w:rsid w:val="0041174F"/>
    <w:rsid w:val="00412C52"/>
    <w:rsid w:val="004168B8"/>
    <w:rsid w:val="00416BF3"/>
    <w:rsid w:val="0041771C"/>
    <w:rsid w:val="00420644"/>
    <w:rsid w:val="00421B57"/>
    <w:rsid w:val="004220B3"/>
    <w:rsid w:val="00422666"/>
    <w:rsid w:val="0042498E"/>
    <w:rsid w:val="00426C0B"/>
    <w:rsid w:val="004278FD"/>
    <w:rsid w:val="00434582"/>
    <w:rsid w:val="0043715C"/>
    <w:rsid w:val="00440D7A"/>
    <w:rsid w:val="00441B35"/>
    <w:rsid w:val="00441B4E"/>
    <w:rsid w:val="00441CBE"/>
    <w:rsid w:val="00442B65"/>
    <w:rsid w:val="00443303"/>
    <w:rsid w:val="00443A37"/>
    <w:rsid w:val="00444EBC"/>
    <w:rsid w:val="00445601"/>
    <w:rsid w:val="00445A1C"/>
    <w:rsid w:val="00454D01"/>
    <w:rsid w:val="004565ED"/>
    <w:rsid w:val="00462EB6"/>
    <w:rsid w:val="00463534"/>
    <w:rsid w:val="004642F6"/>
    <w:rsid w:val="00474027"/>
    <w:rsid w:val="00476685"/>
    <w:rsid w:val="004768D0"/>
    <w:rsid w:val="00480C41"/>
    <w:rsid w:val="0048140D"/>
    <w:rsid w:val="00481E4D"/>
    <w:rsid w:val="00481E70"/>
    <w:rsid w:val="00484BBB"/>
    <w:rsid w:val="00486253"/>
    <w:rsid w:val="00487856"/>
    <w:rsid w:val="0049127B"/>
    <w:rsid w:val="00491285"/>
    <w:rsid w:val="00493282"/>
    <w:rsid w:val="00493D97"/>
    <w:rsid w:val="00495A51"/>
    <w:rsid w:val="004A19D7"/>
    <w:rsid w:val="004A3B66"/>
    <w:rsid w:val="004A3FF1"/>
    <w:rsid w:val="004A4934"/>
    <w:rsid w:val="004A4D71"/>
    <w:rsid w:val="004A514D"/>
    <w:rsid w:val="004A54DC"/>
    <w:rsid w:val="004A6678"/>
    <w:rsid w:val="004A7A79"/>
    <w:rsid w:val="004B025B"/>
    <w:rsid w:val="004B07B4"/>
    <w:rsid w:val="004B2F4E"/>
    <w:rsid w:val="004B4631"/>
    <w:rsid w:val="004B4D54"/>
    <w:rsid w:val="004B7960"/>
    <w:rsid w:val="004C0028"/>
    <w:rsid w:val="004C2BF7"/>
    <w:rsid w:val="004C574D"/>
    <w:rsid w:val="004C6ED4"/>
    <w:rsid w:val="004C7332"/>
    <w:rsid w:val="004D26C7"/>
    <w:rsid w:val="004D2849"/>
    <w:rsid w:val="004D30E9"/>
    <w:rsid w:val="004D434D"/>
    <w:rsid w:val="004D53EB"/>
    <w:rsid w:val="004D7420"/>
    <w:rsid w:val="004E1F7C"/>
    <w:rsid w:val="004E7256"/>
    <w:rsid w:val="004F010B"/>
    <w:rsid w:val="004F5333"/>
    <w:rsid w:val="00500CBC"/>
    <w:rsid w:val="005027E2"/>
    <w:rsid w:val="0050638C"/>
    <w:rsid w:val="005073B7"/>
    <w:rsid w:val="00507BB9"/>
    <w:rsid w:val="005104C1"/>
    <w:rsid w:val="005230DF"/>
    <w:rsid w:val="00524523"/>
    <w:rsid w:val="00535E10"/>
    <w:rsid w:val="00536AEE"/>
    <w:rsid w:val="00542147"/>
    <w:rsid w:val="005422EA"/>
    <w:rsid w:val="00542B54"/>
    <w:rsid w:val="005455DE"/>
    <w:rsid w:val="005477CB"/>
    <w:rsid w:val="00551034"/>
    <w:rsid w:val="0055126A"/>
    <w:rsid w:val="00551FF7"/>
    <w:rsid w:val="00553BA5"/>
    <w:rsid w:val="00553C82"/>
    <w:rsid w:val="00555A9D"/>
    <w:rsid w:val="0056046E"/>
    <w:rsid w:val="005610F4"/>
    <w:rsid w:val="00562153"/>
    <w:rsid w:val="00562741"/>
    <w:rsid w:val="0056397F"/>
    <w:rsid w:val="005642D5"/>
    <w:rsid w:val="00564339"/>
    <w:rsid w:val="00564D66"/>
    <w:rsid w:val="00565220"/>
    <w:rsid w:val="00567682"/>
    <w:rsid w:val="00570A90"/>
    <w:rsid w:val="00576F7F"/>
    <w:rsid w:val="00583CD2"/>
    <w:rsid w:val="005915E7"/>
    <w:rsid w:val="00591A27"/>
    <w:rsid w:val="005926AA"/>
    <w:rsid w:val="00594BEF"/>
    <w:rsid w:val="00594E5B"/>
    <w:rsid w:val="00596297"/>
    <w:rsid w:val="00596A57"/>
    <w:rsid w:val="00597B3A"/>
    <w:rsid w:val="005A4E2E"/>
    <w:rsid w:val="005A5373"/>
    <w:rsid w:val="005A5F99"/>
    <w:rsid w:val="005A610D"/>
    <w:rsid w:val="005A6AF9"/>
    <w:rsid w:val="005B0A36"/>
    <w:rsid w:val="005B0BE8"/>
    <w:rsid w:val="005B3964"/>
    <w:rsid w:val="005B3AE0"/>
    <w:rsid w:val="005B5580"/>
    <w:rsid w:val="005C003A"/>
    <w:rsid w:val="005C3370"/>
    <w:rsid w:val="005C4E5E"/>
    <w:rsid w:val="005C56C1"/>
    <w:rsid w:val="005C6B0F"/>
    <w:rsid w:val="005D071C"/>
    <w:rsid w:val="005D3831"/>
    <w:rsid w:val="005D55C9"/>
    <w:rsid w:val="005D7509"/>
    <w:rsid w:val="005D7AB7"/>
    <w:rsid w:val="005D7EA2"/>
    <w:rsid w:val="005E09F6"/>
    <w:rsid w:val="005E1F26"/>
    <w:rsid w:val="005E4ADB"/>
    <w:rsid w:val="005E62C8"/>
    <w:rsid w:val="005E65F5"/>
    <w:rsid w:val="005E6F76"/>
    <w:rsid w:val="005F63D3"/>
    <w:rsid w:val="00600C5A"/>
    <w:rsid w:val="00600DFC"/>
    <w:rsid w:val="00601002"/>
    <w:rsid w:val="00601565"/>
    <w:rsid w:val="00603D25"/>
    <w:rsid w:val="00604B83"/>
    <w:rsid w:val="00605DC2"/>
    <w:rsid w:val="00606467"/>
    <w:rsid w:val="00606C98"/>
    <w:rsid w:val="006103A3"/>
    <w:rsid w:val="006121F5"/>
    <w:rsid w:val="0061306C"/>
    <w:rsid w:val="00613A3C"/>
    <w:rsid w:val="00613FA9"/>
    <w:rsid w:val="006160FD"/>
    <w:rsid w:val="00620A26"/>
    <w:rsid w:val="006216F9"/>
    <w:rsid w:val="006262E3"/>
    <w:rsid w:val="00627A77"/>
    <w:rsid w:val="00631C19"/>
    <w:rsid w:val="00631E8D"/>
    <w:rsid w:val="00633E97"/>
    <w:rsid w:val="00634F6A"/>
    <w:rsid w:val="00635743"/>
    <w:rsid w:val="0063632B"/>
    <w:rsid w:val="006365DA"/>
    <w:rsid w:val="00636F97"/>
    <w:rsid w:val="00640195"/>
    <w:rsid w:val="00640720"/>
    <w:rsid w:val="006416E6"/>
    <w:rsid w:val="006418B4"/>
    <w:rsid w:val="00641CAA"/>
    <w:rsid w:val="006439D3"/>
    <w:rsid w:val="00644EA4"/>
    <w:rsid w:val="006454C4"/>
    <w:rsid w:val="00650136"/>
    <w:rsid w:val="00650595"/>
    <w:rsid w:val="00652A26"/>
    <w:rsid w:val="00653187"/>
    <w:rsid w:val="00656B13"/>
    <w:rsid w:val="00656DA4"/>
    <w:rsid w:val="0066136D"/>
    <w:rsid w:val="006633CB"/>
    <w:rsid w:val="00664EA9"/>
    <w:rsid w:val="00666028"/>
    <w:rsid w:val="00666468"/>
    <w:rsid w:val="00667E88"/>
    <w:rsid w:val="0067501C"/>
    <w:rsid w:val="006774B7"/>
    <w:rsid w:val="00681E84"/>
    <w:rsid w:val="00681ECC"/>
    <w:rsid w:val="00692211"/>
    <w:rsid w:val="00695274"/>
    <w:rsid w:val="00695921"/>
    <w:rsid w:val="006A1D99"/>
    <w:rsid w:val="006A1E4D"/>
    <w:rsid w:val="006A2A80"/>
    <w:rsid w:val="006A3C79"/>
    <w:rsid w:val="006A7520"/>
    <w:rsid w:val="006A7E89"/>
    <w:rsid w:val="006A7F86"/>
    <w:rsid w:val="006B507B"/>
    <w:rsid w:val="006B61A2"/>
    <w:rsid w:val="006C0405"/>
    <w:rsid w:val="006C3AAC"/>
    <w:rsid w:val="006C4717"/>
    <w:rsid w:val="006C4DC8"/>
    <w:rsid w:val="006C59CE"/>
    <w:rsid w:val="006C6BB8"/>
    <w:rsid w:val="006D02BF"/>
    <w:rsid w:val="006D09C2"/>
    <w:rsid w:val="006D228B"/>
    <w:rsid w:val="006E093C"/>
    <w:rsid w:val="006E098F"/>
    <w:rsid w:val="006E3C14"/>
    <w:rsid w:val="006E486B"/>
    <w:rsid w:val="006E562A"/>
    <w:rsid w:val="006E6A7F"/>
    <w:rsid w:val="006F0671"/>
    <w:rsid w:val="006F0F0F"/>
    <w:rsid w:val="006F17E6"/>
    <w:rsid w:val="006F1C15"/>
    <w:rsid w:val="006F3123"/>
    <w:rsid w:val="006F45F3"/>
    <w:rsid w:val="006F70B6"/>
    <w:rsid w:val="006F7117"/>
    <w:rsid w:val="006F7A9C"/>
    <w:rsid w:val="00700242"/>
    <w:rsid w:val="00704A21"/>
    <w:rsid w:val="0071028B"/>
    <w:rsid w:val="00713A62"/>
    <w:rsid w:val="00717A9B"/>
    <w:rsid w:val="00720E89"/>
    <w:rsid w:val="007313FE"/>
    <w:rsid w:val="00731A95"/>
    <w:rsid w:val="00731D04"/>
    <w:rsid w:val="0073319A"/>
    <w:rsid w:val="00742A14"/>
    <w:rsid w:val="00750208"/>
    <w:rsid w:val="00751392"/>
    <w:rsid w:val="0075168D"/>
    <w:rsid w:val="00753523"/>
    <w:rsid w:val="00754D13"/>
    <w:rsid w:val="0076266B"/>
    <w:rsid w:val="00762C3C"/>
    <w:rsid w:val="00765EA0"/>
    <w:rsid w:val="00767863"/>
    <w:rsid w:val="007703AA"/>
    <w:rsid w:val="007706B8"/>
    <w:rsid w:val="00770E8F"/>
    <w:rsid w:val="007733C5"/>
    <w:rsid w:val="00773C68"/>
    <w:rsid w:val="00777B7C"/>
    <w:rsid w:val="007817E8"/>
    <w:rsid w:val="0078182B"/>
    <w:rsid w:val="00781E47"/>
    <w:rsid w:val="00782D8F"/>
    <w:rsid w:val="0078598A"/>
    <w:rsid w:val="007869B5"/>
    <w:rsid w:val="00790737"/>
    <w:rsid w:val="00791251"/>
    <w:rsid w:val="007925C5"/>
    <w:rsid w:val="00793185"/>
    <w:rsid w:val="00794F74"/>
    <w:rsid w:val="0079525F"/>
    <w:rsid w:val="00795599"/>
    <w:rsid w:val="00795FC3"/>
    <w:rsid w:val="007A0DA8"/>
    <w:rsid w:val="007A6AB4"/>
    <w:rsid w:val="007A6C10"/>
    <w:rsid w:val="007A6E31"/>
    <w:rsid w:val="007A71A8"/>
    <w:rsid w:val="007A7FFA"/>
    <w:rsid w:val="007B01AB"/>
    <w:rsid w:val="007B2291"/>
    <w:rsid w:val="007B3D4A"/>
    <w:rsid w:val="007B6742"/>
    <w:rsid w:val="007B7F16"/>
    <w:rsid w:val="007C20A9"/>
    <w:rsid w:val="007C2DF8"/>
    <w:rsid w:val="007C4C57"/>
    <w:rsid w:val="007C6C5F"/>
    <w:rsid w:val="007D026C"/>
    <w:rsid w:val="007D026D"/>
    <w:rsid w:val="007D043B"/>
    <w:rsid w:val="007D3797"/>
    <w:rsid w:val="007D4082"/>
    <w:rsid w:val="007D63F4"/>
    <w:rsid w:val="007E0115"/>
    <w:rsid w:val="007E0D83"/>
    <w:rsid w:val="007E0E8C"/>
    <w:rsid w:val="007E2DA4"/>
    <w:rsid w:val="007E4B16"/>
    <w:rsid w:val="007E6EFD"/>
    <w:rsid w:val="007F0D2B"/>
    <w:rsid w:val="007F1F04"/>
    <w:rsid w:val="007F2D91"/>
    <w:rsid w:val="007F6755"/>
    <w:rsid w:val="007F6CCB"/>
    <w:rsid w:val="007F7A08"/>
    <w:rsid w:val="007F7A4D"/>
    <w:rsid w:val="0080291C"/>
    <w:rsid w:val="008034AF"/>
    <w:rsid w:val="0080390E"/>
    <w:rsid w:val="00805B89"/>
    <w:rsid w:val="00806902"/>
    <w:rsid w:val="00807162"/>
    <w:rsid w:val="008077E2"/>
    <w:rsid w:val="0081638D"/>
    <w:rsid w:val="0082024F"/>
    <w:rsid w:val="00820929"/>
    <w:rsid w:val="0082141B"/>
    <w:rsid w:val="008220B9"/>
    <w:rsid w:val="00823281"/>
    <w:rsid w:val="008245C0"/>
    <w:rsid w:val="00825A71"/>
    <w:rsid w:val="00826E56"/>
    <w:rsid w:val="0083125C"/>
    <w:rsid w:val="00831729"/>
    <w:rsid w:val="008335C0"/>
    <w:rsid w:val="00835353"/>
    <w:rsid w:val="008371F5"/>
    <w:rsid w:val="00841571"/>
    <w:rsid w:val="00842DFF"/>
    <w:rsid w:val="00843915"/>
    <w:rsid w:val="00843977"/>
    <w:rsid w:val="0084769E"/>
    <w:rsid w:val="00850B2E"/>
    <w:rsid w:val="00854659"/>
    <w:rsid w:val="00855BEC"/>
    <w:rsid w:val="00857754"/>
    <w:rsid w:val="00857B48"/>
    <w:rsid w:val="008617EE"/>
    <w:rsid w:val="00861BAE"/>
    <w:rsid w:val="00861FB0"/>
    <w:rsid w:val="008653D6"/>
    <w:rsid w:val="00866A4A"/>
    <w:rsid w:val="00866D0C"/>
    <w:rsid w:val="00870060"/>
    <w:rsid w:val="00874B4B"/>
    <w:rsid w:val="00875863"/>
    <w:rsid w:val="008803A6"/>
    <w:rsid w:val="00881F0C"/>
    <w:rsid w:val="00881FEB"/>
    <w:rsid w:val="00882B75"/>
    <w:rsid w:val="0088602A"/>
    <w:rsid w:val="0088695B"/>
    <w:rsid w:val="0089280D"/>
    <w:rsid w:val="00892E82"/>
    <w:rsid w:val="00895880"/>
    <w:rsid w:val="00896DCC"/>
    <w:rsid w:val="008A2318"/>
    <w:rsid w:val="008A4D76"/>
    <w:rsid w:val="008A5E38"/>
    <w:rsid w:val="008A73E6"/>
    <w:rsid w:val="008B26BB"/>
    <w:rsid w:val="008B2CC1"/>
    <w:rsid w:val="008C04DA"/>
    <w:rsid w:val="008C0813"/>
    <w:rsid w:val="008C2E4F"/>
    <w:rsid w:val="008C38F6"/>
    <w:rsid w:val="008C54E6"/>
    <w:rsid w:val="008C60C6"/>
    <w:rsid w:val="008E2495"/>
    <w:rsid w:val="008E2F7B"/>
    <w:rsid w:val="008E34C7"/>
    <w:rsid w:val="008E41C1"/>
    <w:rsid w:val="008E4E66"/>
    <w:rsid w:val="008E5F88"/>
    <w:rsid w:val="008E6FB3"/>
    <w:rsid w:val="008E7501"/>
    <w:rsid w:val="008F08ED"/>
    <w:rsid w:val="008F1561"/>
    <w:rsid w:val="008F2117"/>
    <w:rsid w:val="008F2591"/>
    <w:rsid w:val="008F4CF4"/>
    <w:rsid w:val="00901CB2"/>
    <w:rsid w:val="00906A9F"/>
    <w:rsid w:val="009169B9"/>
    <w:rsid w:val="00917349"/>
    <w:rsid w:val="00917898"/>
    <w:rsid w:val="009204EF"/>
    <w:rsid w:val="00920DFA"/>
    <w:rsid w:val="00920EEA"/>
    <w:rsid w:val="00922279"/>
    <w:rsid w:val="0092351A"/>
    <w:rsid w:val="0092469F"/>
    <w:rsid w:val="00924937"/>
    <w:rsid w:val="00926371"/>
    <w:rsid w:val="00926FB7"/>
    <w:rsid w:val="009331C1"/>
    <w:rsid w:val="00933242"/>
    <w:rsid w:val="00934BA6"/>
    <w:rsid w:val="009363D4"/>
    <w:rsid w:val="00940AF0"/>
    <w:rsid w:val="00953C38"/>
    <w:rsid w:val="00953E43"/>
    <w:rsid w:val="00954803"/>
    <w:rsid w:val="0095593A"/>
    <w:rsid w:val="00955AAC"/>
    <w:rsid w:val="009576E9"/>
    <w:rsid w:val="009676D6"/>
    <w:rsid w:val="009708A5"/>
    <w:rsid w:val="009719F7"/>
    <w:rsid w:val="00972BA3"/>
    <w:rsid w:val="0097314A"/>
    <w:rsid w:val="00974ACB"/>
    <w:rsid w:val="00977173"/>
    <w:rsid w:val="00981275"/>
    <w:rsid w:val="009827D1"/>
    <w:rsid w:val="00982CA0"/>
    <w:rsid w:val="00992CAD"/>
    <w:rsid w:val="00993785"/>
    <w:rsid w:val="00993ED6"/>
    <w:rsid w:val="00994AB5"/>
    <w:rsid w:val="009952C2"/>
    <w:rsid w:val="009971AF"/>
    <w:rsid w:val="00997BD4"/>
    <w:rsid w:val="009A259A"/>
    <w:rsid w:val="009A36A7"/>
    <w:rsid w:val="009A6124"/>
    <w:rsid w:val="009B008F"/>
    <w:rsid w:val="009B0B2D"/>
    <w:rsid w:val="009B41FA"/>
    <w:rsid w:val="009B6543"/>
    <w:rsid w:val="009B71F4"/>
    <w:rsid w:val="009B7A47"/>
    <w:rsid w:val="009B7AAC"/>
    <w:rsid w:val="009B7BE5"/>
    <w:rsid w:val="009C01CF"/>
    <w:rsid w:val="009C19CE"/>
    <w:rsid w:val="009C22F0"/>
    <w:rsid w:val="009C2E5A"/>
    <w:rsid w:val="009C38BC"/>
    <w:rsid w:val="009C3C35"/>
    <w:rsid w:val="009C4BC8"/>
    <w:rsid w:val="009C5671"/>
    <w:rsid w:val="009C65D4"/>
    <w:rsid w:val="009C6FA9"/>
    <w:rsid w:val="009D062E"/>
    <w:rsid w:val="009D1BC0"/>
    <w:rsid w:val="009D3E69"/>
    <w:rsid w:val="009D584E"/>
    <w:rsid w:val="009E0019"/>
    <w:rsid w:val="009E03BC"/>
    <w:rsid w:val="009E0CAD"/>
    <w:rsid w:val="009E2152"/>
    <w:rsid w:val="009E2D64"/>
    <w:rsid w:val="009F01FE"/>
    <w:rsid w:val="009F0C37"/>
    <w:rsid w:val="009F2D64"/>
    <w:rsid w:val="009F4376"/>
    <w:rsid w:val="009F594F"/>
    <w:rsid w:val="009F6A15"/>
    <w:rsid w:val="009F6D57"/>
    <w:rsid w:val="00A02460"/>
    <w:rsid w:val="00A10EFC"/>
    <w:rsid w:val="00A13FCE"/>
    <w:rsid w:val="00A14777"/>
    <w:rsid w:val="00A14A0E"/>
    <w:rsid w:val="00A25188"/>
    <w:rsid w:val="00A2584E"/>
    <w:rsid w:val="00A27BE4"/>
    <w:rsid w:val="00A3157E"/>
    <w:rsid w:val="00A31D0F"/>
    <w:rsid w:val="00A32E17"/>
    <w:rsid w:val="00A37D67"/>
    <w:rsid w:val="00A40A5E"/>
    <w:rsid w:val="00A41384"/>
    <w:rsid w:val="00A442CF"/>
    <w:rsid w:val="00A45A82"/>
    <w:rsid w:val="00A51D13"/>
    <w:rsid w:val="00A54626"/>
    <w:rsid w:val="00A56C3A"/>
    <w:rsid w:val="00A573A9"/>
    <w:rsid w:val="00A57FDD"/>
    <w:rsid w:val="00A61F09"/>
    <w:rsid w:val="00A62C2C"/>
    <w:rsid w:val="00A635A1"/>
    <w:rsid w:val="00A655C1"/>
    <w:rsid w:val="00A66E4B"/>
    <w:rsid w:val="00A66F71"/>
    <w:rsid w:val="00A67256"/>
    <w:rsid w:val="00A6752C"/>
    <w:rsid w:val="00A7012E"/>
    <w:rsid w:val="00A730EC"/>
    <w:rsid w:val="00A73A67"/>
    <w:rsid w:val="00A76F6A"/>
    <w:rsid w:val="00A77136"/>
    <w:rsid w:val="00A77B38"/>
    <w:rsid w:val="00A94114"/>
    <w:rsid w:val="00A944FA"/>
    <w:rsid w:val="00AA06BE"/>
    <w:rsid w:val="00AA1976"/>
    <w:rsid w:val="00AA30D4"/>
    <w:rsid w:val="00AA3711"/>
    <w:rsid w:val="00AA4A3C"/>
    <w:rsid w:val="00AB0058"/>
    <w:rsid w:val="00AB11E6"/>
    <w:rsid w:val="00AB31DB"/>
    <w:rsid w:val="00AB4EB5"/>
    <w:rsid w:val="00AB5046"/>
    <w:rsid w:val="00AB6585"/>
    <w:rsid w:val="00AB6D78"/>
    <w:rsid w:val="00AB77D9"/>
    <w:rsid w:val="00AC022F"/>
    <w:rsid w:val="00AC4EAC"/>
    <w:rsid w:val="00AC5C38"/>
    <w:rsid w:val="00AC6540"/>
    <w:rsid w:val="00AD0169"/>
    <w:rsid w:val="00AD0B30"/>
    <w:rsid w:val="00AD1533"/>
    <w:rsid w:val="00AD219F"/>
    <w:rsid w:val="00AD5D0D"/>
    <w:rsid w:val="00AD7672"/>
    <w:rsid w:val="00AE24B4"/>
    <w:rsid w:val="00AE32E4"/>
    <w:rsid w:val="00AE6474"/>
    <w:rsid w:val="00AE6D97"/>
    <w:rsid w:val="00AF0D09"/>
    <w:rsid w:val="00AF49A9"/>
    <w:rsid w:val="00B00CFA"/>
    <w:rsid w:val="00B026AC"/>
    <w:rsid w:val="00B04780"/>
    <w:rsid w:val="00B07739"/>
    <w:rsid w:val="00B10713"/>
    <w:rsid w:val="00B10E0A"/>
    <w:rsid w:val="00B153F5"/>
    <w:rsid w:val="00B16EA9"/>
    <w:rsid w:val="00B17A40"/>
    <w:rsid w:val="00B2012D"/>
    <w:rsid w:val="00B20D06"/>
    <w:rsid w:val="00B20F9E"/>
    <w:rsid w:val="00B25792"/>
    <w:rsid w:val="00B2741C"/>
    <w:rsid w:val="00B300CC"/>
    <w:rsid w:val="00B315B5"/>
    <w:rsid w:val="00B33A3E"/>
    <w:rsid w:val="00B37097"/>
    <w:rsid w:val="00B377E6"/>
    <w:rsid w:val="00B40CF6"/>
    <w:rsid w:val="00B41C0F"/>
    <w:rsid w:val="00B44BEA"/>
    <w:rsid w:val="00B44EE4"/>
    <w:rsid w:val="00B465D8"/>
    <w:rsid w:val="00B511FE"/>
    <w:rsid w:val="00B52C42"/>
    <w:rsid w:val="00B54358"/>
    <w:rsid w:val="00B56886"/>
    <w:rsid w:val="00B630DE"/>
    <w:rsid w:val="00B6436F"/>
    <w:rsid w:val="00B669CA"/>
    <w:rsid w:val="00B71D45"/>
    <w:rsid w:val="00B73D60"/>
    <w:rsid w:val="00B80C92"/>
    <w:rsid w:val="00B82F91"/>
    <w:rsid w:val="00B84E4E"/>
    <w:rsid w:val="00B85392"/>
    <w:rsid w:val="00B859B8"/>
    <w:rsid w:val="00B91E6B"/>
    <w:rsid w:val="00B95257"/>
    <w:rsid w:val="00BA17D3"/>
    <w:rsid w:val="00BA4FB4"/>
    <w:rsid w:val="00BA6A55"/>
    <w:rsid w:val="00BA7171"/>
    <w:rsid w:val="00BA7312"/>
    <w:rsid w:val="00BB21CD"/>
    <w:rsid w:val="00BB2E84"/>
    <w:rsid w:val="00BB39B5"/>
    <w:rsid w:val="00BB53C1"/>
    <w:rsid w:val="00BB5765"/>
    <w:rsid w:val="00BB7235"/>
    <w:rsid w:val="00BB7EEC"/>
    <w:rsid w:val="00BC237E"/>
    <w:rsid w:val="00BC2836"/>
    <w:rsid w:val="00BC48E8"/>
    <w:rsid w:val="00BD183A"/>
    <w:rsid w:val="00BD3A2C"/>
    <w:rsid w:val="00BD4A29"/>
    <w:rsid w:val="00BD52F8"/>
    <w:rsid w:val="00BD66F7"/>
    <w:rsid w:val="00BD6A91"/>
    <w:rsid w:val="00BE2FAF"/>
    <w:rsid w:val="00BE37A7"/>
    <w:rsid w:val="00BE64DB"/>
    <w:rsid w:val="00BF0435"/>
    <w:rsid w:val="00BF4058"/>
    <w:rsid w:val="00BF434D"/>
    <w:rsid w:val="00BF4EE0"/>
    <w:rsid w:val="00C00E03"/>
    <w:rsid w:val="00C022BF"/>
    <w:rsid w:val="00C02EC4"/>
    <w:rsid w:val="00C04CB0"/>
    <w:rsid w:val="00C06D0C"/>
    <w:rsid w:val="00C071CF"/>
    <w:rsid w:val="00C074BB"/>
    <w:rsid w:val="00C15E96"/>
    <w:rsid w:val="00C20CE0"/>
    <w:rsid w:val="00C21412"/>
    <w:rsid w:val="00C22BC7"/>
    <w:rsid w:val="00C22D2C"/>
    <w:rsid w:val="00C23632"/>
    <w:rsid w:val="00C23D14"/>
    <w:rsid w:val="00C245B0"/>
    <w:rsid w:val="00C246BE"/>
    <w:rsid w:val="00C253BB"/>
    <w:rsid w:val="00C27333"/>
    <w:rsid w:val="00C317DE"/>
    <w:rsid w:val="00C3230E"/>
    <w:rsid w:val="00C32DAD"/>
    <w:rsid w:val="00C32DF4"/>
    <w:rsid w:val="00C33079"/>
    <w:rsid w:val="00C34385"/>
    <w:rsid w:val="00C34A73"/>
    <w:rsid w:val="00C34B1F"/>
    <w:rsid w:val="00C34CBE"/>
    <w:rsid w:val="00C3532A"/>
    <w:rsid w:val="00C36B6B"/>
    <w:rsid w:val="00C408AC"/>
    <w:rsid w:val="00C414C0"/>
    <w:rsid w:val="00C416E1"/>
    <w:rsid w:val="00C43636"/>
    <w:rsid w:val="00C457FD"/>
    <w:rsid w:val="00C47D45"/>
    <w:rsid w:val="00C50FBA"/>
    <w:rsid w:val="00C51376"/>
    <w:rsid w:val="00C51792"/>
    <w:rsid w:val="00C55EEA"/>
    <w:rsid w:val="00C61036"/>
    <w:rsid w:val="00C6383B"/>
    <w:rsid w:val="00C64193"/>
    <w:rsid w:val="00C65982"/>
    <w:rsid w:val="00C660F1"/>
    <w:rsid w:val="00C661A4"/>
    <w:rsid w:val="00C713FC"/>
    <w:rsid w:val="00C71D22"/>
    <w:rsid w:val="00C71E2C"/>
    <w:rsid w:val="00C73EB1"/>
    <w:rsid w:val="00C7456A"/>
    <w:rsid w:val="00C74B69"/>
    <w:rsid w:val="00C74EAE"/>
    <w:rsid w:val="00C762F7"/>
    <w:rsid w:val="00C76EEE"/>
    <w:rsid w:val="00C8003B"/>
    <w:rsid w:val="00C81582"/>
    <w:rsid w:val="00C81A75"/>
    <w:rsid w:val="00C82D9F"/>
    <w:rsid w:val="00C8389B"/>
    <w:rsid w:val="00C83CBC"/>
    <w:rsid w:val="00C85701"/>
    <w:rsid w:val="00C87AEE"/>
    <w:rsid w:val="00C907E8"/>
    <w:rsid w:val="00C91859"/>
    <w:rsid w:val="00C925DC"/>
    <w:rsid w:val="00C939D0"/>
    <w:rsid w:val="00C973C9"/>
    <w:rsid w:val="00CA0108"/>
    <w:rsid w:val="00CA1F78"/>
    <w:rsid w:val="00CA4B94"/>
    <w:rsid w:val="00CA58CA"/>
    <w:rsid w:val="00CA5A84"/>
    <w:rsid w:val="00CB1064"/>
    <w:rsid w:val="00CB36FC"/>
    <w:rsid w:val="00CB4005"/>
    <w:rsid w:val="00CB44D7"/>
    <w:rsid w:val="00CB6C8D"/>
    <w:rsid w:val="00CB7AE9"/>
    <w:rsid w:val="00CC3C35"/>
    <w:rsid w:val="00CC3CD4"/>
    <w:rsid w:val="00CC5049"/>
    <w:rsid w:val="00CC5131"/>
    <w:rsid w:val="00CC6ADB"/>
    <w:rsid w:val="00CD44FA"/>
    <w:rsid w:val="00CD53F2"/>
    <w:rsid w:val="00CD5408"/>
    <w:rsid w:val="00CD5855"/>
    <w:rsid w:val="00CD59B3"/>
    <w:rsid w:val="00CD6768"/>
    <w:rsid w:val="00CD7456"/>
    <w:rsid w:val="00CE0BD7"/>
    <w:rsid w:val="00CE4BEA"/>
    <w:rsid w:val="00CE6B00"/>
    <w:rsid w:val="00CE73A7"/>
    <w:rsid w:val="00CF162C"/>
    <w:rsid w:val="00CF5599"/>
    <w:rsid w:val="00D01C61"/>
    <w:rsid w:val="00D02FB0"/>
    <w:rsid w:val="00D0563D"/>
    <w:rsid w:val="00D06E53"/>
    <w:rsid w:val="00D15313"/>
    <w:rsid w:val="00D24898"/>
    <w:rsid w:val="00D30CDC"/>
    <w:rsid w:val="00D3524A"/>
    <w:rsid w:val="00D36447"/>
    <w:rsid w:val="00D46354"/>
    <w:rsid w:val="00D4792D"/>
    <w:rsid w:val="00D47C45"/>
    <w:rsid w:val="00D500CC"/>
    <w:rsid w:val="00D56F1C"/>
    <w:rsid w:val="00D57DE3"/>
    <w:rsid w:val="00D6294F"/>
    <w:rsid w:val="00D678EA"/>
    <w:rsid w:val="00D70129"/>
    <w:rsid w:val="00D70E33"/>
    <w:rsid w:val="00D73A45"/>
    <w:rsid w:val="00D749CB"/>
    <w:rsid w:val="00D74A24"/>
    <w:rsid w:val="00D76857"/>
    <w:rsid w:val="00D76E4A"/>
    <w:rsid w:val="00D76F81"/>
    <w:rsid w:val="00D7791D"/>
    <w:rsid w:val="00D8144E"/>
    <w:rsid w:val="00D81BF8"/>
    <w:rsid w:val="00D852D9"/>
    <w:rsid w:val="00D907B3"/>
    <w:rsid w:val="00D91C9C"/>
    <w:rsid w:val="00D92908"/>
    <w:rsid w:val="00D929B6"/>
    <w:rsid w:val="00D94352"/>
    <w:rsid w:val="00DA050B"/>
    <w:rsid w:val="00DB0012"/>
    <w:rsid w:val="00DB0DD5"/>
    <w:rsid w:val="00DB2D61"/>
    <w:rsid w:val="00DB48C9"/>
    <w:rsid w:val="00DB555C"/>
    <w:rsid w:val="00DB5705"/>
    <w:rsid w:val="00DC0433"/>
    <w:rsid w:val="00DC66C8"/>
    <w:rsid w:val="00DC7566"/>
    <w:rsid w:val="00DD05CC"/>
    <w:rsid w:val="00DD336D"/>
    <w:rsid w:val="00DD48B3"/>
    <w:rsid w:val="00DE23D1"/>
    <w:rsid w:val="00DE2BF6"/>
    <w:rsid w:val="00DE581E"/>
    <w:rsid w:val="00DE63F7"/>
    <w:rsid w:val="00DE6B9A"/>
    <w:rsid w:val="00DF481A"/>
    <w:rsid w:val="00DF5977"/>
    <w:rsid w:val="00DF790A"/>
    <w:rsid w:val="00E00FA6"/>
    <w:rsid w:val="00E0580E"/>
    <w:rsid w:val="00E161D8"/>
    <w:rsid w:val="00E163D8"/>
    <w:rsid w:val="00E1725D"/>
    <w:rsid w:val="00E22980"/>
    <w:rsid w:val="00E24EA0"/>
    <w:rsid w:val="00E2793C"/>
    <w:rsid w:val="00E31169"/>
    <w:rsid w:val="00E32919"/>
    <w:rsid w:val="00E34E16"/>
    <w:rsid w:val="00E37A7E"/>
    <w:rsid w:val="00E37D26"/>
    <w:rsid w:val="00E4064F"/>
    <w:rsid w:val="00E41178"/>
    <w:rsid w:val="00E45684"/>
    <w:rsid w:val="00E47728"/>
    <w:rsid w:val="00E512EA"/>
    <w:rsid w:val="00E531B4"/>
    <w:rsid w:val="00E53EFE"/>
    <w:rsid w:val="00E54067"/>
    <w:rsid w:val="00E57C7D"/>
    <w:rsid w:val="00E64275"/>
    <w:rsid w:val="00E64308"/>
    <w:rsid w:val="00E6453A"/>
    <w:rsid w:val="00E6488C"/>
    <w:rsid w:val="00E64B91"/>
    <w:rsid w:val="00E65613"/>
    <w:rsid w:val="00E656E5"/>
    <w:rsid w:val="00E7102A"/>
    <w:rsid w:val="00E726E8"/>
    <w:rsid w:val="00E72F54"/>
    <w:rsid w:val="00E72FA3"/>
    <w:rsid w:val="00E746B3"/>
    <w:rsid w:val="00E75A57"/>
    <w:rsid w:val="00E77101"/>
    <w:rsid w:val="00E879F6"/>
    <w:rsid w:val="00E90A2F"/>
    <w:rsid w:val="00E93390"/>
    <w:rsid w:val="00E9647D"/>
    <w:rsid w:val="00EA1816"/>
    <w:rsid w:val="00EA1DFE"/>
    <w:rsid w:val="00EA3C3D"/>
    <w:rsid w:val="00EA43AF"/>
    <w:rsid w:val="00EA5491"/>
    <w:rsid w:val="00EA62F1"/>
    <w:rsid w:val="00EA697B"/>
    <w:rsid w:val="00EB0F9E"/>
    <w:rsid w:val="00EB183E"/>
    <w:rsid w:val="00EB4A13"/>
    <w:rsid w:val="00EB5155"/>
    <w:rsid w:val="00EB59DD"/>
    <w:rsid w:val="00EC0B9D"/>
    <w:rsid w:val="00EC374E"/>
    <w:rsid w:val="00EC5C48"/>
    <w:rsid w:val="00ED1544"/>
    <w:rsid w:val="00ED4952"/>
    <w:rsid w:val="00ED536B"/>
    <w:rsid w:val="00ED56F7"/>
    <w:rsid w:val="00ED734B"/>
    <w:rsid w:val="00EE14F2"/>
    <w:rsid w:val="00EE19CE"/>
    <w:rsid w:val="00EE40DF"/>
    <w:rsid w:val="00EE4249"/>
    <w:rsid w:val="00EF743D"/>
    <w:rsid w:val="00F011F8"/>
    <w:rsid w:val="00F02A05"/>
    <w:rsid w:val="00F02FF5"/>
    <w:rsid w:val="00F03121"/>
    <w:rsid w:val="00F0365B"/>
    <w:rsid w:val="00F040DE"/>
    <w:rsid w:val="00F047B0"/>
    <w:rsid w:val="00F069EC"/>
    <w:rsid w:val="00F06F36"/>
    <w:rsid w:val="00F07635"/>
    <w:rsid w:val="00F13277"/>
    <w:rsid w:val="00F15491"/>
    <w:rsid w:val="00F21656"/>
    <w:rsid w:val="00F229D2"/>
    <w:rsid w:val="00F3009A"/>
    <w:rsid w:val="00F30B80"/>
    <w:rsid w:val="00F32B4E"/>
    <w:rsid w:val="00F32F8C"/>
    <w:rsid w:val="00F33723"/>
    <w:rsid w:val="00F3670F"/>
    <w:rsid w:val="00F405DC"/>
    <w:rsid w:val="00F413B0"/>
    <w:rsid w:val="00F4450D"/>
    <w:rsid w:val="00F47419"/>
    <w:rsid w:val="00F50461"/>
    <w:rsid w:val="00F50619"/>
    <w:rsid w:val="00F5088B"/>
    <w:rsid w:val="00F510FF"/>
    <w:rsid w:val="00F51B6C"/>
    <w:rsid w:val="00F524CE"/>
    <w:rsid w:val="00F528B6"/>
    <w:rsid w:val="00F529CD"/>
    <w:rsid w:val="00F52FD8"/>
    <w:rsid w:val="00F53501"/>
    <w:rsid w:val="00F53841"/>
    <w:rsid w:val="00F54171"/>
    <w:rsid w:val="00F54B6F"/>
    <w:rsid w:val="00F63274"/>
    <w:rsid w:val="00F63DD6"/>
    <w:rsid w:val="00F6565A"/>
    <w:rsid w:val="00F67C28"/>
    <w:rsid w:val="00F67C8D"/>
    <w:rsid w:val="00F7184C"/>
    <w:rsid w:val="00F7452D"/>
    <w:rsid w:val="00F74C43"/>
    <w:rsid w:val="00F756BD"/>
    <w:rsid w:val="00F75ADA"/>
    <w:rsid w:val="00F76F4C"/>
    <w:rsid w:val="00F8608D"/>
    <w:rsid w:val="00F87CBB"/>
    <w:rsid w:val="00F90740"/>
    <w:rsid w:val="00F90D19"/>
    <w:rsid w:val="00F91CD1"/>
    <w:rsid w:val="00F92D2D"/>
    <w:rsid w:val="00F9717C"/>
    <w:rsid w:val="00F97E91"/>
    <w:rsid w:val="00FA4FF3"/>
    <w:rsid w:val="00FA6FDF"/>
    <w:rsid w:val="00FA746A"/>
    <w:rsid w:val="00FA761D"/>
    <w:rsid w:val="00FA7780"/>
    <w:rsid w:val="00FB1594"/>
    <w:rsid w:val="00FB5334"/>
    <w:rsid w:val="00FB683C"/>
    <w:rsid w:val="00FC6E4F"/>
    <w:rsid w:val="00FC7108"/>
    <w:rsid w:val="00FC79B2"/>
    <w:rsid w:val="00FD3509"/>
    <w:rsid w:val="00FD3D2B"/>
    <w:rsid w:val="00FD44C0"/>
    <w:rsid w:val="00FD584E"/>
    <w:rsid w:val="00FD640D"/>
    <w:rsid w:val="00FD6946"/>
    <w:rsid w:val="00FE01FA"/>
    <w:rsid w:val="00FE17AE"/>
    <w:rsid w:val="00FE1962"/>
    <w:rsid w:val="00FE3189"/>
    <w:rsid w:val="00FE5182"/>
    <w:rsid w:val="00FE539F"/>
    <w:rsid w:val="00FF1171"/>
    <w:rsid w:val="00FF196B"/>
    <w:rsid w:val="00FF2D49"/>
    <w:rsid w:val="00FF3F29"/>
    <w:rsid w:val="00FF5D71"/>
    <w:rsid w:val="00FF5EF8"/>
    <w:rsid w:val="03ECF612"/>
    <w:rsid w:val="0413D604"/>
    <w:rsid w:val="0424C164"/>
    <w:rsid w:val="063BA1B1"/>
    <w:rsid w:val="06E9D63D"/>
    <w:rsid w:val="085FE37D"/>
    <w:rsid w:val="097F59C1"/>
    <w:rsid w:val="0A34B4C8"/>
    <w:rsid w:val="0A5FAB3B"/>
    <w:rsid w:val="0B42B02E"/>
    <w:rsid w:val="0B814E29"/>
    <w:rsid w:val="0C7CF620"/>
    <w:rsid w:val="0D4F0CB3"/>
    <w:rsid w:val="0D6D669B"/>
    <w:rsid w:val="0E40B4B1"/>
    <w:rsid w:val="0E7EB1A6"/>
    <w:rsid w:val="0FB3FF6A"/>
    <w:rsid w:val="100F76E1"/>
    <w:rsid w:val="110FC47E"/>
    <w:rsid w:val="1141A4FE"/>
    <w:rsid w:val="115982BE"/>
    <w:rsid w:val="119F376A"/>
    <w:rsid w:val="12F7241F"/>
    <w:rsid w:val="13B48420"/>
    <w:rsid w:val="148E873E"/>
    <w:rsid w:val="16745ACF"/>
    <w:rsid w:val="176DC093"/>
    <w:rsid w:val="17B13B0F"/>
    <w:rsid w:val="18CB90EC"/>
    <w:rsid w:val="19CEF4A4"/>
    <w:rsid w:val="19DD68D7"/>
    <w:rsid w:val="1A598075"/>
    <w:rsid w:val="1BA96D98"/>
    <w:rsid w:val="1BF287D4"/>
    <w:rsid w:val="1C0293BB"/>
    <w:rsid w:val="1CB28EAF"/>
    <w:rsid w:val="1D042CEE"/>
    <w:rsid w:val="1D56DD77"/>
    <w:rsid w:val="1DD885B4"/>
    <w:rsid w:val="1F0CE978"/>
    <w:rsid w:val="1F3F738F"/>
    <w:rsid w:val="1F6C2A2D"/>
    <w:rsid w:val="1FBA1652"/>
    <w:rsid w:val="20EB6E95"/>
    <w:rsid w:val="2141B77F"/>
    <w:rsid w:val="223C4F9D"/>
    <w:rsid w:val="23DF7511"/>
    <w:rsid w:val="24817F24"/>
    <w:rsid w:val="25863626"/>
    <w:rsid w:val="25CE498F"/>
    <w:rsid w:val="2605E609"/>
    <w:rsid w:val="2664D62A"/>
    <w:rsid w:val="27AAA796"/>
    <w:rsid w:val="27FAC569"/>
    <w:rsid w:val="2817F46D"/>
    <w:rsid w:val="28E01AA4"/>
    <w:rsid w:val="28E8B5CB"/>
    <w:rsid w:val="2A3684D7"/>
    <w:rsid w:val="2B65D4C0"/>
    <w:rsid w:val="2BBDFCEC"/>
    <w:rsid w:val="2BD4BDB0"/>
    <w:rsid w:val="2C360DC7"/>
    <w:rsid w:val="2D023C99"/>
    <w:rsid w:val="2D5E1F32"/>
    <w:rsid w:val="2E7E2E89"/>
    <w:rsid w:val="2E843D77"/>
    <w:rsid w:val="315AA557"/>
    <w:rsid w:val="31CE408A"/>
    <w:rsid w:val="3222EA4C"/>
    <w:rsid w:val="325E22B5"/>
    <w:rsid w:val="32841CA0"/>
    <w:rsid w:val="3344413E"/>
    <w:rsid w:val="3388FAC4"/>
    <w:rsid w:val="355634F0"/>
    <w:rsid w:val="35B330DD"/>
    <w:rsid w:val="35D74D3C"/>
    <w:rsid w:val="36493A26"/>
    <w:rsid w:val="381B9940"/>
    <w:rsid w:val="390EEDFE"/>
    <w:rsid w:val="3B68FED2"/>
    <w:rsid w:val="3BD492C8"/>
    <w:rsid w:val="3D00915B"/>
    <w:rsid w:val="3D1982C7"/>
    <w:rsid w:val="3D3668CF"/>
    <w:rsid w:val="3D5E9FA5"/>
    <w:rsid w:val="3E67D419"/>
    <w:rsid w:val="3E925193"/>
    <w:rsid w:val="3E9FA375"/>
    <w:rsid w:val="40C45182"/>
    <w:rsid w:val="41BCF678"/>
    <w:rsid w:val="41C1DB7B"/>
    <w:rsid w:val="4255C8C3"/>
    <w:rsid w:val="42CCB97F"/>
    <w:rsid w:val="4381384A"/>
    <w:rsid w:val="44E554A1"/>
    <w:rsid w:val="44F3551F"/>
    <w:rsid w:val="450AA301"/>
    <w:rsid w:val="4587B1A6"/>
    <w:rsid w:val="48390C9B"/>
    <w:rsid w:val="48E5EC5E"/>
    <w:rsid w:val="491979C2"/>
    <w:rsid w:val="492D8E44"/>
    <w:rsid w:val="4942680A"/>
    <w:rsid w:val="4A6523CE"/>
    <w:rsid w:val="4A95C8D2"/>
    <w:rsid w:val="4AE9604A"/>
    <w:rsid w:val="4B8E335F"/>
    <w:rsid w:val="4C1E661E"/>
    <w:rsid w:val="4E3B4ECB"/>
    <w:rsid w:val="4F6F1390"/>
    <w:rsid w:val="51E80B2C"/>
    <w:rsid w:val="525D0E9B"/>
    <w:rsid w:val="52734C38"/>
    <w:rsid w:val="546423A8"/>
    <w:rsid w:val="547FBDDC"/>
    <w:rsid w:val="54AE689B"/>
    <w:rsid w:val="55019F89"/>
    <w:rsid w:val="55645BF9"/>
    <w:rsid w:val="565DE163"/>
    <w:rsid w:val="56ED90BD"/>
    <w:rsid w:val="56F33D09"/>
    <w:rsid w:val="57C908B4"/>
    <w:rsid w:val="590370CE"/>
    <w:rsid w:val="5AD35B73"/>
    <w:rsid w:val="5D13D4AB"/>
    <w:rsid w:val="5D1E4859"/>
    <w:rsid w:val="5DBC5253"/>
    <w:rsid w:val="5E6EC8D7"/>
    <w:rsid w:val="5E70C426"/>
    <w:rsid w:val="5EE799A1"/>
    <w:rsid w:val="5F25D2F5"/>
    <w:rsid w:val="5FFF8E12"/>
    <w:rsid w:val="605B8CE7"/>
    <w:rsid w:val="624EE53C"/>
    <w:rsid w:val="62BEBFB1"/>
    <w:rsid w:val="64D5EAFF"/>
    <w:rsid w:val="6596EDF9"/>
    <w:rsid w:val="65AE95EA"/>
    <w:rsid w:val="65D2C96D"/>
    <w:rsid w:val="66739F8B"/>
    <w:rsid w:val="66C903E6"/>
    <w:rsid w:val="66D813AE"/>
    <w:rsid w:val="673E2A1D"/>
    <w:rsid w:val="675D1813"/>
    <w:rsid w:val="6807F494"/>
    <w:rsid w:val="6814E913"/>
    <w:rsid w:val="6823D967"/>
    <w:rsid w:val="69AAF6FD"/>
    <w:rsid w:val="6A218044"/>
    <w:rsid w:val="6A8FC781"/>
    <w:rsid w:val="6BA3761E"/>
    <w:rsid w:val="6BA62181"/>
    <w:rsid w:val="6D41F1E2"/>
    <w:rsid w:val="6E2B04C8"/>
    <w:rsid w:val="6F243023"/>
    <w:rsid w:val="7070343E"/>
    <w:rsid w:val="70B4564C"/>
    <w:rsid w:val="71C788EC"/>
    <w:rsid w:val="71E1BC39"/>
    <w:rsid w:val="7377F240"/>
    <w:rsid w:val="73F81A00"/>
    <w:rsid w:val="749226F0"/>
    <w:rsid w:val="765C1098"/>
    <w:rsid w:val="769B2CE0"/>
    <w:rsid w:val="781B452E"/>
    <w:rsid w:val="78AFE63B"/>
    <w:rsid w:val="78CD6F4E"/>
    <w:rsid w:val="78DD7B35"/>
    <w:rsid w:val="7A63E2DA"/>
    <w:rsid w:val="7DDC87D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306E0A"/>
  <w15:chartTrackingRefBased/>
  <w15:docId w15:val="{D0D8BDB2-8EC9-4D3F-B922-64BF4E07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rPr>
      <w:sz w:val="24"/>
      <w:szCs w:val="24"/>
      <w:lang w:eastAsia="zh-CN"/>
    </w:rPr>
  </w:style>
  <w:style w:type="paragraph" w:styleId="Virsraksts1">
    <w:name w:val="heading 1"/>
    <w:basedOn w:val="Parasts"/>
    <w:next w:val="Pamatteksts"/>
    <w:qFormat/>
    <w:pPr>
      <w:numPr>
        <w:numId w:val="1"/>
      </w:numPr>
      <w:outlineLvl w:val="0"/>
    </w:pPr>
    <w:rPr>
      <w:rFonts w:ascii="Tahoma" w:hAnsi="Tahoma" w:cs="Tahoma"/>
      <w:b/>
      <w:bCs/>
      <w:kern w:val="2"/>
      <w:sz w:val="38"/>
      <w:szCs w:val="38"/>
    </w:rPr>
  </w:style>
  <w:style w:type="paragraph" w:styleId="Virsraksts3">
    <w:name w:val="heading 3"/>
    <w:basedOn w:val="Parasts"/>
    <w:next w:val="Parasts"/>
    <w:qFormat/>
    <w:pPr>
      <w:keepNext/>
      <w:numPr>
        <w:ilvl w:val="2"/>
        <w:numId w:val="1"/>
      </w:numPr>
      <w:spacing w:before="240" w:after="60"/>
      <w:outlineLvl w:val="2"/>
    </w:pPr>
    <w:rPr>
      <w:rFonts w:ascii="Calibri Light" w:hAnsi="Calibri Light" w:cs="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Noklusjumarindkopasfonts1">
    <w:name w:val="Noklusējuma rindkopas fonts1"/>
  </w:style>
  <w:style w:type="character" w:customStyle="1" w:styleId="WW8Num3z0">
    <w:name w:val="WW8Num3z0"/>
    <w:rPr>
      <w:rFonts w:eastAsia="Calibri" w:hint="default"/>
    </w:rPr>
  </w:style>
  <w:style w:type="character" w:customStyle="1" w:styleId="WW8Num3z1">
    <w:name w:val="WW8Num3z1"/>
    <w:rPr>
      <w:rFonts w:eastAsia="Times New Roman" w:hint="default"/>
      <w:b/>
    </w:rPr>
  </w:style>
  <w:style w:type="character" w:customStyle="1" w:styleId="WW8Num3z2">
    <w:name w:val="WW8Num3z2"/>
    <w:rPr>
      <w:rFonts w:eastAsia="Times New Roman"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DefaultParagraphFont0">
    <w:name w:val="Default Paragraph Font0"/>
  </w:style>
  <w:style w:type="character" w:styleId="Lappusesnumurs">
    <w:name w:val="page number"/>
    <w:basedOn w:val="DefaultParagraphFont0"/>
  </w:style>
  <w:style w:type="character" w:customStyle="1" w:styleId="th1">
    <w:name w:val="th1"/>
    <w:rPr>
      <w:b/>
      <w:bCs/>
      <w:color w:val="333333"/>
    </w:rPr>
  </w:style>
  <w:style w:type="character" w:styleId="Komentraatsauce">
    <w:name w:val="annotation reference"/>
    <w:qFormat/>
    <w:rPr>
      <w:sz w:val="16"/>
      <w:szCs w:val="16"/>
    </w:rPr>
  </w:style>
  <w:style w:type="character" w:customStyle="1" w:styleId="CommentTextChar">
    <w:name w:val="Comment Text Char"/>
    <w:rPr>
      <w:lang w:val="lv-LV" w:bidi="ar-SA"/>
    </w:rPr>
  </w:style>
  <w:style w:type="character" w:customStyle="1" w:styleId="Vresrakstzmes">
    <w:name w:val="Vēres rakstzīmes"/>
    <w:rPr>
      <w:vertAlign w:val="superscript"/>
    </w:rPr>
  </w:style>
  <w:style w:type="character" w:customStyle="1" w:styleId="FooterChar">
    <w:name w:val="Footer Char"/>
    <w:rPr>
      <w:sz w:val="24"/>
      <w:szCs w:val="24"/>
      <w:lang w:val="lv-LV" w:bidi="ar-SA"/>
    </w:rPr>
  </w:style>
  <w:style w:type="character" w:styleId="Hipersaite">
    <w:name w:val="Hyperlink"/>
    <w:rPr>
      <w:color w:val="0000FF"/>
      <w:u w:val="single"/>
    </w:rPr>
  </w:style>
  <w:style w:type="character" w:customStyle="1" w:styleId="Heading3Char">
    <w:name w:val="Heading 3 Char"/>
    <w:rPr>
      <w:rFonts w:ascii="Calibri Light" w:eastAsia="Times New Roman" w:hAnsi="Calibri Light" w:cs="Times New Roman"/>
      <w:b/>
      <w:bCs/>
      <w:sz w:val="26"/>
      <w:szCs w:val="26"/>
    </w:rPr>
  </w:style>
  <w:style w:type="character" w:styleId="Izclums">
    <w:name w:val="Emphasis"/>
    <w:uiPriority w:val="20"/>
    <w:qFormat/>
    <w:rPr>
      <w:i/>
      <w:iCs/>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41">
    <w:name w:val="ListLabel 41"/>
    <w:rPr>
      <w:rFonts w:cs="Times New Roman"/>
      <w:b w:val="0"/>
      <w:sz w:val="24"/>
      <w:szCs w:val="24"/>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Aizzmes">
    <w:name w:val="Aizzīmes"/>
    <w:rPr>
      <w:rFonts w:ascii="OpenSymbol" w:eastAsia="OpenSymbol" w:hAnsi="OpenSymbol" w:cs="OpenSymbol"/>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pPr>
      <w:suppressLineNumbers/>
    </w:pPr>
    <w:rPr>
      <w:rFonts w:cs="Arial"/>
    </w:rPr>
  </w:style>
  <w:style w:type="paragraph" w:customStyle="1" w:styleId="Parakstszemobjekta1">
    <w:name w:val="Paraksts zem objekta1"/>
    <w:basedOn w:val="Parasts"/>
    <w:pPr>
      <w:suppressLineNumbers/>
      <w:spacing w:before="120" w:after="120"/>
    </w:pPr>
    <w:rPr>
      <w:rFonts w:cs="Arial"/>
      <w:i/>
      <w:iCs/>
    </w:rPr>
  </w:style>
  <w:style w:type="paragraph" w:customStyle="1" w:styleId="Galveneunkjene">
    <w:name w:val="Galvene un kājene"/>
    <w:basedOn w:val="Parasts"/>
    <w:pPr>
      <w:suppressLineNumbers/>
      <w:tabs>
        <w:tab w:val="center" w:pos="4819"/>
        <w:tab w:val="right" w:pos="9638"/>
      </w:tabs>
    </w:pPr>
  </w:style>
  <w:style w:type="paragraph" w:styleId="Galvene">
    <w:name w:val="header"/>
    <w:basedOn w:val="Parasts"/>
    <w:link w:val="GalveneRakstz"/>
    <w:uiPriority w:val="99"/>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150" w:after="150"/>
      <w:jc w:val="center"/>
    </w:pPr>
    <w:rPr>
      <w:b/>
      <w:bCs/>
    </w:rPr>
  </w:style>
  <w:style w:type="paragraph" w:customStyle="1" w:styleId="naislab">
    <w:name w:val="naislab"/>
    <w:basedOn w:val="Parasts"/>
    <w:pPr>
      <w:spacing w:before="75" w:after="75"/>
      <w:jc w:val="right"/>
    </w:pPr>
  </w:style>
  <w:style w:type="paragraph" w:customStyle="1" w:styleId="naiskr">
    <w:name w:val="naiskr"/>
    <w:basedOn w:val="Parasts"/>
    <w:pPr>
      <w:spacing w:before="75" w:after="75"/>
    </w:pPr>
  </w:style>
  <w:style w:type="paragraph" w:customStyle="1" w:styleId="naisc">
    <w:name w:val="naisc"/>
    <w:basedOn w:val="Parasts"/>
    <w:pPr>
      <w:spacing w:before="75" w:after="75"/>
      <w:jc w:val="center"/>
    </w:pPr>
  </w:style>
  <w:style w:type="paragraph" w:styleId="Komentrateksts">
    <w:name w:val="annotation text"/>
    <w:basedOn w:val="Parasts"/>
    <w:link w:val="KomentratekstsRakstz"/>
    <w:qFormat/>
    <w:rPr>
      <w:sz w:val="20"/>
      <w:szCs w:val="20"/>
    </w:rPr>
  </w:style>
  <w:style w:type="paragraph" w:styleId="Balonteksts">
    <w:name w:val="Balloon Text"/>
    <w:basedOn w:val="Parasts"/>
    <w:rPr>
      <w:rFonts w:ascii="Tahoma" w:hAnsi="Tahoma" w:cs="Tahoma"/>
      <w:sz w:val="16"/>
      <w:szCs w:val="16"/>
    </w:rPr>
  </w:style>
  <w:style w:type="paragraph" w:styleId="Vresteksts">
    <w:name w:val="footnote text"/>
    <w:basedOn w:val="Parasts"/>
    <w:rPr>
      <w:sz w:val="20"/>
      <w:szCs w:val="20"/>
    </w:rPr>
  </w:style>
  <w:style w:type="paragraph" w:styleId="Komentratma">
    <w:name w:val="annotation subject"/>
    <w:basedOn w:val="Komentrateksts"/>
    <w:next w:val="Komentrateksts"/>
    <w:rPr>
      <w:b/>
      <w:bCs/>
    </w:rPr>
  </w:style>
  <w:style w:type="paragraph" w:styleId="Kjene">
    <w:name w:val="footer"/>
    <w:basedOn w:val="Parasts"/>
  </w:style>
  <w:style w:type="paragraph" w:styleId="Dokumentakarte">
    <w:name w:val="Document Map"/>
    <w:basedOn w:val="Parasts"/>
    <w:pPr>
      <w:shd w:val="clear" w:color="auto" w:fill="000080"/>
    </w:pPr>
    <w:rPr>
      <w:rFonts w:ascii="Tahoma" w:hAnsi="Tahoma" w:cs="Tahoma"/>
      <w:sz w:val="20"/>
      <w:szCs w:val="20"/>
    </w:rPr>
  </w:style>
  <w:style w:type="paragraph" w:customStyle="1" w:styleId="Char1CharCharChar">
    <w:name w:val="Char1 Char Char Char"/>
    <w:basedOn w:val="Parasts"/>
    <w:pPr>
      <w:spacing w:before="40"/>
    </w:pPr>
    <w:rPr>
      <w:lang w:val="pl-PL"/>
    </w:rPr>
  </w:style>
  <w:style w:type="paragraph" w:customStyle="1" w:styleId="Considrant">
    <w:name w:val="Considérant"/>
    <w:basedOn w:val="Parasts"/>
    <w:pPr>
      <w:numPr>
        <w:numId w:val="2"/>
      </w:numPr>
      <w:spacing w:before="120" w:after="120"/>
      <w:jc w:val="both"/>
    </w:pPr>
    <w:rPr>
      <w:szCs w:val="20"/>
    </w:rPr>
  </w:style>
  <w:style w:type="paragraph" w:customStyle="1" w:styleId="tv2131">
    <w:name w:val="tv2131"/>
    <w:basedOn w:val="Parasts"/>
    <w:pPr>
      <w:spacing w:line="360" w:lineRule="auto"/>
      <w:ind w:firstLine="300"/>
    </w:pPr>
    <w:rPr>
      <w:color w:val="414142"/>
      <w:sz w:val="20"/>
      <w:szCs w:val="20"/>
    </w:rPr>
  </w:style>
  <w:style w:type="paragraph" w:styleId="Sarakstarindkopa">
    <w:name w:val="List Paragraph"/>
    <w:basedOn w:val="Parasts"/>
    <w:uiPriority w:val="34"/>
    <w:qFormat/>
    <w:pPr>
      <w:spacing w:after="200" w:line="276" w:lineRule="auto"/>
      <w:ind w:left="720"/>
      <w:contextualSpacing/>
    </w:pPr>
    <w:rPr>
      <w:rFonts w:ascii="Calibri" w:eastAsia="Calibri" w:hAnsi="Calibri" w:cs="Calibri"/>
      <w:sz w:val="22"/>
      <w:szCs w:val="22"/>
    </w:rPr>
  </w:style>
  <w:style w:type="paragraph" w:customStyle="1" w:styleId="tv2132">
    <w:name w:val="tv2132"/>
    <w:basedOn w:val="Parasts"/>
    <w:pPr>
      <w:spacing w:line="360" w:lineRule="auto"/>
      <w:ind w:firstLine="300"/>
    </w:pPr>
    <w:rPr>
      <w:color w:val="414142"/>
      <w:sz w:val="20"/>
      <w:szCs w:val="20"/>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customStyle="1" w:styleId="Noklusjuma">
    <w:name w:val="Noklusējuma"/>
    <w:pPr>
      <w:widowControl w:val="0"/>
      <w:suppressAutoHyphens/>
      <w:spacing w:line="200" w:lineRule="atLeast"/>
    </w:pPr>
    <w:rPr>
      <w:rFonts w:ascii="Arial" w:eastAsia="Tahoma" w:hAnsi="Arial" w:cs="Arial"/>
      <w:kern w:val="2"/>
      <w:sz w:val="36"/>
      <w:szCs w:val="24"/>
      <w:lang w:eastAsia="zh-CN" w:bidi="hi-IN"/>
    </w:rPr>
  </w:style>
  <w:style w:type="paragraph" w:customStyle="1" w:styleId="Objektsbezaizpildjuma">
    <w:name w:val="Objekts bez aizpildījuma"/>
    <w:basedOn w:val="Noklusjuma"/>
  </w:style>
  <w:style w:type="paragraph" w:customStyle="1" w:styleId="Objektsbezaizpildjumavailnijas">
    <w:name w:val="Objekts bez aizpildījuma vai līnijas"/>
    <w:basedOn w:val="Noklusjuma"/>
  </w:style>
  <w:style w:type="paragraph" w:customStyle="1" w:styleId="Teksts">
    <w:name w:val="Teksts"/>
    <w:basedOn w:val="Parakstszemobjekta1"/>
  </w:style>
  <w:style w:type="paragraph" w:customStyle="1" w:styleId="A4">
    <w:name w:val="A4"/>
    <w:basedOn w:val="Teksts"/>
    <w:rPr>
      <w:rFonts w:ascii="Noto Sans" w:hAnsi="Noto Sans" w:cs="Noto Sans"/>
      <w:sz w:val="36"/>
    </w:rPr>
  </w:style>
  <w:style w:type="paragraph" w:customStyle="1" w:styleId="TitleA4">
    <w:name w:val="Title A4"/>
    <w:basedOn w:val="A4"/>
    <w:rPr>
      <w:sz w:val="87"/>
    </w:rPr>
  </w:style>
  <w:style w:type="paragraph" w:customStyle="1" w:styleId="HeadingA4">
    <w:name w:val="Heading A4"/>
    <w:basedOn w:val="A4"/>
    <w:rPr>
      <w:sz w:val="48"/>
    </w:rPr>
  </w:style>
  <w:style w:type="paragraph" w:customStyle="1" w:styleId="TekstsA4">
    <w:name w:val="Teksts A4"/>
    <w:basedOn w:val="A4"/>
  </w:style>
  <w:style w:type="paragraph" w:customStyle="1" w:styleId="A0">
    <w:name w:val="A0"/>
    <w:basedOn w:val="Teksts"/>
    <w:rPr>
      <w:rFonts w:ascii="Noto Sans" w:hAnsi="Noto Sans" w:cs="Noto Sans"/>
      <w:sz w:val="95"/>
    </w:rPr>
  </w:style>
  <w:style w:type="paragraph" w:customStyle="1" w:styleId="TitleA0">
    <w:name w:val="Title A0"/>
    <w:basedOn w:val="A0"/>
    <w:rPr>
      <w:sz w:val="191"/>
    </w:rPr>
  </w:style>
  <w:style w:type="paragraph" w:customStyle="1" w:styleId="HeadingA0">
    <w:name w:val="Heading A0"/>
    <w:basedOn w:val="A0"/>
    <w:rPr>
      <w:sz w:val="143"/>
    </w:rPr>
  </w:style>
  <w:style w:type="paragraph" w:customStyle="1" w:styleId="TekstsA0">
    <w:name w:val="Teksts A0"/>
    <w:basedOn w:val="A0"/>
  </w:style>
  <w:style w:type="paragraph" w:customStyle="1" w:styleId="Grafika">
    <w:name w:val="Grafika"/>
    <w:pPr>
      <w:widowControl w:val="0"/>
      <w:suppressAutoHyphens/>
    </w:pPr>
    <w:rPr>
      <w:rFonts w:ascii="Liberation Sans" w:eastAsia="Tahoma" w:hAnsi="Liberation Sans" w:cs="Liberation Sans"/>
      <w:sz w:val="36"/>
      <w:szCs w:val="24"/>
      <w:lang w:eastAsia="zh-CN" w:bidi="hi-IN"/>
    </w:rPr>
  </w:style>
  <w:style w:type="paragraph" w:customStyle="1" w:styleId="Figras">
    <w:name w:val="Figūras"/>
    <w:basedOn w:val="Grafika"/>
    <w:rPr>
      <w:b/>
      <w:sz w:val="28"/>
    </w:rPr>
  </w:style>
  <w:style w:type="paragraph" w:customStyle="1" w:styleId="Aizpildts">
    <w:name w:val="Aizpildīts"/>
    <w:basedOn w:val="Figras"/>
  </w:style>
  <w:style w:type="paragraph" w:customStyle="1" w:styleId="Aizpildtszils">
    <w:name w:val="Aizpildīts zils"/>
    <w:basedOn w:val="Aizpildts"/>
    <w:rPr>
      <w:color w:val="FFFFFF"/>
    </w:rPr>
  </w:style>
  <w:style w:type="paragraph" w:customStyle="1" w:styleId="Aizpildtsza">
    <w:name w:val="Aizpildīts zaļ"/>
    <w:basedOn w:val="Aizpildts"/>
    <w:rPr>
      <w:color w:val="FFFFFF"/>
    </w:rPr>
  </w:style>
  <w:style w:type="paragraph" w:customStyle="1" w:styleId="Aizpildtssarkans">
    <w:name w:val="Aizpildīts sarkans"/>
    <w:basedOn w:val="Aizpildts"/>
    <w:rPr>
      <w:color w:val="FFFFFF"/>
    </w:rPr>
  </w:style>
  <w:style w:type="paragraph" w:customStyle="1" w:styleId="Aizpildtsdzeltens">
    <w:name w:val="Aizpildīts dzeltens"/>
    <w:basedOn w:val="Aizpildts"/>
    <w:rPr>
      <w:color w:val="FFFFFF"/>
    </w:rPr>
  </w:style>
  <w:style w:type="paragraph" w:customStyle="1" w:styleId="Kontra">
    <w:name w:val="Kontūra"/>
    <w:basedOn w:val="Figras"/>
  </w:style>
  <w:style w:type="paragraph" w:customStyle="1" w:styleId="Zilakontra">
    <w:name w:val="Zila kontūra"/>
    <w:basedOn w:val="Kontra"/>
    <w:rPr>
      <w:color w:val="355269"/>
    </w:rPr>
  </w:style>
  <w:style w:type="paragraph" w:customStyle="1" w:styleId="Zaakontra">
    <w:name w:val="Zaļa kontūra"/>
    <w:basedOn w:val="Kontra"/>
    <w:rPr>
      <w:color w:val="127622"/>
    </w:rPr>
  </w:style>
  <w:style w:type="paragraph" w:customStyle="1" w:styleId="Sarkanakontra">
    <w:name w:val="Sarkana kontūra"/>
    <w:basedOn w:val="Kontra"/>
    <w:rPr>
      <w:color w:val="C9211E"/>
    </w:rPr>
  </w:style>
  <w:style w:type="paragraph" w:customStyle="1" w:styleId="Dzeltenakontra">
    <w:name w:val="Dzeltena kontūra"/>
    <w:basedOn w:val="Kontra"/>
    <w:rPr>
      <w:color w:val="B47804"/>
    </w:rPr>
  </w:style>
  <w:style w:type="paragraph" w:customStyle="1" w:styleId="Lnijas">
    <w:name w:val="Līnijas"/>
    <w:basedOn w:val="Grafika"/>
  </w:style>
  <w:style w:type="paragraph" w:customStyle="1" w:styleId="Bultaslnija">
    <w:name w:val="Bultas līnija"/>
    <w:basedOn w:val="Lnijas"/>
  </w:style>
  <w:style w:type="paragraph" w:customStyle="1" w:styleId="Svtrotalnija">
    <w:name w:val="Svītrota līnija"/>
    <w:basedOn w:val="Lnijas"/>
  </w:style>
  <w:style w:type="paragraph" w:customStyle="1" w:styleId="BlankLTGliederung1">
    <w:name w:val="Blank~LT~Gliederung 1"/>
    <w:pPr>
      <w:widowControl w:val="0"/>
      <w:suppressAutoHyphens/>
      <w:spacing w:before="283" w:line="200" w:lineRule="atLeast"/>
    </w:pPr>
    <w:rPr>
      <w:rFonts w:ascii="Droid Sans Fallback" w:eastAsia="Tahoma" w:hAnsi="Droid Sans Fallback" w:cs="Droid Sans Fallback"/>
      <w:color w:val="000000"/>
      <w:kern w:val="2"/>
      <w:sz w:val="64"/>
      <w:szCs w:val="24"/>
      <w:lang w:eastAsia="zh-CN" w:bidi="hi-IN"/>
    </w:rPr>
  </w:style>
  <w:style w:type="paragraph" w:customStyle="1" w:styleId="BlankLTGliederung2">
    <w:name w:val="Blank~LT~Gliederung 2"/>
    <w:basedOn w:val="BlankLTGliederung1"/>
    <w:pPr>
      <w:spacing w:before="227"/>
    </w:pPr>
    <w:rPr>
      <w:sz w:val="48"/>
    </w:rPr>
  </w:style>
  <w:style w:type="paragraph" w:customStyle="1" w:styleId="BlankLTGliederung3">
    <w:name w:val="Blank~LT~Gliederung 3"/>
    <w:basedOn w:val="BlankLTGliederung2"/>
    <w:pPr>
      <w:spacing w:before="170"/>
    </w:pPr>
    <w:rPr>
      <w:sz w:val="40"/>
    </w:rPr>
  </w:style>
  <w:style w:type="paragraph" w:customStyle="1" w:styleId="BlankLTGliederung4">
    <w:name w:val="Blank~LT~Gliederung 4"/>
    <w:basedOn w:val="BlankLTGliederung3"/>
    <w:pPr>
      <w:spacing w:before="113"/>
    </w:pPr>
  </w:style>
  <w:style w:type="paragraph" w:customStyle="1" w:styleId="BlankLTGliederung5">
    <w:name w:val="Blank~LT~Gliederung 5"/>
    <w:basedOn w:val="BlankLTGliederung4"/>
    <w:pPr>
      <w:spacing w:before="57"/>
    </w:pPr>
  </w:style>
  <w:style w:type="paragraph" w:customStyle="1" w:styleId="BlankLTGliederung6">
    <w:name w:val="Blank~LT~Gliederung 6"/>
    <w:basedOn w:val="BlankLTGliederung5"/>
  </w:style>
  <w:style w:type="paragraph" w:customStyle="1" w:styleId="BlankLTGliederung7">
    <w:name w:val="Blank~LT~Gliederung 7"/>
    <w:basedOn w:val="BlankLTGliederung6"/>
  </w:style>
  <w:style w:type="paragraph" w:customStyle="1" w:styleId="BlankLTGliederung8">
    <w:name w:val="Blank~LT~Gliederung 8"/>
    <w:basedOn w:val="BlankLTGliederung7"/>
  </w:style>
  <w:style w:type="paragraph" w:customStyle="1" w:styleId="BlankLTGliederung9">
    <w:name w:val="Blank~LT~Gliederung 9"/>
    <w:basedOn w:val="BlankLTGliederung8"/>
  </w:style>
  <w:style w:type="paragraph" w:customStyle="1" w:styleId="BlankLTTitel">
    <w:name w:val="Blank~LT~Titel"/>
    <w:pPr>
      <w:widowControl w:val="0"/>
      <w:suppressAutoHyphens/>
      <w:spacing w:line="200" w:lineRule="atLeast"/>
    </w:pPr>
    <w:rPr>
      <w:rFonts w:ascii="Droid Sans Fallback" w:eastAsia="Tahoma" w:hAnsi="Droid Sans Fallback" w:cs="Droid Sans Fallback"/>
      <w:color w:val="FFFFFF"/>
      <w:kern w:val="2"/>
      <w:sz w:val="46"/>
      <w:szCs w:val="24"/>
      <w:lang w:eastAsia="zh-CN" w:bidi="hi-IN"/>
    </w:rPr>
  </w:style>
  <w:style w:type="paragraph" w:customStyle="1" w:styleId="BlankLTUntertitel">
    <w:name w:val="Blank~LT~Untertitel"/>
    <w:pPr>
      <w:widowControl w:val="0"/>
      <w:suppressAutoHyphens/>
      <w:jc w:val="center"/>
    </w:pPr>
    <w:rPr>
      <w:rFonts w:ascii="Arial" w:eastAsia="Tahoma" w:hAnsi="Arial" w:cs="Arial"/>
      <w:kern w:val="2"/>
      <w:sz w:val="64"/>
      <w:szCs w:val="24"/>
      <w:lang w:eastAsia="zh-CN" w:bidi="hi-IN"/>
    </w:rPr>
  </w:style>
  <w:style w:type="paragraph" w:customStyle="1" w:styleId="BlankLTNotizen">
    <w:name w:val="Blank~LT~Notizen"/>
    <w:pPr>
      <w:widowControl w:val="0"/>
      <w:suppressAutoHyphens/>
      <w:ind w:left="340" w:hanging="340"/>
    </w:pPr>
    <w:rPr>
      <w:rFonts w:ascii="Arial" w:eastAsia="Tahoma" w:hAnsi="Arial" w:cs="Arial"/>
      <w:kern w:val="2"/>
      <w:sz w:val="40"/>
      <w:szCs w:val="24"/>
      <w:lang w:eastAsia="zh-CN" w:bidi="hi-IN"/>
    </w:rPr>
  </w:style>
  <w:style w:type="paragraph" w:customStyle="1" w:styleId="BlankLTHintergrundobjekte">
    <w:name w:val="Blank~LT~Hintergrundobjekte"/>
    <w:pPr>
      <w:widowControl w:val="0"/>
      <w:suppressAutoHyphens/>
    </w:pPr>
    <w:rPr>
      <w:rFonts w:ascii="Liberation Serif" w:eastAsia="Tahoma" w:hAnsi="Liberation Serif" w:cs="Liberation Serif"/>
      <w:kern w:val="2"/>
      <w:sz w:val="24"/>
      <w:szCs w:val="24"/>
      <w:lang w:eastAsia="zh-CN" w:bidi="hi-IN"/>
    </w:rPr>
  </w:style>
  <w:style w:type="paragraph" w:customStyle="1" w:styleId="BlankLTHintergrund">
    <w:name w:val="Blank~LT~Hintergrund"/>
    <w:pPr>
      <w:widowControl w:val="0"/>
      <w:suppressAutoHyphens/>
    </w:pPr>
    <w:rPr>
      <w:rFonts w:ascii="Liberation Serif" w:eastAsia="Tahoma" w:hAnsi="Liberation Serif" w:cs="Liberation Serif"/>
      <w:kern w:val="2"/>
      <w:sz w:val="24"/>
      <w:szCs w:val="24"/>
      <w:lang w:eastAsia="zh-CN" w:bidi="hi-IN"/>
    </w:rPr>
  </w:style>
  <w:style w:type="paragraph" w:customStyle="1" w:styleId="default">
    <w:name w:val="default"/>
    <w:pPr>
      <w:widowControl w:val="0"/>
      <w:suppressAutoHyphens/>
      <w:spacing w:line="200" w:lineRule="atLeast"/>
    </w:pPr>
    <w:rPr>
      <w:rFonts w:ascii="Arial" w:eastAsia="Tahoma" w:hAnsi="Arial" w:cs="Arial"/>
      <w:kern w:val="2"/>
      <w:sz w:val="36"/>
      <w:szCs w:val="24"/>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oise1">
    <w:name w:val="turquoise1"/>
    <w:basedOn w:val="default"/>
  </w:style>
  <w:style w:type="paragraph" w:customStyle="1" w:styleId="turquoise2">
    <w:name w:val="turquoise2"/>
    <w:basedOn w:val="default"/>
  </w:style>
  <w:style w:type="paragraph" w:customStyle="1" w:styleId="turquoise3">
    <w:name w:val="turquo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Apakvirsraksts">
    <w:name w:val="Apakvirsraksts"/>
    <w:pPr>
      <w:widowControl w:val="0"/>
      <w:suppressAutoHyphens/>
      <w:jc w:val="center"/>
    </w:pPr>
    <w:rPr>
      <w:rFonts w:ascii="Arial" w:eastAsia="Tahoma" w:hAnsi="Arial" w:cs="Arial"/>
      <w:kern w:val="2"/>
      <w:sz w:val="64"/>
      <w:szCs w:val="24"/>
      <w:lang w:eastAsia="zh-CN" w:bidi="hi-IN"/>
    </w:rPr>
  </w:style>
  <w:style w:type="paragraph" w:customStyle="1" w:styleId="Fonaobjekti">
    <w:name w:val="Fona objekti"/>
    <w:pPr>
      <w:widowControl w:val="0"/>
      <w:suppressAutoHyphens/>
    </w:pPr>
    <w:rPr>
      <w:rFonts w:ascii="Liberation Serif" w:eastAsia="Tahoma" w:hAnsi="Liberation Serif" w:cs="Liberation Serif"/>
      <w:kern w:val="2"/>
      <w:sz w:val="24"/>
      <w:szCs w:val="24"/>
      <w:lang w:eastAsia="zh-CN" w:bidi="hi-IN"/>
    </w:rPr>
  </w:style>
  <w:style w:type="paragraph" w:customStyle="1" w:styleId="Fons">
    <w:name w:val="Fons"/>
    <w:pPr>
      <w:widowControl w:val="0"/>
      <w:suppressAutoHyphens/>
    </w:pPr>
    <w:rPr>
      <w:rFonts w:ascii="Liberation Serif" w:eastAsia="Tahoma" w:hAnsi="Liberation Serif" w:cs="Liberation Serif"/>
      <w:kern w:val="2"/>
      <w:sz w:val="24"/>
      <w:szCs w:val="24"/>
      <w:lang w:eastAsia="zh-CN" w:bidi="hi-IN"/>
    </w:rPr>
  </w:style>
  <w:style w:type="paragraph" w:customStyle="1" w:styleId="Piezmes">
    <w:name w:val="Piezīmes"/>
    <w:pPr>
      <w:widowControl w:val="0"/>
      <w:suppressAutoHyphens/>
      <w:ind w:left="340" w:hanging="340"/>
    </w:pPr>
    <w:rPr>
      <w:rFonts w:ascii="Arial" w:eastAsia="Tahoma" w:hAnsi="Arial" w:cs="Arial"/>
      <w:kern w:val="2"/>
      <w:sz w:val="40"/>
      <w:szCs w:val="24"/>
      <w:lang w:eastAsia="zh-CN" w:bidi="hi-IN"/>
    </w:rPr>
  </w:style>
  <w:style w:type="paragraph" w:customStyle="1" w:styleId="Struktra1">
    <w:name w:val="Struktūra 1"/>
    <w:pPr>
      <w:widowControl w:val="0"/>
      <w:suppressAutoHyphens/>
      <w:spacing w:before="283" w:line="200" w:lineRule="atLeast"/>
    </w:pPr>
    <w:rPr>
      <w:rFonts w:ascii="Droid Sans Fallback" w:eastAsia="Tahoma" w:hAnsi="Droid Sans Fallback" w:cs="Droid Sans Fallback"/>
      <w:color w:val="000000"/>
      <w:kern w:val="2"/>
      <w:sz w:val="64"/>
      <w:szCs w:val="24"/>
      <w:lang w:eastAsia="zh-CN" w:bidi="hi-IN"/>
    </w:rPr>
  </w:style>
  <w:style w:type="paragraph" w:customStyle="1" w:styleId="Struktra2">
    <w:name w:val="Struktūra 2"/>
    <w:basedOn w:val="Struktra1"/>
    <w:pPr>
      <w:spacing w:before="227"/>
    </w:pPr>
    <w:rPr>
      <w:sz w:val="48"/>
    </w:rPr>
  </w:style>
  <w:style w:type="paragraph" w:customStyle="1" w:styleId="Struktra3">
    <w:name w:val="Struktūra 3"/>
    <w:basedOn w:val="Struktra2"/>
    <w:pPr>
      <w:spacing w:before="170"/>
    </w:pPr>
    <w:rPr>
      <w:sz w:val="40"/>
    </w:rPr>
  </w:style>
  <w:style w:type="paragraph" w:customStyle="1" w:styleId="Struktra4">
    <w:name w:val="Struktūra 4"/>
    <w:basedOn w:val="Struktra3"/>
    <w:pPr>
      <w:spacing w:before="113"/>
    </w:pPr>
  </w:style>
  <w:style w:type="paragraph" w:customStyle="1" w:styleId="Struktra5">
    <w:name w:val="Struktūra 5"/>
    <w:basedOn w:val="Struktra4"/>
    <w:pPr>
      <w:spacing w:before="57"/>
    </w:pPr>
  </w:style>
  <w:style w:type="paragraph" w:customStyle="1" w:styleId="Struktra6">
    <w:name w:val="Struktūra 6"/>
    <w:basedOn w:val="Struktra5"/>
  </w:style>
  <w:style w:type="paragraph" w:customStyle="1" w:styleId="Struktra7">
    <w:name w:val="Struktūra 7"/>
    <w:basedOn w:val="Struktra6"/>
  </w:style>
  <w:style w:type="paragraph" w:customStyle="1" w:styleId="Struktra8">
    <w:name w:val="Struktūra 8"/>
    <w:basedOn w:val="Struktra7"/>
  </w:style>
  <w:style w:type="paragraph" w:customStyle="1" w:styleId="Struktra9">
    <w:name w:val="Struktūra 9"/>
    <w:basedOn w:val="Struktra8"/>
  </w:style>
  <w:style w:type="paragraph" w:styleId="Paraststmeklis">
    <w:name w:val="Normal (Web)"/>
    <w:basedOn w:val="Parasts"/>
    <w:link w:val="ParaststmeklisRakstz"/>
    <w:uiPriority w:val="99"/>
    <w:qFormat/>
    <w:rsid w:val="002E2C83"/>
    <w:pPr>
      <w:spacing w:before="280" w:after="280"/>
    </w:pPr>
    <w:rPr>
      <w:lang w:val="en-US" w:eastAsia="ar-SA"/>
    </w:rPr>
  </w:style>
  <w:style w:type="character" w:customStyle="1" w:styleId="Internetasaite">
    <w:name w:val="Interneta saite"/>
    <w:unhideWhenUsed/>
    <w:rsid w:val="00874B4B"/>
    <w:rPr>
      <w:color w:val="0000FF"/>
      <w:u w:val="single"/>
    </w:rPr>
  </w:style>
  <w:style w:type="character" w:customStyle="1" w:styleId="Uzsvars">
    <w:name w:val="Uzsvars"/>
    <w:uiPriority w:val="20"/>
    <w:qFormat/>
    <w:rsid w:val="00753523"/>
    <w:rPr>
      <w:i/>
      <w:iCs/>
    </w:rPr>
  </w:style>
  <w:style w:type="character" w:customStyle="1" w:styleId="KomentratekstsRakstz">
    <w:name w:val="Komentāra teksts Rakstz."/>
    <w:link w:val="Komentrateksts"/>
    <w:qFormat/>
    <w:rsid w:val="00441B4E"/>
    <w:rPr>
      <w:lang w:eastAsia="zh-CN"/>
    </w:rPr>
  </w:style>
  <w:style w:type="paragraph" w:customStyle="1" w:styleId="tv213limenis2">
    <w:name w:val="tv213 limenis2"/>
    <w:basedOn w:val="Parasts"/>
    <w:qFormat/>
    <w:rsid w:val="004A4D71"/>
    <w:pPr>
      <w:spacing w:before="280" w:after="280"/>
    </w:pPr>
    <w:rPr>
      <w:lang w:eastAsia="ar-SA"/>
    </w:rPr>
  </w:style>
  <w:style w:type="character" w:customStyle="1" w:styleId="ParaststmeklisRakstz">
    <w:name w:val="Parasts (tīmeklis) Rakstz."/>
    <w:link w:val="Paraststmeklis"/>
    <w:uiPriority w:val="99"/>
    <w:locked/>
    <w:rsid w:val="00234BDD"/>
    <w:rPr>
      <w:sz w:val="24"/>
      <w:szCs w:val="24"/>
      <w:lang w:val="en-US" w:eastAsia="ar-SA"/>
    </w:rPr>
  </w:style>
  <w:style w:type="character" w:styleId="Neatrisintapieminana">
    <w:name w:val="Unresolved Mention"/>
    <w:uiPriority w:val="99"/>
    <w:semiHidden/>
    <w:unhideWhenUsed/>
    <w:rsid w:val="00234BDD"/>
    <w:rPr>
      <w:color w:val="605E5C"/>
      <w:shd w:val="clear" w:color="auto" w:fill="E1DFDD"/>
    </w:rPr>
  </w:style>
  <w:style w:type="paragraph" w:styleId="Prskatjums">
    <w:name w:val="Revision"/>
    <w:hidden/>
    <w:uiPriority w:val="99"/>
    <w:semiHidden/>
    <w:rsid w:val="00FF3F29"/>
    <w:rPr>
      <w:sz w:val="24"/>
      <w:szCs w:val="24"/>
      <w:lang w:eastAsia="zh-CN"/>
    </w:rPr>
  </w:style>
  <w:style w:type="character" w:customStyle="1" w:styleId="GalveneRakstz">
    <w:name w:val="Galvene Rakstz."/>
    <w:basedOn w:val="Noklusjumarindkopasfonts"/>
    <w:link w:val="Galvene"/>
    <w:uiPriority w:val="99"/>
    <w:rsid w:val="0078598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70785">
      <w:bodyDiv w:val="1"/>
      <w:marLeft w:val="0"/>
      <w:marRight w:val="0"/>
      <w:marTop w:val="0"/>
      <w:marBottom w:val="0"/>
      <w:divBdr>
        <w:top w:val="none" w:sz="0" w:space="0" w:color="auto"/>
        <w:left w:val="none" w:sz="0" w:space="0" w:color="auto"/>
        <w:bottom w:val="none" w:sz="0" w:space="0" w:color="auto"/>
        <w:right w:val="none" w:sz="0" w:space="0" w:color="auto"/>
      </w:divBdr>
      <w:divsChild>
        <w:div w:id="341322047">
          <w:marLeft w:val="0"/>
          <w:marRight w:val="0"/>
          <w:marTop w:val="480"/>
          <w:marBottom w:val="240"/>
          <w:divBdr>
            <w:top w:val="none" w:sz="0" w:space="0" w:color="auto"/>
            <w:left w:val="none" w:sz="0" w:space="0" w:color="auto"/>
            <w:bottom w:val="none" w:sz="0" w:space="0" w:color="auto"/>
            <w:right w:val="none" w:sz="0" w:space="0" w:color="auto"/>
          </w:divBdr>
        </w:div>
        <w:div w:id="1998876650">
          <w:marLeft w:val="0"/>
          <w:marRight w:val="0"/>
          <w:marTop w:val="0"/>
          <w:marBottom w:val="567"/>
          <w:divBdr>
            <w:top w:val="none" w:sz="0" w:space="0" w:color="auto"/>
            <w:left w:val="none" w:sz="0" w:space="0" w:color="auto"/>
            <w:bottom w:val="none" w:sz="0" w:space="0" w:color="auto"/>
            <w:right w:val="none" w:sz="0" w:space="0" w:color="auto"/>
          </w:divBdr>
        </w:div>
      </w:divsChild>
    </w:div>
    <w:div w:id="1314795427">
      <w:bodyDiv w:val="1"/>
      <w:marLeft w:val="0"/>
      <w:marRight w:val="0"/>
      <w:marTop w:val="0"/>
      <w:marBottom w:val="0"/>
      <w:divBdr>
        <w:top w:val="none" w:sz="0" w:space="0" w:color="auto"/>
        <w:left w:val="none" w:sz="0" w:space="0" w:color="auto"/>
        <w:bottom w:val="none" w:sz="0" w:space="0" w:color="auto"/>
        <w:right w:val="none" w:sz="0" w:space="0" w:color="auto"/>
      </w:divBdr>
    </w:div>
    <w:div w:id="20550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431-valsts-bernu-tiesibu-aizsardzibas-inspekcijas-no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s.neikens@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venta-kittele@l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22431-valsts-bernu-tiesibu-aizsardzibas-inspekcijas-nolikums" TargetMode="External"/><Relationship Id="rId4" Type="http://schemas.openxmlformats.org/officeDocument/2006/relationships/settings" Target="settings.xml"/><Relationship Id="rId9" Type="http://schemas.openxmlformats.org/officeDocument/2006/relationships/hyperlink" Target="https://likumi.lv/ta/id/122431-valsts-bernu-tiesibu-aizsardzibas-inspekcijas-no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F391-DA19-49E0-B5EF-8EC90CE3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15324</Words>
  <Characters>8736</Characters>
  <Application>Microsoft Office Word</Application>
  <DocSecurity>0</DocSecurity>
  <Lines>72</Lines>
  <Paragraphs>48</Paragraphs>
  <ScaleCrop>false</ScaleCrop>
  <HeadingPairs>
    <vt:vector size="2" baseType="variant">
      <vt:variant>
        <vt:lpstr>Nosaukums</vt:lpstr>
      </vt:variant>
      <vt:variant>
        <vt:i4>1</vt:i4>
      </vt:variant>
    </vt:vector>
  </HeadingPairs>
  <TitlesOfParts>
    <vt:vector size="1" baseType="lpstr">
      <vt:lpstr>Ministru kabineta  noteikumu projekta  “Valsts bērnu tiesību aizsardzības inspekcijas nolikums” sākotnējās ietekmes novērtējuma ziņojums (anotācija)</vt:lpstr>
    </vt:vector>
  </TitlesOfParts>
  <Company>LM</Company>
  <LinksUpToDate>false</LinksUpToDate>
  <CharactersWithSpaces>24012</CharactersWithSpaces>
  <SharedDoc>false</SharedDoc>
  <HLinks>
    <vt:vector size="30" baseType="variant">
      <vt:variant>
        <vt:i4>786488</vt:i4>
      </vt:variant>
      <vt:variant>
        <vt:i4>12</vt:i4>
      </vt:variant>
      <vt:variant>
        <vt:i4>0</vt:i4>
      </vt:variant>
      <vt:variant>
        <vt:i4>5</vt:i4>
      </vt:variant>
      <vt:variant>
        <vt:lpwstr>mailto:Lauris.neikens@lm.gov.lv</vt:lpwstr>
      </vt:variant>
      <vt:variant>
        <vt:lpwstr/>
      </vt:variant>
      <vt:variant>
        <vt:i4>4784162</vt:i4>
      </vt:variant>
      <vt:variant>
        <vt:i4>9</vt:i4>
      </vt:variant>
      <vt:variant>
        <vt:i4>0</vt:i4>
      </vt:variant>
      <vt:variant>
        <vt:i4>5</vt:i4>
      </vt:variant>
      <vt:variant>
        <vt:lpwstr>mailto:kristine.venta-kittele@lm.gov.lv</vt:lpwstr>
      </vt:variant>
      <vt:variant>
        <vt:lpwstr/>
      </vt:variant>
      <vt:variant>
        <vt:i4>327745</vt:i4>
      </vt:variant>
      <vt:variant>
        <vt:i4>6</vt:i4>
      </vt:variant>
      <vt:variant>
        <vt:i4>0</vt:i4>
      </vt:variant>
      <vt:variant>
        <vt:i4>5</vt:i4>
      </vt:variant>
      <vt:variant>
        <vt:lpwstr>https://likumi.lv/ta/id/122431-valsts-bernu-tiesibu-aizsardzibas-inspekcijas-nolikums</vt:lpwstr>
      </vt:variant>
      <vt:variant>
        <vt:lpwstr/>
      </vt:variant>
      <vt:variant>
        <vt:i4>327745</vt:i4>
      </vt:variant>
      <vt:variant>
        <vt:i4>3</vt:i4>
      </vt:variant>
      <vt:variant>
        <vt:i4>0</vt:i4>
      </vt:variant>
      <vt:variant>
        <vt:i4>5</vt:i4>
      </vt:variant>
      <vt:variant>
        <vt:lpwstr>https://likumi.lv/ta/id/122431-valsts-bernu-tiesibu-aizsardzibas-inspekcijas-nolikums</vt:lpwstr>
      </vt:variant>
      <vt:variant>
        <vt:lpwstr/>
      </vt:variant>
      <vt:variant>
        <vt:i4>327745</vt:i4>
      </vt:variant>
      <vt:variant>
        <vt:i4>0</vt:i4>
      </vt:variant>
      <vt:variant>
        <vt:i4>0</vt:i4>
      </vt:variant>
      <vt:variant>
        <vt:i4>5</vt:i4>
      </vt:variant>
      <vt:variant>
        <vt:lpwstr>https://likumi.lv/ta/id/122431-valsts-bernu-tiesibu-aizsardzibas-inspekcijas-nolikums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bērnu tiesību aizsardzības inspekcijas nolikums” sākotnējās ietekmes novērtējuma ziņojums (anotācija)</dc:title>
  <dc:subject/>
  <dc:creator/>
  <cp:keywords/>
  <dc:description>K.Venta-Kittele 67021610, 
kristine.venta-kittele@lm.gov.lv
L.Neikens, 67021673
Lauris.neikens@lm.gov.lv</dc:description>
  <cp:lastModifiedBy>Lauris Neikens</cp:lastModifiedBy>
  <cp:revision>31</cp:revision>
  <cp:lastPrinted>2021-02-23T19:26:00Z</cp:lastPrinted>
  <dcterms:created xsi:type="dcterms:W3CDTF">2021-07-29T08:57:00Z</dcterms:created>
  <dcterms:modified xsi:type="dcterms:W3CDTF">2021-08-05T12:25:00Z</dcterms:modified>
  <cp:category>Ministru kabineta  noteikumu projekta sākotnējās ietekmes novērtējuma ziņojums (anotācija)</cp:category>
</cp:coreProperties>
</file>