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1252D" w14:textId="77777777" w:rsidR="00DB5A7F" w:rsidRPr="00445981" w:rsidRDefault="00DB5A7F" w:rsidP="004E72EB">
      <w:pPr>
        <w:jc w:val="center"/>
        <w:rPr>
          <w:b/>
          <w:bCs/>
          <w:sz w:val="28"/>
          <w:szCs w:val="28"/>
        </w:rPr>
      </w:pPr>
      <w:r w:rsidRPr="00445981">
        <w:rPr>
          <w:b/>
          <w:bCs/>
          <w:sz w:val="28"/>
          <w:szCs w:val="28"/>
        </w:rPr>
        <w:t xml:space="preserve">Ministru kabineta rīkojuma projekta </w:t>
      </w:r>
      <w:r w:rsidR="005057C4" w:rsidRPr="00445981">
        <w:rPr>
          <w:b/>
          <w:bCs/>
          <w:sz w:val="28"/>
          <w:szCs w:val="28"/>
        </w:rPr>
        <w:t>"</w:t>
      </w:r>
      <w:r w:rsidRPr="00445981">
        <w:rPr>
          <w:b/>
          <w:bCs/>
          <w:sz w:val="28"/>
          <w:szCs w:val="28"/>
        </w:rPr>
        <w:t xml:space="preserve">Par apropriācijas </w:t>
      </w:r>
      <w:r w:rsidR="00615766" w:rsidRPr="00445981">
        <w:rPr>
          <w:b/>
          <w:bCs/>
          <w:sz w:val="28"/>
          <w:szCs w:val="28"/>
        </w:rPr>
        <w:t>pārdali</w:t>
      </w:r>
      <w:r w:rsidR="005057C4" w:rsidRPr="00445981">
        <w:rPr>
          <w:b/>
          <w:bCs/>
          <w:sz w:val="28"/>
          <w:szCs w:val="28"/>
        </w:rPr>
        <w:t>"</w:t>
      </w:r>
      <w:r w:rsidRPr="00445981">
        <w:rPr>
          <w:b/>
          <w:bCs/>
          <w:sz w:val="28"/>
          <w:szCs w:val="28"/>
        </w:rPr>
        <w:t xml:space="preserve"> sākotnējās ietekmes novērtējuma ziņojums (anotācija)</w:t>
      </w:r>
    </w:p>
    <w:p w14:paraId="48DBFA0D" w14:textId="77777777" w:rsidR="009D36DE" w:rsidRPr="00445981" w:rsidRDefault="009D36DE" w:rsidP="000044FA">
      <w:pPr>
        <w:jc w:val="center"/>
        <w:rPr>
          <w:b/>
          <w:sz w:val="28"/>
          <w:szCs w:val="28"/>
        </w:rPr>
      </w:pPr>
    </w:p>
    <w:tbl>
      <w:tblPr>
        <w:tblW w:w="5243" w:type="pct"/>
        <w:tblInd w:w="-434" w:type="dxa"/>
        <w:tblCellMar>
          <w:left w:w="10" w:type="dxa"/>
          <w:right w:w="10" w:type="dxa"/>
        </w:tblCellMar>
        <w:tblLook w:val="0000" w:firstRow="0" w:lastRow="0" w:firstColumn="0" w:lastColumn="0" w:noHBand="0" w:noVBand="0"/>
      </w:tblPr>
      <w:tblGrid>
        <w:gridCol w:w="2707"/>
        <w:gridCol w:w="6789"/>
      </w:tblGrid>
      <w:tr w:rsidR="009D36DE" w:rsidRPr="009D1C04" w14:paraId="44A0A5A6" w14:textId="77777777" w:rsidTr="000A3BB4">
        <w:trPr>
          <w:trHeight w:val="299"/>
        </w:trPr>
        <w:tc>
          <w:tcPr>
            <w:tcW w:w="949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14A23C" w14:textId="77777777" w:rsidR="009D36DE" w:rsidRPr="009D1C04" w:rsidRDefault="009D36DE" w:rsidP="004240D2">
            <w:pPr>
              <w:jc w:val="center"/>
              <w:rPr>
                <w:b/>
                <w:bCs/>
              </w:rPr>
            </w:pPr>
            <w:r w:rsidRPr="009D1C04">
              <w:rPr>
                <w:b/>
                <w:bCs/>
              </w:rPr>
              <w:t>Tiesību akt</w:t>
            </w:r>
            <w:r w:rsidR="00255A44">
              <w:rPr>
                <w:b/>
                <w:bCs/>
              </w:rPr>
              <w:t>a</w:t>
            </w:r>
            <w:r w:rsidRPr="009D1C04">
              <w:rPr>
                <w:b/>
                <w:bCs/>
              </w:rPr>
              <w:t xml:space="preserve"> projekt</w:t>
            </w:r>
            <w:r w:rsidR="00255A44">
              <w:rPr>
                <w:b/>
                <w:bCs/>
              </w:rPr>
              <w:t>a</w:t>
            </w:r>
            <w:r w:rsidRPr="009D1C04">
              <w:rPr>
                <w:b/>
                <w:bCs/>
              </w:rPr>
              <w:t xml:space="preserve"> anotācijas kopsavilkums</w:t>
            </w:r>
          </w:p>
        </w:tc>
      </w:tr>
      <w:tr w:rsidR="009D36DE" w:rsidRPr="009D1C04" w14:paraId="35BEEB58" w14:textId="77777777" w:rsidTr="000A3BB4">
        <w:trPr>
          <w:trHeight w:val="1243"/>
        </w:trPr>
        <w:tc>
          <w:tcPr>
            <w:tcW w:w="27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FFA094" w14:textId="77777777" w:rsidR="009D36DE" w:rsidRPr="009D1C04" w:rsidRDefault="009D36DE" w:rsidP="000A3BB4">
            <w:pPr>
              <w:ind w:left="114" w:right="125"/>
              <w:jc w:val="both"/>
            </w:pPr>
            <w:r w:rsidRPr="009D1C04">
              <w:t>Mērķis, risinājums un projekta spēkā stāšanās laiks (500 zīmes bez atstarpēm)</w:t>
            </w:r>
          </w:p>
        </w:tc>
        <w:tc>
          <w:tcPr>
            <w:tcW w:w="678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C02E5A" w14:textId="4172B837" w:rsidR="00853AC5" w:rsidRPr="009D1C04" w:rsidRDefault="00F91C50" w:rsidP="000A3BB4">
            <w:pPr>
              <w:shd w:val="clear" w:color="auto" w:fill="FFFFFF"/>
              <w:ind w:left="101" w:right="108"/>
              <w:jc w:val="both"/>
            </w:pPr>
            <w:r>
              <w:rPr>
                <w:iCs/>
              </w:rPr>
              <w:t xml:space="preserve">Ministru kabineta </w:t>
            </w:r>
            <w:r w:rsidR="00853AC5" w:rsidRPr="00B47322">
              <w:rPr>
                <w:iCs/>
              </w:rPr>
              <w:t xml:space="preserve">rīkojuma projekta </w:t>
            </w:r>
            <w:r w:rsidR="005057C4">
              <w:rPr>
                <w:iCs/>
              </w:rPr>
              <w:t>"</w:t>
            </w:r>
            <w:r w:rsidR="00853AC5" w:rsidRPr="00B47322">
              <w:rPr>
                <w:bCs/>
              </w:rPr>
              <w:t xml:space="preserve">Par apropriācijas </w:t>
            </w:r>
            <w:r w:rsidR="00064D12" w:rsidRPr="00B47322">
              <w:rPr>
                <w:bCs/>
              </w:rPr>
              <w:t>pārdali</w:t>
            </w:r>
            <w:r w:rsidR="005057C4">
              <w:rPr>
                <w:iCs/>
              </w:rPr>
              <w:t>"</w:t>
            </w:r>
            <w:r w:rsidR="00853AC5" w:rsidRPr="00B47322">
              <w:rPr>
                <w:iCs/>
              </w:rPr>
              <w:t xml:space="preserve"> (turpmāk –</w:t>
            </w:r>
            <w:r w:rsidR="00FB72F9">
              <w:rPr>
                <w:iCs/>
              </w:rPr>
              <w:t xml:space="preserve"> </w:t>
            </w:r>
            <w:r w:rsidR="00853AC5" w:rsidRPr="00B47322">
              <w:rPr>
                <w:iCs/>
              </w:rPr>
              <w:t xml:space="preserve">projekts) mērķis ir </w:t>
            </w:r>
            <w:r w:rsidR="00493BE8" w:rsidRPr="00B47322">
              <w:rPr>
                <w:iCs/>
              </w:rPr>
              <w:t xml:space="preserve">efektīva </w:t>
            </w:r>
            <w:r w:rsidR="00493BE8" w:rsidRPr="003159B9">
              <w:rPr>
                <w:iCs/>
              </w:rPr>
              <w:t xml:space="preserve">valsts budžeta līdzekļu izlietošana, </w:t>
            </w:r>
            <w:r w:rsidR="008A3323" w:rsidRPr="003159B9">
              <w:rPr>
                <w:iCs/>
              </w:rPr>
              <w:t>paredzot</w:t>
            </w:r>
            <w:r w:rsidR="005B08DC" w:rsidRPr="003159B9">
              <w:rPr>
                <w:iCs/>
              </w:rPr>
              <w:t xml:space="preserve"> </w:t>
            </w:r>
            <w:r w:rsidR="008A3323" w:rsidRPr="003159B9">
              <w:rPr>
                <w:iCs/>
              </w:rPr>
              <w:t>apropriācijas</w:t>
            </w:r>
            <w:r w:rsidR="005B08DC" w:rsidRPr="003159B9">
              <w:rPr>
                <w:iCs/>
              </w:rPr>
              <w:t xml:space="preserve"> </w:t>
            </w:r>
            <w:r w:rsidR="008A3323" w:rsidRPr="003159B9">
              <w:rPr>
                <w:iCs/>
              </w:rPr>
              <w:t>pārdali</w:t>
            </w:r>
            <w:r w:rsidR="005B08DC" w:rsidRPr="003159B9">
              <w:rPr>
                <w:iCs/>
              </w:rPr>
              <w:t xml:space="preserve"> </w:t>
            </w:r>
            <w:r w:rsidR="008A3323" w:rsidRPr="003159B9">
              <w:rPr>
                <w:iCs/>
              </w:rPr>
              <w:t xml:space="preserve">uz </w:t>
            </w:r>
            <w:r w:rsidR="000D5F41" w:rsidRPr="003159B9">
              <w:rPr>
                <w:color w:val="212121"/>
                <w:shd w:val="clear" w:color="auto" w:fill="FFFFFF"/>
              </w:rPr>
              <w:t xml:space="preserve">Izglītības un zinātnes ministrijas budžeta apakšprogrammu 42.06.00 “Valsts izglītības satura centra darbības nodrošināšana”, lai </w:t>
            </w:r>
            <w:r w:rsidR="00992CC4" w:rsidRPr="003159B9">
              <w:t>nodrošinātu</w:t>
            </w:r>
            <w:r w:rsidR="000D5F41" w:rsidRPr="003159B9">
              <w:t xml:space="preserve"> </w:t>
            </w:r>
            <w:r w:rsidR="00F21B6D" w:rsidRPr="003159B9">
              <w:t xml:space="preserve">Speciālās izglītības nodaļas un </w:t>
            </w:r>
            <w:r w:rsidR="000D5F41" w:rsidRPr="003159B9">
              <w:t>Valsts pedagoģiski medicīniskās komisijas</w:t>
            </w:r>
            <w:r w:rsidR="000D5F41" w:rsidRPr="000D5F41">
              <w:t xml:space="preserve"> </w:t>
            </w:r>
            <w:r w:rsidR="00992CC4">
              <w:t xml:space="preserve">darba nepārtrauktību jaunajā mācību gadā, </w:t>
            </w:r>
            <w:r w:rsidR="002F1A25">
              <w:t xml:space="preserve"> </w:t>
            </w:r>
            <w:r w:rsidR="000D5F41" w:rsidRPr="000D5F41">
              <w:t>sniegto pakalpojumu pieejamīb</w:t>
            </w:r>
            <w:r w:rsidR="00EF37BD">
              <w:t>u</w:t>
            </w:r>
            <w:r w:rsidR="00992CC4">
              <w:t>,</w:t>
            </w:r>
            <w:r w:rsidR="00811E68">
              <w:t xml:space="preserve"> </w:t>
            </w:r>
            <w:r w:rsidR="00992CC4">
              <w:t>mazinot rindas un nodrošinot komisijas kapacitāti</w:t>
            </w:r>
            <w:r w:rsidR="005839BF">
              <w:t>.</w:t>
            </w:r>
          </w:p>
        </w:tc>
      </w:tr>
    </w:tbl>
    <w:p w14:paraId="78574EBB" w14:textId="77777777" w:rsidR="009D36DE" w:rsidRPr="009D1C04" w:rsidRDefault="009D36DE" w:rsidP="004240D2">
      <w:pPr>
        <w:jc w:val="center"/>
        <w:rPr>
          <w:b/>
          <w:highlight w:val="green"/>
        </w:rPr>
      </w:pPr>
    </w:p>
    <w:tbl>
      <w:tblPr>
        <w:tblpPr w:leftFromText="180" w:rightFromText="180" w:vertAnchor="text" w:tblpXSpec="right" w:tblpY="1"/>
        <w:tblOverlap w:val="never"/>
        <w:tblW w:w="5161" w:type="pct"/>
        <w:tblCellMar>
          <w:left w:w="10" w:type="dxa"/>
          <w:right w:w="10" w:type="dxa"/>
        </w:tblCellMar>
        <w:tblLook w:val="0000" w:firstRow="0" w:lastRow="0" w:firstColumn="0" w:lastColumn="0" w:noHBand="0" w:noVBand="0"/>
      </w:tblPr>
      <w:tblGrid>
        <w:gridCol w:w="426"/>
        <w:gridCol w:w="2121"/>
        <w:gridCol w:w="6801"/>
      </w:tblGrid>
      <w:tr w:rsidR="009D36DE" w:rsidRPr="009D1C04" w14:paraId="308FB89A" w14:textId="77777777" w:rsidTr="000A3BB4">
        <w:trPr>
          <w:trHeight w:val="340"/>
        </w:trPr>
        <w:tc>
          <w:tcPr>
            <w:tcW w:w="93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48744BE0" w14:textId="77777777" w:rsidR="009D36DE" w:rsidRPr="009D1C04" w:rsidRDefault="009D36DE" w:rsidP="007A40D1">
            <w:pPr>
              <w:jc w:val="center"/>
              <w:rPr>
                <w:b/>
                <w:bCs/>
              </w:rPr>
            </w:pPr>
            <w:r w:rsidRPr="009D1C04">
              <w:rPr>
                <w:b/>
                <w:bCs/>
              </w:rPr>
              <w:t>I. Tiesību akt</w:t>
            </w:r>
            <w:r w:rsidR="00255A44">
              <w:rPr>
                <w:b/>
                <w:bCs/>
              </w:rPr>
              <w:t>a</w:t>
            </w:r>
            <w:r w:rsidRPr="009D1C04">
              <w:rPr>
                <w:b/>
                <w:bCs/>
              </w:rPr>
              <w:t xml:space="preserve"> projekt</w:t>
            </w:r>
            <w:r w:rsidR="00255A44">
              <w:rPr>
                <w:b/>
                <w:bCs/>
              </w:rPr>
              <w:t>a</w:t>
            </w:r>
            <w:r w:rsidRPr="009D1C04">
              <w:rPr>
                <w:b/>
                <w:bCs/>
              </w:rPr>
              <w:t xml:space="preserve"> izstrādes nepieciešamība</w:t>
            </w:r>
          </w:p>
        </w:tc>
      </w:tr>
      <w:tr w:rsidR="009D36DE" w:rsidRPr="009D1C04" w14:paraId="02685012" w14:textId="77777777" w:rsidTr="000A3BB4">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9B8D3" w14:textId="77777777" w:rsidR="009D36DE" w:rsidRPr="009D1C04" w:rsidRDefault="009D36DE" w:rsidP="007A40D1">
            <w:r w:rsidRPr="009D1C0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243810" w14:textId="77777777" w:rsidR="009D36DE" w:rsidRDefault="009D36DE" w:rsidP="007A40D1">
            <w:r w:rsidRPr="009D1C04">
              <w:t>Pamatojums</w:t>
            </w:r>
          </w:p>
          <w:p w14:paraId="2E3569A4" w14:textId="77777777" w:rsidR="00B2141A" w:rsidRPr="00B2141A" w:rsidRDefault="00B2141A" w:rsidP="007A40D1"/>
          <w:p w14:paraId="52228215" w14:textId="77777777" w:rsidR="00B2141A" w:rsidRPr="00B2141A" w:rsidRDefault="00B2141A" w:rsidP="007A40D1"/>
          <w:p w14:paraId="10E540BD" w14:textId="77777777" w:rsidR="00B2141A" w:rsidRPr="00B2141A" w:rsidRDefault="00B2141A" w:rsidP="007A40D1"/>
          <w:p w14:paraId="45F155B9" w14:textId="77777777" w:rsidR="00B2141A" w:rsidRPr="00B2141A" w:rsidRDefault="00B2141A" w:rsidP="007A40D1"/>
          <w:p w14:paraId="5672637C" w14:textId="77777777" w:rsidR="00B2141A" w:rsidRPr="00B2141A" w:rsidRDefault="00B2141A" w:rsidP="007A40D1"/>
          <w:p w14:paraId="7D5F7E9C" w14:textId="77777777" w:rsidR="00B2141A" w:rsidRPr="00B2141A" w:rsidRDefault="00B2141A" w:rsidP="007A40D1"/>
          <w:p w14:paraId="53891C75" w14:textId="77777777" w:rsidR="00B2141A" w:rsidRPr="00B2141A" w:rsidRDefault="00B2141A" w:rsidP="007A40D1"/>
          <w:p w14:paraId="4E15A306" w14:textId="77777777" w:rsidR="00B2141A" w:rsidRPr="00B2141A" w:rsidRDefault="00B2141A" w:rsidP="007A40D1"/>
          <w:p w14:paraId="2F1BF3F3" w14:textId="77777777" w:rsidR="00B2141A" w:rsidRPr="00B2141A" w:rsidRDefault="00B2141A" w:rsidP="007A40D1"/>
          <w:p w14:paraId="5E6A71CA" w14:textId="77777777" w:rsidR="00B2141A" w:rsidRPr="00B2141A" w:rsidRDefault="00B2141A" w:rsidP="007A40D1"/>
          <w:p w14:paraId="349C3B49" w14:textId="77777777" w:rsidR="00B2141A" w:rsidRPr="00B2141A" w:rsidRDefault="00B2141A" w:rsidP="007A40D1"/>
          <w:p w14:paraId="689B1E62" w14:textId="77777777" w:rsidR="00B2141A" w:rsidRPr="00B2141A" w:rsidRDefault="00B2141A" w:rsidP="007A40D1">
            <w:pPr>
              <w:ind w:firstLine="720"/>
            </w:pPr>
          </w:p>
        </w:tc>
        <w:tc>
          <w:tcPr>
            <w:tcW w:w="68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7349F9" w14:textId="4153431C" w:rsidR="00992CC4" w:rsidRPr="006A6235" w:rsidRDefault="007B4EEF" w:rsidP="000A3BB4">
            <w:pPr>
              <w:ind w:left="105" w:right="113"/>
              <w:jc w:val="both"/>
              <w:rPr>
                <w:shd w:val="clear" w:color="auto" w:fill="FFFFFF"/>
              </w:rPr>
            </w:pPr>
            <w:r>
              <w:t xml:space="preserve">Izglītības un zinātnes ministrija </w:t>
            </w:r>
            <w:r w:rsidR="00E9372F">
              <w:t xml:space="preserve">sadarbībā ar Pārresoru koordinācijas centru ir sagatavojusi </w:t>
            </w:r>
            <w:r w:rsidR="003E237F" w:rsidRPr="003E237F">
              <w:t xml:space="preserve">Ministru kabineta </w:t>
            </w:r>
            <w:r w:rsidR="00E9372F">
              <w:t>rīkojuma projektu “Par apr</w:t>
            </w:r>
            <w:r w:rsidR="009A1520">
              <w:t>o</w:t>
            </w:r>
            <w:r w:rsidR="00E9372F">
              <w:t>priācijas pārdali”</w:t>
            </w:r>
            <w:r w:rsidR="008D575B">
              <w:t xml:space="preserve"> 2021.gadā</w:t>
            </w:r>
            <w:r w:rsidR="00456E0C">
              <w:t>,</w:t>
            </w:r>
            <w:r w:rsidR="008D575B">
              <w:t xml:space="preserve"> 2022.gadā </w:t>
            </w:r>
            <w:r w:rsidR="00456E0C">
              <w:t xml:space="preserve">un turpmāk </w:t>
            </w:r>
            <w:r w:rsidR="008D575B">
              <w:t>ik gadu,</w:t>
            </w:r>
            <w:r w:rsidR="0041136C">
              <w:t xml:space="preserve"> </w:t>
            </w:r>
            <w:r w:rsidR="00456E0C">
              <w:t>ņemot vērā</w:t>
            </w:r>
            <w:r w:rsidR="00992CC4">
              <w:t xml:space="preserve"> </w:t>
            </w:r>
            <w:r w:rsidR="0041136C" w:rsidRPr="00941A1A">
              <w:rPr>
                <w:shd w:val="clear" w:color="auto" w:fill="FFFFFF"/>
              </w:rPr>
              <w:t>Ministru kabineta 2020.gada 22.septembra sēdes protokollēmum</w:t>
            </w:r>
            <w:r w:rsidR="00456E0C">
              <w:rPr>
                <w:shd w:val="clear" w:color="auto" w:fill="FFFFFF"/>
              </w:rPr>
              <w:t>u</w:t>
            </w:r>
            <w:r w:rsidR="0041136C" w:rsidRPr="00941A1A">
              <w:rPr>
                <w:shd w:val="clear" w:color="auto" w:fill="FFFFFF"/>
              </w:rPr>
              <w:t xml:space="preserve"> (prot. Nr. 55 38.§ 2.punkts) “Informatīvais ziņojums “Par priekšlikumiem valsts budžeta ieņēmumiem un izdevumiem 2021.gadam un ietvaram 2021.- 2023.gadam</w:t>
            </w:r>
            <w:r w:rsidR="00456E0C">
              <w:rPr>
                <w:shd w:val="clear" w:color="auto" w:fill="FFFFFF"/>
              </w:rPr>
              <w:t>”</w:t>
            </w:r>
            <w:r w:rsidR="00992CC4">
              <w:t>.</w:t>
            </w:r>
            <w:r w:rsidR="00971FFD">
              <w:rPr>
                <w:shd w:val="clear" w:color="auto" w:fill="FFFFFF"/>
              </w:rPr>
              <w:t xml:space="preserve"> </w:t>
            </w:r>
          </w:p>
          <w:p w14:paraId="315419A3" w14:textId="00A1F9AC" w:rsidR="006A6235" w:rsidRPr="009D1C04" w:rsidRDefault="00992CC4" w:rsidP="00D058AE">
            <w:pPr>
              <w:pStyle w:val="ListParagraph"/>
              <w:numPr>
                <w:ilvl w:val="0"/>
                <w:numId w:val="17"/>
              </w:numPr>
              <w:ind w:left="110" w:right="109"/>
              <w:jc w:val="both"/>
            </w:pPr>
            <w:r>
              <w:rPr>
                <w:shd w:val="clear" w:color="auto" w:fill="FFFFFF"/>
              </w:rPr>
              <w:t>P</w:t>
            </w:r>
            <w:r w:rsidR="0041136C" w:rsidRPr="006A6235">
              <w:rPr>
                <w:shd w:val="clear" w:color="auto" w:fill="FFFFFF"/>
              </w:rPr>
              <w:t xml:space="preserve">iešķirtā finansējuma ietvaros Izglītības </w:t>
            </w:r>
            <w:r w:rsidR="0041136C" w:rsidRPr="003159B9">
              <w:rPr>
                <w:shd w:val="clear" w:color="auto" w:fill="FFFFFF"/>
              </w:rPr>
              <w:t>un zinātnes ministrijas  Valsts izglītības satura centr</w:t>
            </w:r>
            <w:r w:rsidRPr="003159B9">
              <w:rPr>
                <w:shd w:val="clear" w:color="auto" w:fill="FFFFFF"/>
              </w:rPr>
              <w:t>s</w:t>
            </w:r>
            <w:r w:rsidR="0041136C" w:rsidRPr="003159B9">
              <w:rPr>
                <w:shd w:val="clear" w:color="auto" w:fill="FFFFFF"/>
              </w:rPr>
              <w:t xml:space="preserve"> </w:t>
            </w:r>
            <w:r w:rsidRPr="003159B9">
              <w:rPr>
                <w:shd w:val="clear" w:color="auto" w:fill="FFFFFF"/>
              </w:rPr>
              <w:t xml:space="preserve">plāno </w:t>
            </w:r>
            <w:r w:rsidR="0041136C" w:rsidRPr="003159B9">
              <w:rPr>
                <w:shd w:val="clear" w:color="auto" w:fill="FFFFFF"/>
              </w:rPr>
              <w:t xml:space="preserve"> </w:t>
            </w:r>
            <w:r w:rsidRPr="003159B9">
              <w:rPr>
                <w:shd w:val="clear" w:color="auto" w:fill="FFFFFF"/>
              </w:rPr>
              <w:t xml:space="preserve">nodrošināt  </w:t>
            </w:r>
            <w:r w:rsidR="00F21B6D" w:rsidRPr="003159B9">
              <w:rPr>
                <w:shd w:val="clear" w:color="auto" w:fill="FFFFFF"/>
              </w:rPr>
              <w:t xml:space="preserve">Speciālās izglītības nodaļas un </w:t>
            </w:r>
            <w:r w:rsidRPr="003159B9">
              <w:rPr>
                <w:shd w:val="clear" w:color="auto" w:fill="FFFFFF"/>
              </w:rPr>
              <w:t>Valsts pedagoģiski medicīniskās komisijas (VPMK) darba nepārtrauktību</w:t>
            </w:r>
            <w:r w:rsidR="00D058AE" w:rsidRPr="003159B9">
              <w:rPr>
                <w:shd w:val="clear" w:color="auto" w:fill="FFFFFF"/>
              </w:rPr>
              <w:t>,</w:t>
            </w:r>
            <w:r w:rsidRPr="003159B9">
              <w:rPr>
                <w:shd w:val="clear" w:color="auto" w:fill="FFFFFF"/>
              </w:rPr>
              <w:t xml:space="preserve"> </w:t>
            </w:r>
            <w:r w:rsidR="00D058AE" w:rsidRPr="003159B9">
              <w:rPr>
                <w:shd w:val="clear" w:color="auto" w:fill="FFFFFF"/>
              </w:rPr>
              <w:t xml:space="preserve">uzlabojot </w:t>
            </w:r>
            <w:r w:rsidR="0041136C" w:rsidRPr="003159B9">
              <w:rPr>
                <w:shd w:val="clear" w:color="auto" w:fill="FFFFFF"/>
              </w:rPr>
              <w:t>sniegto pakalpojumu pieejamīb</w:t>
            </w:r>
            <w:r w:rsidR="00D058AE" w:rsidRPr="003159B9">
              <w:rPr>
                <w:shd w:val="clear" w:color="auto" w:fill="FFFFFF"/>
              </w:rPr>
              <w:t>u</w:t>
            </w:r>
            <w:r w:rsidR="0041136C" w:rsidRPr="003159B9">
              <w:rPr>
                <w:shd w:val="clear" w:color="auto" w:fill="FFFFFF"/>
              </w:rPr>
              <w:t xml:space="preserve"> un efektivitāt</w:t>
            </w:r>
            <w:r w:rsidR="00D058AE" w:rsidRPr="003159B9">
              <w:rPr>
                <w:shd w:val="clear" w:color="auto" w:fill="FFFFFF"/>
              </w:rPr>
              <w:t>i</w:t>
            </w:r>
            <w:r w:rsidR="0041136C" w:rsidRPr="003159B9">
              <w:rPr>
                <w:shd w:val="clear" w:color="auto" w:fill="FFFFFF"/>
              </w:rPr>
              <w:t xml:space="preserve"> </w:t>
            </w:r>
            <w:r w:rsidR="00D058AE" w:rsidRPr="003159B9">
              <w:rPr>
                <w:shd w:val="clear" w:color="auto" w:fill="FFFFFF"/>
              </w:rPr>
              <w:t>jaunajā mācību gadā</w:t>
            </w:r>
            <w:r w:rsidR="00F21B6D" w:rsidRPr="003159B9">
              <w:rPr>
                <w:shd w:val="clear" w:color="auto" w:fill="FFFFFF"/>
              </w:rPr>
              <w:t xml:space="preserve"> un pakalpojumu tālāku attīstību</w:t>
            </w:r>
            <w:r w:rsidR="00D058AE" w:rsidRPr="003159B9">
              <w:rPr>
                <w:shd w:val="clear" w:color="auto" w:fill="FFFFFF"/>
              </w:rPr>
              <w:t>.</w:t>
            </w:r>
          </w:p>
        </w:tc>
      </w:tr>
      <w:tr w:rsidR="00140526" w:rsidRPr="009E7875" w14:paraId="4FA23761" w14:textId="77777777" w:rsidTr="000A3BB4">
        <w:trPr>
          <w:trHeight w:val="965"/>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D46B72" w14:textId="77777777" w:rsidR="00140526" w:rsidRPr="009E7875" w:rsidRDefault="00140526" w:rsidP="007A40D1">
            <w:r w:rsidRPr="009E7875">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2AFB5D" w14:textId="77777777" w:rsidR="00140526" w:rsidRPr="000A3BB4" w:rsidRDefault="00140526" w:rsidP="000A3BB4">
            <w:pPr>
              <w:pStyle w:val="ListParagraph"/>
              <w:numPr>
                <w:ilvl w:val="0"/>
                <w:numId w:val="17"/>
              </w:numPr>
              <w:ind w:left="110" w:right="109"/>
              <w:jc w:val="both"/>
              <w:rPr>
                <w:shd w:val="clear" w:color="auto" w:fill="FFFFFF"/>
              </w:rPr>
            </w:pPr>
            <w:r w:rsidRPr="000A3BB4">
              <w:rPr>
                <w:shd w:val="clear" w:color="auto" w:fill="FFFFFF"/>
              </w:rPr>
              <w:t>Pašreizējā situācija un problēmas, kuru risināšanai tiesību akta projekts izstrādāts, tiesiskā regulējuma mērķis un būtība</w:t>
            </w:r>
          </w:p>
        </w:tc>
        <w:tc>
          <w:tcPr>
            <w:tcW w:w="68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80B431" w14:textId="60F3E944" w:rsidR="00D058AE" w:rsidRDefault="00D058AE" w:rsidP="00315988">
            <w:pPr>
              <w:ind w:left="105" w:right="115"/>
              <w:jc w:val="both"/>
            </w:pPr>
            <w:bookmarkStart w:id="0" w:name="_Hlk59121418"/>
            <w:r>
              <w:t xml:space="preserve">Apropriācijas pārdales nepieciešamību raksturo fakts, ka kādreizējais </w:t>
            </w:r>
            <w:r w:rsidRPr="00941A1A">
              <w:t xml:space="preserve">Valsts Speciālās izglītības centrs </w:t>
            </w:r>
            <w:r>
              <w:t>2009.gada k</w:t>
            </w:r>
            <w:r w:rsidRPr="00941A1A">
              <w:t>rīzes periodā tika reorganizēts</w:t>
            </w:r>
            <w:r>
              <w:t xml:space="preserve">. Ja sākotnēji centrā </w:t>
            </w:r>
            <w:r w:rsidRPr="00941A1A">
              <w:t>speciālās un iekļaujošās izglītības jomā strādāja 18 speciālisti</w:t>
            </w:r>
            <w:r>
              <w:t xml:space="preserve">, tad pēc tā </w:t>
            </w:r>
            <w:r w:rsidRPr="00941A1A">
              <w:t>reorganizācijas (sākot no 01.07.2009.g.)</w:t>
            </w:r>
            <w:r>
              <w:t xml:space="preserve">, un nu - jau </w:t>
            </w:r>
            <w:r w:rsidRPr="00941A1A">
              <w:t>Valsts izglītības satura centra Speciālās izglītības nodaļā</w:t>
            </w:r>
            <w:r>
              <w:t xml:space="preserve"> šobrīd strādājošo </w:t>
            </w:r>
            <w:r w:rsidRPr="00941A1A">
              <w:t xml:space="preserve">speciālistu skaits ir samazinājies līdz 3,2. Šobrīd tie paši 3,2 speciālisti veic </w:t>
            </w:r>
            <w:r>
              <w:t xml:space="preserve">gan </w:t>
            </w:r>
            <w:r w:rsidRPr="00941A1A">
              <w:t>V</w:t>
            </w:r>
            <w:r>
              <w:t xml:space="preserve">PMK </w:t>
            </w:r>
            <w:r w:rsidRPr="00941A1A">
              <w:t>funkciju (izvērtē izglītojamo spējas, attīstības līmeni un veselības stāvokli</w:t>
            </w:r>
            <w:r w:rsidR="00F21B6D">
              <w:t>)</w:t>
            </w:r>
            <w:r>
              <w:t xml:space="preserve">, gan arī </w:t>
            </w:r>
            <w:r w:rsidRPr="00941A1A">
              <w:t xml:space="preserve"> atbalsta sistēmas koordinēšanas funkciju (semināri, </w:t>
            </w:r>
            <w:proofErr w:type="spellStart"/>
            <w:r w:rsidRPr="00941A1A">
              <w:t>vebināri</w:t>
            </w:r>
            <w:proofErr w:type="spellEnd"/>
            <w:r w:rsidRPr="00941A1A">
              <w:t xml:space="preserve">, konferences, tiesiskā regulējuma pilnveide, pieredzes apmaiņa, metodiskie ieteikumi). </w:t>
            </w:r>
          </w:p>
          <w:p w14:paraId="1F8DAE98" w14:textId="77777777" w:rsidR="00D058AE" w:rsidRDefault="00D058AE" w:rsidP="00315988">
            <w:pPr>
              <w:ind w:left="105" w:right="115"/>
              <w:jc w:val="both"/>
              <w:rPr>
                <w:bCs/>
              </w:rPr>
            </w:pPr>
            <w:r>
              <w:t xml:space="preserve">     </w:t>
            </w:r>
            <w:r>
              <w:rPr>
                <w:bCs/>
              </w:rPr>
              <w:t xml:space="preserve">Aktuālā situācija VPMK darbības pēdējos gados apliecina gan tās nepietiekamo kapacitāti, gan arī kā sekas – neiespējamību šobrīd izstrādāt un īstenot mūsdienīgas reformas pakalpojumu pilnveidē un attīstībā. Tabulā Nr.1 redzam, ka VPMK apkalpoto klientu skaits no 2016.gada līdz 2020.gadam ir samazinājies faktiski uz pusi. Pie kam, jāņem vērā, ka tas notiek situācijā, kad pieprasījumu skaits pēc pakalpojumiem (ne tikai attīstības novērtēšanas, bet, jo īpaši – pēc atbalsta pakalpojumiem) nemitīgi palielinās, un arī bērnu ar speciālām vajadzībām skaits, kuriem tieši agrīnā preventīvā atbalsta pakalpojumu piedāvājumi būtu akūti nepieciešami, - arī katru gadu pieaug. </w:t>
            </w:r>
          </w:p>
          <w:p w14:paraId="196FBB30" w14:textId="77777777" w:rsidR="00D058AE" w:rsidRPr="00585EED" w:rsidRDefault="00D058AE" w:rsidP="00315988">
            <w:pPr>
              <w:ind w:left="105" w:right="115"/>
              <w:jc w:val="center"/>
              <w:rPr>
                <w:bCs/>
              </w:rPr>
            </w:pPr>
            <w:r>
              <w:rPr>
                <w:bCs/>
              </w:rPr>
              <w:t xml:space="preserve">Tab. Nr.1 </w:t>
            </w:r>
            <w:r w:rsidRPr="00585EED">
              <w:rPr>
                <w:bCs/>
              </w:rPr>
              <w:t xml:space="preserve">Valsts pedagoģiski medicīniskās komisijas </w:t>
            </w:r>
          </w:p>
          <w:p w14:paraId="6E6CDC3A" w14:textId="77777777" w:rsidR="00D058AE" w:rsidRPr="00585EED" w:rsidRDefault="00D058AE" w:rsidP="00315988">
            <w:pPr>
              <w:ind w:left="105" w:right="115"/>
              <w:jc w:val="center"/>
              <w:rPr>
                <w:bCs/>
              </w:rPr>
            </w:pPr>
            <w:r w:rsidRPr="00585EED">
              <w:rPr>
                <w:bCs/>
              </w:rPr>
              <w:t xml:space="preserve">(bez pašvaldību PMK klientiem) </w:t>
            </w:r>
          </w:p>
          <w:p w14:paraId="61499B53" w14:textId="77777777" w:rsidR="00D058AE" w:rsidRPr="00585EED" w:rsidRDefault="00D058AE" w:rsidP="00315988">
            <w:pPr>
              <w:ind w:left="105" w:right="115"/>
              <w:jc w:val="center"/>
              <w:rPr>
                <w:bCs/>
              </w:rPr>
            </w:pPr>
            <w:r w:rsidRPr="00585EED">
              <w:rPr>
                <w:bCs/>
              </w:rPr>
              <w:lastRenderedPageBreak/>
              <w:t>izvērtēto izglītojamo skaits pēdējo piecu gadu laikā</w:t>
            </w:r>
          </w:p>
          <w:p w14:paraId="61F9EE6F" w14:textId="30841119" w:rsidR="009B3B24" w:rsidRPr="00AC3F0C" w:rsidRDefault="006A6235" w:rsidP="00315988">
            <w:pPr>
              <w:ind w:left="105" w:right="115"/>
              <w:jc w:val="both"/>
              <w:rPr>
                <w:shd w:val="clear" w:color="auto" w:fill="FFFFFF"/>
              </w:rPr>
            </w:pPr>
            <w:r>
              <w:rPr>
                <w:shd w:val="clear" w:color="auto" w:fill="FFFFFF"/>
              </w:rPr>
              <w:t>Sagatavotais MK rīkojuma “Par apropriācijas pārdali” projekts paredz</w:t>
            </w:r>
            <w:r w:rsidR="00D058AE">
              <w:rPr>
                <w:shd w:val="clear" w:color="auto" w:fill="FFFFFF"/>
              </w:rPr>
              <w:t xml:space="preserve"> pārdali no </w:t>
            </w:r>
            <w:r>
              <w:rPr>
                <w:shd w:val="clear" w:color="auto" w:fill="FFFFFF"/>
              </w:rPr>
              <w:t xml:space="preserve"> </w:t>
            </w:r>
            <w:r w:rsidR="009D2E37" w:rsidRPr="00941A1A">
              <w:rPr>
                <w:color w:val="212121"/>
                <w:shd w:val="clear" w:color="auto" w:fill="FFFFFF"/>
              </w:rPr>
              <w:t xml:space="preserve">Pārresoru koordinācijas centra budžeta programmas 01.00.00. “Pārresoru koordinācijas </w:t>
            </w:r>
            <w:r w:rsidR="009D2E37" w:rsidRPr="003159B9">
              <w:rPr>
                <w:color w:val="212121"/>
                <w:shd w:val="clear" w:color="auto" w:fill="FFFFFF"/>
              </w:rPr>
              <w:t>centra darbības nodrošināšana”</w:t>
            </w:r>
            <w:r w:rsidR="00D058AE" w:rsidRPr="003159B9">
              <w:rPr>
                <w:color w:val="212121"/>
                <w:shd w:val="clear" w:color="auto" w:fill="FFFFFF"/>
              </w:rPr>
              <w:t xml:space="preserve"> </w:t>
            </w:r>
            <w:r w:rsidR="009D2E37" w:rsidRPr="003159B9">
              <w:rPr>
                <w:shd w:val="clear" w:color="auto" w:fill="FFFFFF"/>
              </w:rPr>
              <w:t xml:space="preserve">uz </w:t>
            </w:r>
            <w:r w:rsidR="00B447FA" w:rsidRPr="003159B9">
              <w:rPr>
                <w:shd w:val="clear" w:color="auto" w:fill="FFFFFF"/>
              </w:rPr>
              <w:t xml:space="preserve">IZM </w:t>
            </w:r>
            <w:r w:rsidR="009B3B24" w:rsidRPr="003159B9">
              <w:rPr>
                <w:shd w:val="clear" w:color="auto" w:fill="FFFFFF"/>
              </w:rPr>
              <w:t>budžeta apakšprogramm</w:t>
            </w:r>
            <w:r w:rsidR="009D2E37" w:rsidRPr="003159B9">
              <w:rPr>
                <w:shd w:val="clear" w:color="auto" w:fill="FFFFFF"/>
              </w:rPr>
              <w:t>u</w:t>
            </w:r>
            <w:r w:rsidR="009B3B24" w:rsidRPr="003159B9">
              <w:rPr>
                <w:shd w:val="clear" w:color="auto" w:fill="FFFFFF"/>
              </w:rPr>
              <w:t xml:space="preserve"> </w:t>
            </w:r>
            <w:r w:rsidR="009B3B24" w:rsidRPr="003159B9">
              <w:rPr>
                <w:color w:val="212121"/>
                <w:shd w:val="clear" w:color="auto" w:fill="FFFFFF"/>
              </w:rPr>
              <w:t>42.06.00 “Valsts izglītības satura centra darbības nodrošināšana”</w:t>
            </w:r>
            <w:r w:rsidR="00AC3F0C" w:rsidRPr="003159B9">
              <w:rPr>
                <w:shd w:val="clear" w:color="auto" w:fill="FFFFFF"/>
              </w:rPr>
              <w:t xml:space="preserve"> 2021.gadā </w:t>
            </w:r>
            <w:r w:rsidR="00F21B6D" w:rsidRPr="003159B9">
              <w:rPr>
                <w:shd w:val="clear" w:color="auto" w:fill="FFFFFF"/>
              </w:rPr>
              <w:t>75</w:t>
            </w:r>
            <w:r w:rsidR="00AC3F0C" w:rsidRPr="003159B9">
              <w:rPr>
                <w:shd w:val="clear" w:color="auto" w:fill="FFFFFF"/>
              </w:rPr>
              <w:t> </w:t>
            </w:r>
            <w:r w:rsidR="00F21B6D" w:rsidRPr="003159B9">
              <w:rPr>
                <w:shd w:val="clear" w:color="auto" w:fill="FFFFFF"/>
              </w:rPr>
              <w:t>828</w:t>
            </w:r>
            <w:r w:rsidR="00AC3F0C" w:rsidRPr="003159B9">
              <w:rPr>
                <w:shd w:val="clear" w:color="auto" w:fill="FFFFFF"/>
              </w:rPr>
              <w:t xml:space="preserve"> </w:t>
            </w:r>
            <w:r w:rsidR="00AC3F0C" w:rsidRPr="003159B9">
              <w:rPr>
                <w:i/>
                <w:shd w:val="clear" w:color="auto" w:fill="FFFFFF"/>
              </w:rPr>
              <w:t>euro</w:t>
            </w:r>
            <w:r w:rsidR="00CE395A" w:rsidRPr="003159B9">
              <w:rPr>
                <w:shd w:val="clear" w:color="auto" w:fill="FFFFFF"/>
              </w:rPr>
              <w:t>,</w:t>
            </w:r>
            <w:r w:rsidR="00B447FA" w:rsidRPr="003159B9">
              <w:rPr>
                <w:shd w:val="clear" w:color="auto" w:fill="FFFFFF"/>
              </w:rPr>
              <w:t xml:space="preserve"> </w:t>
            </w:r>
            <w:r w:rsidR="00AC3F0C" w:rsidRPr="003159B9">
              <w:rPr>
                <w:shd w:val="clear" w:color="auto" w:fill="FFFFFF"/>
              </w:rPr>
              <w:t xml:space="preserve">2022.gadā </w:t>
            </w:r>
            <w:r w:rsidR="00FA5824" w:rsidRPr="003159B9">
              <w:rPr>
                <w:shd w:val="clear" w:color="auto" w:fill="FFFFFF"/>
              </w:rPr>
              <w:t>2</w:t>
            </w:r>
            <w:r w:rsidR="00F21B6D" w:rsidRPr="003159B9">
              <w:rPr>
                <w:shd w:val="clear" w:color="auto" w:fill="FFFFFF"/>
              </w:rPr>
              <w:t>17</w:t>
            </w:r>
            <w:r w:rsidR="00FA5824" w:rsidRPr="003159B9">
              <w:rPr>
                <w:shd w:val="clear" w:color="auto" w:fill="FFFFFF"/>
              </w:rPr>
              <w:t> </w:t>
            </w:r>
            <w:r w:rsidR="00F21B6D" w:rsidRPr="003159B9">
              <w:rPr>
                <w:shd w:val="clear" w:color="auto" w:fill="FFFFFF"/>
              </w:rPr>
              <w:t>818</w:t>
            </w:r>
            <w:r w:rsidR="007A038C" w:rsidRPr="003159B9">
              <w:rPr>
                <w:shd w:val="clear" w:color="auto" w:fill="FFFFFF"/>
              </w:rPr>
              <w:t xml:space="preserve"> </w:t>
            </w:r>
            <w:r w:rsidR="00AE56BA" w:rsidRPr="003159B9">
              <w:rPr>
                <w:i/>
                <w:iCs/>
              </w:rPr>
              <w:t>euro</w:t>
            </w:r>
            <w:r w:rsidR="00AC3F0C" w:rsidRPr="003159B9">
              <w:rPr>
                <w:shd w:val="clear" w:color="auto" w:fill="FFFFFF"/>
              </w:rPr>
              <w:t>,</w:t>
            </w:r>
            <w:r w:rsidR="00F21B6D" w:rsidRPr="003159B9">
              <w:rPr>
                <w:shd w:val="clear" w:color="auto" w:fill="FFFFFF"/>
              </w:rPr>
              <w:t xml:space="preserve"> </w:t>
            </w:r>
            <w:r w:rsidR="00AE56BA" w:rsidRPr="003159B9">
              <w:rPr>
                <w:shd w:val="clear" w:color="auto" w:fill="FFFFFF"/>
              </w:rPr>
              <w:t xml:space="preserve">2023.gadā un </w:t>
            </w:r>
            <w:r w:rsidR="007A038C" w:rsidRPr="003159B9">
              <w:rPr>
                <w:shd w:val="clear" w:color="auto" w:fill="FFFFFF"/>
              </w:rPr>
              <w:t>turpmāk</w:t>
            </w:r>
            <w:r w:rsidR="00AE56BA" w:rsidRPr="003159B9">
              <w:rPr>
                <w:shd w:val="clear" w:color="auto" w:fill="FFFFFF"/>
              </w:rPr>
              <w:t xml:space="preserve"> ik</w:t>
            </w:r>
            <w:r w:rsidR="007A038C" w:rsidRPr="003159B9">
              <w:rPr>
                <w:shd w:val="clear" w:color="auto" w:fill="FFFFFF"/>
              </w:rPr>
              <w:t xml:space="preserve"> </w:t>
            </w:r>
            <w:r w:rsidR="009D2E37" w:rsidRPr="003159B9">
              <w:rPr>
                <w:shd w:val="clear" w:color="auto" w:fill="FFFFFF"/>
              </w:rPr>
              <w:t xml:space="preserve">gadu </w:t>
            </w:r>
            <w:r w:rsidR="00AC3F0C" w:rsidRPr="003159B9">
              <w:rPr>
                <w:shd w:val="clear" w:color="auto" w:fill="FFFFFF"/>
              </w:rPr>
              <w:t>20</w:t>
            </w:r>
            <w:r w:rsidR="00F21B6D" w:rsidRPr="003159B9">
              <w:rPr>
                <w:shd w:val="clear" w:color="auto" w:fill="FFFFFF"/>
              </w:rPr>
              <w:t>2</w:t>
            </w:r>
            <w:r w:rsidR="00AC3F0C" w:rsidRPr="003159B9">
              <w:rPr>
                <w:shd w:val="clear" w:color="auto" w:fill="FFFFFF"/>
              </w:rPr>
              <w:t xml:space="preserve"> 465 </w:t>
            </w:r>
            <w:r w:rsidR="00AC3F0C" w:rsidRPr="003159B9">
              <w:rPr>
                <w:i/>
                <w:iCs/>
              </w:rPr>
              <w:t xml:space="preserve">euro </w:t>
            </w:r>
            <w:r w:rsidR="00AC3F0C" w:rsidRPr="003159B9">
              <w:rPr>
                <w:iCs/>
              </w:rPr>
              <w:t>apmērā.</w:t>
            </w:r>
          </w:p>
          <w:p w14:paraId="4C3CF562" w14:textId="7057524A" w:rsidR="008D6E7D" w:rsidRDefault="008D6E7D" w:rsidP="00315988">
            <w:pPr>
              <w:ind w:left="105" w:right="115"/>
              <w:jc w:val="both"/>
              <w:rPr>
                <w:shd w:val="clear" w:color="auto" w:fill="FFFFFF"/>
              </w:rPr>
            </w:pPr>
            <w:r>
              <w:rPr>
                <w:shd w:val="clear" w:color="auto" w:fill="FFFFFF"/>
              </w:rPr>
              <w:t xml:space="preserve">      </w:t>
            </w:r>
          </w:p>
          <w:p w14:paraId="0EFE3F25" w14:textId="0F0E4041" w:rsidR="00381766" w:rsidRDefault="008D6E7D" w:rsidP="00315988">
            <w:pPr>
              <w:ind w:left="105" w:right="115"/>
              <w:jc w:val="both"/>
            </w:pPr>
            <w:r>
              <w:rPr>
                <w:shd w:val="clear" w:color="auto" w:fill="FFFFFF"/>
              </w:rPr>
              <w:t xml:space="preserve">      </w:t>
            </w:r>
            <w:r w:rsidR="00381766">
              <w:rPr>
                <w:shd w:val="clear" w:color="auto" w:fill="FFFFFF"/>
              </w:rPr>
              <w:t xml:space="preserve">     </w:t>
            </w:r>
            <w:r w:rsidR="00BB2AD6">
              <w:t xml:space="preserve">      </w:t>
            </w:r>
          </w:p>
          <w:p w14:paraId="7EE2DB9F" w14:textId="119CEAAD" w:rsidR="00941A1A" w:rsidRPr="00585EED" w:rsidRDefault="00381766" w:rsidP="00315988">
            <w:pPr>
              <w:ind w:left="105" w:right="115"/>
              <w:jc w:val="center"/>
              <w:rPr>
                <w:bCs/>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461"/>
            </w:tblGrid>
            <w:tr w:rsidR="00941A1A" w:rsidRPr="00941A1A" w14:paraId="186DDBC5" w14:textId="77777777" w:rsidTr="0023038D">
              <w:tc>
                <w:tcPr>
                  <w:tcW w:w="4261" w:type="dxa"/>
                  <w:shd w:val="clear" w:color="auto" w:fill="auto"/>
                </w:tcPr>
                <w:p w14:paraId="60106F53" w14:textId="77777777" w:rsidR="00941A1A" w:rsidRPr="00941A1A" w:rsidRDefault="00941A1A" w:rsidP="003E2B3A">
                  <w:pPr>
                    <w:framePr w:hSpace="180" w:wrap="around" w:vAnchor="text" w:hAnchor="text" w:xAlign="right" w:y="1"/>
                    <w:ind w:left="105" w:right="115"/>
                    <w:suppressOverlap/>
                    <w:jc w:val="center"/>
                    <w:rPr>
                      <w:b/>
                    </w:rPr>
                  </w:pPr>
                  <w:r w:rsidRPr="00941A1A">
                    <w:rPr>
                      <w:b/>
                    </w:rPr>
                    <w:t>Gads</w:t>
                  </w:r>
                </w:p>
              </w:tc>
              <w:tc>
                <w:tcPr>
                  <w:tcW w:w="4261" w:type="dxa"/>
                  <w:shd w:val="clear" w:color="auto" w:fill="auto"/>
                </w:tcPr>
                <w:p w14:paraId="718BBA10" w14:textId="77777777" w:rsidR="00941A1A" w:rsidRPr="00941A1A" w:rsidRDefault="00941A1A" w:rsidP="003E2B3A">
                  <w:pPr>
                    <w:framePr w:hSpace="180" w:wrap="around" w:vAnchor="text" w:hAnchor="text" w:xAlign="right" w:y="1"/>
                    <w:ind w:left="105" w:right="115"/>
                    <w:suppressOverlap/>
                    <w:jc w:val="center"/>
                    <w:rPr>
                      <w:b/>
                    </w:rPr>
                  </w:pPr>
                  <w:r w:rsidRPr="00941A1A">
                    <w:rPr>
                      <w:b/>
                    </w:rPr>
                    <w:t>Izglītojamo skaits</w:t>
                  </w:r>
                </w:p>
              </w:tc>
            </w:tr>
            <w:tr w:rsidR="00941A1A" w:rsidRPr="00941A1A" w14:paraId="568CEB04" w14:textId="77777777" w:rsidTr="0023038D">
              <w:tc>
                <w:tcPr>
                  <w:tcW w:w="4261" w:type="dxa"/>
                  <w:shd w:val="clear" w:color="auto" w:fill="auto"/>
                </w:tcPr>
                <w:p w14:paraId="4994D408" w14:textId="77777777" w:rsidR="00941A1A" w:rsidRPr="00941A1A" w:rsidRDefault="00941A1A" w:rsidP="003E2B3A">
                  <w:pPr>
                    <w:framePr w:hSpace="180" w:wrap="around" w:vAnchor="text" w:hAnchor="text" w:xAlign="right" w:y="1"/>
                    <w:ind w:left="105" w:right="115"/>
                    <w:suppressOverlap/>
                  </w:pPr>
                  <w:r w:rsidRPr="00941A1A">
                    <w:t>2020.</w:t>
                  </w:r>
                </w:p>
              </w:tc>
              <w:tc>
                <w:tcPr>
                  <w:tcW w:w="4261" w:type="dxa"/>
                  <w:shd w:val="clear" w:color="auto" w:fill="auto"/>
                </w:tcPr>
                <w:p w14:paraId="6D970AF9" w14:textId="77777777" w:rsidR="00941A1A" w:rsidRPr="00941A1A" w:rsidRDefault="00941A1A" w:rsidP="003E2B3A">
                  <w:pPr>
                    <w:framePr w:hSpace="180" w:wrap="around" w:vAnchor="text" w:hAnchor="text" w:xAlign="right" w:y="1"/>
                    <w:ind w:left="105" w:right="115"/>
                    <w:suppressOverlap/>
                  </w:pPr>
                  <w:r w:rsidRPr="00941A1A">
                    <w:t>434</w:t>
                  </w:r>
                </w:p>
              </w:tc>
            </w:tr>
            <w:tr w:rsidR="00941A1A" w:rsidRPr="00941A1A" w14:paraId="2FAB761C" w14:textId="77777777" w:rsidTr="0023038D">
              <w:tc>
                <w:tcPr>
                  <w:tcW w:w="4261" w:type="dxa"/>
                  <w:shd w:val="clear" w:color="auto" w:fill="auto"/>
                </w:tcPr>
                <w:p w14:paraId="7720DC54" w14:textId="77777777" w:rsidR="00941A1A" w:rsidRPr="00941A1A" w:rsidRDefault="00941A1A" w:rsidP="003E2B3A">
                  <w:pPr>
                    <w:framePr w:hSpace="180" w:wrap="around" w:vAnchor="text" w:hAnchor="text" w:xAlign="right" w:y="1"/>
                    <w:ind w:left="105" w:right="115"/>
                    <w:suppressOverlap/>
                  </w:pPr>
                  <w:r w:rsidRPr="00941A1A">
                    <w:t>2019.</w:t>
                  </w:r>
                </w:p>
              </w:tc>
              <w:tc>
                <w:tcPr>
                  <w:tcW w:w="4261" w:type="dxa"/>
                  <w:shd w:val="clear" w:color="auto" w:fill="auto"/>
                </w:tcPr>
                <w:p w14:paraId="42B18797" w14:textId="77777777" w:rsidR="00941A1A" w:rsidRPr="00941A1A" w:rsidRDefault="00941A1A" w:rsidP="003E2B3A">
                  <w:pPr>
                    <w:framePr w:hSpace="180" w:wrap="around" w:vAnchor="text" w:hAnchor="text" w:xAlign="right" w:y="1"/>
                    <w:ind w:left="105" w:right="115"/>
                    <w:suppressOverlap/>
                  </w:pPr>
                  <w:r w:rsidRPr="00941A1A">
                    <w:t>682</w:t>
                  </w:r>
                </w:p>
              </w:tc>
            </w:tr>
            <w:tr w:rsidR="00941A1A" w:rsidRPr="00941A1A" w14:paraId="20AEBDE7" w14:textId="77777777" w:rsidTr="0023038D">
              <w:tc>
                <w:tcPr>
                  <w:tcW w:w="4261" w:type="dxa"/>
                  <w:shd w:val="clear" w:color="auto" w:fill="auto"/>
                </w:tcPr>
                <w:p w14:paraId="5FDEEA3C" w14:textId="77777777" w:rsidR="00941A1A" w:rsidRPr="00941A1A" w:rsidRDefault="00941A1A" w:rsidP="003E2B3A">
                  <w:pPr>
                    <w:framePr w:hSpace="180" w:wrap="around" w:vAnchor="text" w:hAnchor="text" w:xAlign="right" w:y="1"/>
                    <w:ind w:left="105" w:right="115"/>
                    <w:suppressOverlap/>
                  </w:pPr>
                  <w:r w:rsidRPr="00941A1A">
                    <w:t>2018.</w:t>
                  </w:r>
                </w:p>
              </w:tc>
              <w:tc>
                <w:tcPr>
                  <w:tcW w:w="4261" w:type="dxa"/>
                  <w:shd w:val="clear" w:color="auto" w:fill="auto"/>
                </w:tcPr>
                <w:p w14:paraId="05CCE661" w14:textId="77777777" w:rsidR="00941A1A" w:rsidRPr="00941A1A" w:rsidRDefault="00941A1A" w:rsidP="003E2B3A">
                  <w:pPr>
                    <w:framePr w:hSpace="180" w:wrap="around" w:vAnchor="text" w:hAnchor="text" w:xAlign="right" w:y="1"/>
                    <w:ind w:left="105" w:right="115"/>
                    <w:suppressOverlap/>
                  </w:pPr>
                  <w:r w:rsidRPr="00941A1A">
                    <w:t>703</w:t>
                  </w:r>
                </w:p>
              </w:tc>
            </w:tr>
            <w:tr w:rsidR="00941A1A" w:rsidRPr="00941A1A" w14:paraId="7CD1967F" w14:textId="77777777" w:rsidTr="0023038D">
              <w:tc>
                <w:tcPr>
                  <w:tcW w:w="4261" w:type="dxa"/>
                  <w:shd w:val="clear" w:color="auto" w:fill="auto"/>
                </w:tcPr>
                <w:p w14:paraId="6AB81644" w14:textId="77777777" w:rsidR="00941A1A" w:rsidRPr="00941A1A" w:rsidRDefault="00941A1A" w:rsidP="003E2B3A">
                  <w:pPr>
                    <w:framePr w:hSpace="180" w:wrap="around" w:vAnchor="text" w:hAnchor="text" w:xAlign="right" w:y="1"/>
                    <w:ind w:left="105" w:right="115"/>
                    <w:suppressOverlap/>
                  </w:pPr>
                  <w:r w:rsidRPr="00941A1A">
                    <w:t>2017.</w:t>
                  </w:r>
                </w:p>
              </w:tc>
              <w:tc>
                <w:tcPr>
                  <w:tcW w:w="4261" w:type="dxa"/>
                  <w:shd w:val="clear" w:color="auto" w:fill="auto"/>
                </w:tcPr>
                <w:p w14:paraId="333B1641" w14:textId="77777777" w:rsidR="00941A1A" w:rsidRPr="00941A1A" w:rsidRDefault="00941A1A" w:rsidP="003E2B3A">
                  <w:pPr>
                    <w:framePr w:hSpace="180" w:wrap="around" w:vAnchor="text" w:hAnchor="text" w:xAlign="right" w:y="1"/>
                    <w:ind w:left="105" w:right="115"/>
                    <w:suppressOverlap/>
                  </w:pPr>
                  <w:r w:rsidRPr="00941A1A">
                    <w:t>725</w:t>
                  </w:r>
                </w:p>
              </w:tc>
            </w:tr>
            <w:tr w:rsidR="00941A1A" w:rsidRPr="00941A1A" w14:paraId="4FD029B4" w14:textId="77777777" w:rsidTr="0023038D">
              <w:tc>
                <w:tcPr>
                  <w:tcW w:w="4261" w:type="dxa"/>
                  <w:shd w:val="clear" w:color="auto" w:fill="auto"/>
                </w:tcPr>
                <w:p w14:paraId="0F879301" w14:textId="77777777" w:rsidR="00941A1A" w:rsidRPr="00941A1A" w:rsidRDefault="00941A1A" w:rsidP="003E2B3A">
                  <w:pPr>
                    <w:framePr w:hSpace="180" w:wrap="around" w:vAnchor="text" w:hAnchor="text" w:xAlign="right" w:y="1"/>
                    <w:ind w:left="105" w:right="115"/>
                    <w:suppressOverlap/>
                  </w:pPr>
                  <w:r w:rsidRPr="00941A1A">
                    <w:t>2016.</w:t>
                  </w:r>
                </w:p>
              </w:tc>
              <w:tc>
                <w:tcPr>
                  <w:tcW w:w="4261" w:type="dxa"/>
                  <w:shd w:val="clear" w:color="auto" w:fill="auto"/>
                </w:tcPr>
                <w:p w14:paraId="5F1F536B" w14:textId="77777777" w:rsidR="00941A1A" w:rsidRPr="00941A1A" w:rsidRDefault="00941A1A" w:rsidP="003E2B3A">
                  <w:pPr>
                    <w:framePr w:hSpace="180" w:wrap="around" w:vAnchor="text" w:hAnchor="text" w:xAlign="right" w:y="1"/>
                    <w:ind w:left="105" w:right="115"/>
                    <w:suppressOverlap/>
                  </w:pPr>
                  <w:r w:rsidRPr="00941A1A">
                    <w:t>804</w:t>
                  </w:r>
                </w:p>
              </w:tc>
            </w:tr>
          </w:tbl>
          <w:p w14:paraId="7FDCC590" w14:textId="77777777" w:rsidR="00941A1A" w:rsidRPr="00941A1A" w:rsidRDefault="00941A1A" w:rsidP="00315988">
            <w:pPr>
              <w:ind w:left="105" w:right="115"/>
            </w:pPr>
          </w:p>
          <w:p w14:paraId="53942A16" w14:textId="16BE9E9B" w:rsidR="00221DB5" w:rsidRDefault="00BF1D41" w:rsidP="00315988">
            <w:pPr>
              <w:ind w:left="105" w:right="115"/>
              <w:jc w:val="both"/>
            </w:pPr>
            <w:r>
              <w:t xml:space="preserve">        </w:t>
            </w:r>
            <w:r w:rsidR="00941A1A" w:rsidRPr="00941A1A">
              <w:t xml:space="preserve">Sakarā ar </w:t>
            </w:r>
            <w:r>
              <w:t xml:space="preserve">Valsts izglītības satura centra </w:t>
            </w:r>
            <w:r w:rsidR="00941A1A" w:rsidRPr="00941A1A">
              <w:t xml:space="preserve">Speciālās izglītības nodaļas speciālistu lielo darba slodzi un </w:t>
            </w:r>
            <w:r>
              <w:t xml:space="preserve">līdzās tai, - arī nepieciešamo </w:t>
            </w:r>
            <w:r w:rsidR="00941A1A" w:rsidRPr="00941A1A">
              <w:t xml:space="preserve">aktīvo iesaisti tiesiskā regulējuma pilnveides darba grupās ministriju un institūciju sastāvā, </w:t>
            </w:r>
            <w:r>
              <w:t xml:space="preserve">Tab. Nr.1 redzam, ka </w:t>
            </w:r>
            <w:r w:rsidR="00941A1A" w:rsidRPr="00941A1A">
              <w:t xml:space="preserve">pēdējo gadu laiku ir  </w:t>
            </w:r>
            <w:r w:rsidR="00C607D0">
              <w:t xml:space="preserve">vērojams būtisks </w:t>
            </w:r>
            <w:r w:rsidR="00941A1A" w:rsidRPr="00941A1A">
              <w:t xml:space="preserve">samazinājums </w:t>
            </w:r>
            <w:r w:rsidR="00D058AE">
              <w:t>VPMK</w:t>
            </w:r>
            <w:r w:rsidR="00941A1A" w:rsidRPr="00941A1A">
              <w:t xml:space="preserve"> izvērtēto izglītojamo skaita ziņā. </w:t>
            </w:r>
            <w:r>
              <w:t xml:space="preserve">2020.gadā pakalpojumu </w:t>
            </w:r>
            <w:r w:rsidR="00941A1A" w:rsidRPr="00941A1A">
              <w:t xml:space="preserve">samazinājums </w:t>
            </w:r>
            <w:r>
              <w:t xml:space="preserve">papildus vēl </w:t>
            </w:r>
            <w:r w:rsidR="00941A1A" w:rsidRPr="00941A1A">
              <w:t>ir saistīts ar valstī izsludināto ārkārtas stāvokli, kad pavasar</w:t>
            </w:r>
            <w:r>
              <w:t xml:space="preserve">ī </w:t>
            </w:r>
            <w:r w:rsidR="00941A1A" w:rsidRPr="00941A1A">
              <w:t>(marts, aprīlis, maijs) V</w:t>
            </w:r>
            <w:r>
              <w:t xml:space="preserve">PMK </w:t>
            </w:r>
            <w:r w:rsidR="00941A1A" w:rsidRPr="00941A1A">
              <w:t xml:space="preserve">sēdes (darbs ar klientiem klātienē) nenotika. Tas vēl vairāk iekavēja Valsts pedagoģiski medicīniskās komisijas darbu un </w:t>
            </w:r>
            <w:r>
              <w:t xml:space="preserve">klientu gaidīšanas </w:t>
            </w:r>
            <w:r w:rsidR="00941A1A" w:rsidRPr="00941A1A">
              <w:t xml:space="preserve">rindu garumu. </w:t>
            </w:r>
          </w:p>
          <w:p w14:paraId="761F62BC" w14:textId="77777777" w:rsidR="00C607D0" w:rsidRPr="00925446" w:rsidRDefault="00221DB5" w:rsidP="00315988">
            <w:pPr>
              <w:ind w:left="105" w:right="115"/>
              <w:jc w:val="both"/>
              <w:rPr>
                <w:iCs/>
              </w:rPr>
            </w:pPr>
            <w:r>
              <w:t xml:space="preserve">       </w:t>
            </w:r>
            <w:r w:rsidR="00C607D0">
              <w:rPr>
                <w:bCs/>
              </w:rPr>
              <w:t xml:space="preserve">   Savukārt, ja vērtējam situāciju kopumā – gan VPMK, gan pašvaldību PMK datus, tad redzam, ka </w:t>
            </w:r>
            <w:r w:rsidR="00C607D0" w:rsidRPr="00925446">
              <w:rPr>
                <w:iCs/>
              </w:rPr>
              <w:t>pedagoģiski medicīnisko komisiju gadā apmeklējuš</w:t>
            </w:r>
            <w:r w:rsidR="00C607D0">
              <w:rPr>
                <w:iCs/>
              </w:rPr>
              <w:t>o</w:t>
            </w:r>
            <w:r w:rsidR="00C607D0" w:rsidRPr="00925446">
              <w:rPr>
                <w:iCs/>
              </w:rPr>
              <w:t xml:space="preserve"> skolēn</w:t>
            </w:r>
            <w:r w:rsidR="00C607D0">
              <w:rPr>
                <w:iCs/>
              </w:rPr>
              <w:t xml:space="preserve">u </w:t>
            </w:r>
            <w:r w:rsidR="00C607D0" w:rsidRPr="00925446">
              <w:rPr>
                <w:iCs/>
              </w:rPr>
              <w:t>(</w:t>
            </w:r>
            <w:r w:rsidR="00C607D0" w:rsidRPr="00925446">
              <w:rPr>
                <w:i/>
              </w:rPr>
              <w:t>redzes, dzirdes, fiziskās un psihiskās attīstības traucējumi</w:t>
            </w:r>
            <w:r w:rsidR="00C607D0">
              <w:rPr>
                <w:i/>
              </w:rPr>
              <w:t>,</w:t>
            </w:r>
            <w:r w:rsidR="00C607D0" w:rsidRPr="00925446">
              <w:rPr>
                <w:i/>
              </w:rPr>
              <w:t xml:space="preserve"> </w:t>
            </w:r>
            <w:r w:rsidR="00C607D0">
              <w:rPr>
                <w:i/>
              </w:rPr>
              <w:t xml:space="preserve">garīgās attīstības aiztures, nepietiekamības, </w:t>
            </w:r>
            <w:r w:rsidR="00C607D0" w:rsidRPr="00925446">
              <w:rPr>
                <w:i/>
              </w:rPr>
              <w:t>somatiskās saslimšanas</w:t>
            </w:r>
            <w:r w:rsidR="00C607D0">
              <w:rPr>
                <w:i/>
              </w:rPr>
              <w:t xml:space="preserve"> u.tml.</w:t>
            </w:r>
            <w:r w:rsidR="00C607D0" w:rsidRPr="00925446">
              <w:rPr>
                <w:iCs/>
              </w:rPr>
              <w:t xml:space="preserve">) </w:t>
            </w:r>
            <w:r w:rsidR="00C607D0">
              <w:rPr>
                <w:iCs/>
              </w:rPr>
              <w:t>skaits</w:t>
            </w:r>
            <w:r w:rsidR="00C607D0" w:rsidRPr="00925446">
              <w:rPr>
                <w:iCs/>
              </w:rPr>
              <w:t xml:space="preserve"> </w:t>
            </w:r>
            <w:r w:rsidR="00C607D0">
              <w:rPr>
                <w:iCs/>
              </w:rPr>
              <w:t xml:space="preserve">gadā sasniedz vidēji: </w:t>
            </w:r>
            <w:r w:rsidR="00C607D0" w:rsidRPr="00925446">
              <w:rPr>
                <w:iCs/>
              </w:rPr>
              <w:t>7 000 – 8 000</w:t>
            </w:r>
            <w:r w:rsidR="00C607D0" w:rsidRPr="00925446">
              <w:rPr>
                <w:rStyle w:val="FootnoteReference"/>
                <w:iCs/>
              </w:rPr>
              <w:footnoteReference w:id="1"/>
            </w:r>
            <w:r w:rsidR="00C607D0">
              <w:rPr>
                <w:iCs/>
              </w:rPr>
              <w:t>.</w:t>
            </w:r>
          </w:p>
          <w:p w14:paraId="2D1BB0D9" w14:textId="267D35F6" w:rsidR="00941A1A" w:rsidRPr="00941A1A" w:rsidRDefault="00C607D0" w:rsidP="00315988">
            <w:pPr>
              <w:ind w:left="105" w:right="115"/>
              <w:jc w:val="both"/>
            </w:pPr>
            <w:r>
              <w:t xml:space="preserve">         </w:t>
            </w:r>
            <w:r w:rsidR="00941A1A" w:rsidRPr="00941A1A">
              <w:t xml:space="preserve">Lai nedaudz mazinātu </w:t>
            </w:r>
            <w:r>
              <w:t xml:space="preserve">Latvijā kopumā esošo </w:t>
            </w:r>
            <w:r w:rsidR="00941A1A" w:rsidRPr="00941A1A">
              <w:t xml:space="preserve">spriedzi </w:t>
            </w:r>
            <w:r>
              <w:t>pakalpojumu pieejamības pieej</w:t>
            </w:r>
            <w:r w:rsidR="003E2B3A">
              <w:t>a</w:t>
            </w:r>
            <w:r>
              <w:t xml:space="preserve">mībā </w:t>
            </w:r>
            <w:r w:rsidR="00941A1A" w:rsidRPr="00941A1A">
              <w:t xml:space="preserve">un </w:t>
            </w:r>
            <w:r w:rsidR="00221DB5">
              <w:t xml:space="preserve">paaugstinātu </w:t>
            </w:r>
            <w:r w:rsidR="00941A1A" w:rsidRPr="00941A1A">
              <w:t xml:space="preserve">izglītojamo iespējas saņemt atzinumu par atbilstošāko izglītības programmu, tika </w:t>
            </w:r>
            <w:r w:rsidR="00221DB5">
              <w:t xml:space="preserve">izstrādāti </w:t>
            </w:r>
            <w:r w:rsidR="00941A1A" w:rsidRPr="00941A1A">
              <w:t>grozījumi “</w:t>
            </w:r>
            <w:proofErr w:type="spellStart"/>
            <w:r w:rsidR="00941A1A" w:rsidRPr="00941A1A">
              <w:t>Covid</w:t>
            </w:r>
            <w:proofErr w:type="spellEnd"/>
            <w:r w:rsidR="00941A1A" w:rsidRPr="00941A1A">
              <w:t xml:space="preserve"> - 19 infekcijas izplatības pārvaldības likumā”</w:t>
            </w:r>
            <w:r w:rsidR="00221DB5">
              <w:t xml:space="preserve">: </w:t>
            </w:r>
            <w:r w:rsidR="00941A1A" w:rsidRPr="00941A1A">
              <w:t xml:space="preserve"> </w:t>
            </w:r>
          </w:p>
          <w:p w14:paraId="1A5C33B3" w14:textId="77777777" w:rsidR="00941A1A" w:rsidRPr="00941A1A" w:rsidRDefault="00941A1A" w:rsidP="00315988">
            <w:pPr>
              <w:ind w:left="105" w:right="115"/>
              <w:jc w:val="both"/>
            </w:pPr>
            <w:r w:rsidRPr="00941A1A">
              <w:t>a)</w:t>
            </w:r>
            <w:r w:rsidR="00221DB5">
              <w:t xml:space="preserve"> </w:t>
            </w:r>
            <w:r w:rsidRPr="00941A1A">
              <w:t>2020.gadā – grozījums minētā likuma 44.pantā, ar kuru tika pagarināti pedagoģiski medicīnisko komisiju izsnie</w:t>
            </w:r>
            <w:r w:rsidR="003A3B79">
              <w:t>g</w:t>
            </w:r>
            <w:r w:rsidRPr="00941A1A">
              <w:t xml:space="preserve">to atzinumu </w:t>
            </w:r>
            <w:r w:rsidR="003A3B79">
              <w:t xml:space="preserve">derīguma </w:t>
            </w:r>
            <w:r w:rsidRPr="00941A1A">
              <w:t>termiņi, kuri beidzas ārkārtas stāvokļa laik</w:t>
            </w:r>
            <w:r w:rsidR="003A3B79">
              <w:t xml:space="preserve">ā </w:t>
            </w:r>
            <w:r w:rsidRPr="00941A1A">
              <w:t>līdz 31.12.202</w:t>
            </w:r>
            <w:r w:rsidR="00252804">
              <w:t>0</w:t>
            </w:r>
            <w:r w:rsidRPr="00941A1A">
              <w:t>.</w:t>
            </w:r>
            <w:r w:rsidR="003A3B79">
              <w:t xml:space="preserve"> </w:t>
            </w:r>
            <w:r w:rsidRPr="00941A1A">
              <w:t xml:space="preserve">Tas deva iespēju Valsts un </w:t>
            </w:r>
            <w:r w:rsidR="003A3B79">
              <w:t xml:space="preserve">PMK </w:t>
            </w:r>
            <w:r w:rsidRPr="00941A1A">
              <w:t>terminētos atzinumus pārskatīt pakāpeniski pēc ārkārtas stāvokļa noslēguma līdz aizvadītā gada beigām;</w:t>
            </w:r>
          </w:p>
          <w:p w14:paraId="5E381CB6" w14:textId="77777777" w:rsidR="00941A1A" w:rsidRPr="00941A1A" w:rsidRDefault="00941A1A" w:rsidP="00315988">
            <w:pPr>
              <w:ind w:left="105" w:right="115"/>
              <w:jc w:val="both"/>
            </w:pPr>
            <w:r w:rsidRPr="00941A1A">
              <w:t>b)</w:t>
            </w:r>
            <w:r w:rsidR="00DC67AE">
              <w:t xml:space="preserve"> </w:t>
            </w:r>
            <w:r w:rsidRPr="00941A1A">
              <w:t>2021.gadā – precizēts grozījums minētā likuma 44.panta (4</w:t>
            </w:r>
            <w:r w:rsidRPr="00941A1A">
              <w:rPr>
                <w:vertAlign w:val="superscript"/>
              </w:rPr>
              <w:t>1</w:t>
            </w:r>
            <w:r w:rsidRPr="00941A1A">
              <w:t xml:space="preserve">)daļā:  </w:t>
            </w:r>
            <w:r w:rsidRPr="00941A1A">
              <w:rPr>
                <w:i/>
              </w:rPr>
              <w:t xml:space="preserve">Ja valsts pedagoģiski medicīniskās komisijas un pašvaldības pedagoģiski medicīniskās komisijas atzinumā par izglītojamam ar speciālām vajadzībām atbilstošāko izglītības programmu norādīts, ka atkārtots izglītojamā veselības stāvokļa, spēju un attīstības </w:t>
            </w:r>
            <w:r w:rsidRPr="00941A1A">
              <w:rPr>
                <w:i/>
              </w:rPr>
              <w:lastRenderedPageBreak/>
              <w:t xml:space="preserve">līmeņa izvērtējums veicams līdz 2020. gada 31. augustam, izvērtējuma termiņš tiek pagarināts līdz </w:t>
            </w:r>
            <w:r w:rsidRPr="00E812F0">
              <w:rPr>
                <w:bCs/>
                <w:i/>
              </w:rPr>
              <w:t>2021. gada 30. jūnijam</w:t>
            </w:r>
            <w:r w:rsidRPr="00941A1A">
              <w:rPr>
                <w:i/>
              </w:rPr>
              <w:t xml:space="preserve"> un līdz tam ir piemērojams esošais atzinums;</w:t>
            </w:r>
          </w:p>
          <w:p w14:paraId="29B26549" w14:textId="77777777" w:rsidR="00941A1A" w:rsidRPr="00941A1A" w:rsidRDefault="00941A1A" w:rsidP="00315988">
            <w:pPr>
              <w:ind w:left="105" w:right="115"/>
              <w:jc w:val="both"/>
              <w:rPr>
                <w:i/>
              </w:rPr>
            </w:pPr>
            <w:r w:rsidRPr="00941A1A">
              <w:t>c)</w:t>
            </w:r>
            <w:r w:rsidR="00DC67AE">
              <w:t xml:space="preserve"> </w:t>
            </w:r>
            <w:r w:rsidRPr="00941A1A">
              <w:t>2021.gadā – izveidots jauns grozījums minētajā likumā 44.panta (4</w:t>
            </w:r>
            <w:r w:rsidRPr="00941A1A">
              <w:rPr>
                <w:vertAlign w:val="superscript"/>
              </w:rPr>
              <w:t>2</w:t>
            </w:r>
            <w:r w:rsidRPr="00941A1A">
              <w:t xml:space="preserve">) daļā: </w:t>
            </w:r>
            <w:r w:rsidRPr="00941A1A">
              <w:rPr>
                <w:i/>
              </w:rPr>
              <w:t>Pašvaldību pedagoģiski medicīniskās komisijas papildu normatīvajā aktā par pedagoģiski medicīniskajām komisijām noteiktajai kompetencei ir tiesīgas ieteikt nepieciešamos atbalsta pasākumus valsts pārbaudes darbos izglītojamiem ar redzes, dzirdes vai fiziskās attīstības traucējumiem no 1. līdz 12. klasei, izglītojamiem ar somatiskajām saslimšanām no 1. līdz 9. klasei, izglītojamiem ar garīgās attīstības traucējumiem, smagiem garīgās attīstības vai vairākiem smagiem attīstības traucējumiem, mācīšanās traucējumiem, valodas traucējumiem vai garīgās veselības traucējumiem no 5. līdz 9. klasei.</w:t>
            </w:r>
          </w:p>
          <w:p w14:paraId="3BE45BF7" w14:textId="77777777" w:rsidR="00941A1A" w:rsidRPr="00941A1A" w:rsidRDefault="00941A1A" w:rsidP="00315988">
            <w:pPr>
              <w:ind w:left="105" w:right="115"/>
              <w:jc w:val="both"/>
            </w:pPr>
            <w:r w:rsidRPr="00941A1A">
              <w:t>Ši</w:t>
            </w:r>
            <w:r w:rsidR="00DC67AE">
              <w:t>e</w:t>
            </w:r>
            <w:r w:rsidRPr="00941A1A">
              <w:t xml:space="preserve"> grozījum</w:t>
            </w:r>
            <w:r w:rsidR="00DC67AE">
              <w:t>i</w:t>
            </w:r>
            <w:r w:rsidRPr="00941A1A">
              <w:t xml:space="preserve"> tika rosināt</w:t>
            </w:r>
            <w:r w:rsidR="00DC67AE">
              <w:t xml:space="preserve">i, </w:t>
            </w:r>
            <w:r w:rsidRPr="00941A1A">
              <w:t>ievērojot V</w:t>
            </w:r>
            <w:r w:rsidR="00DC67AE">
              <w:t xml:space="preserve">PMK </w:t>
            </w:r>
            <w:r w:rsidRPr="00941A1A">
              <w:t xml:space="preserve">mazo kapacitāti un </w:t>
            </w:r>
            <w:r w:rsidR="00DC67AE">
              <w:t xml:space="preserve">ņemot vērā </w:t>
            </w:r>
            <w:r w:rsidRPr="00941A1A">
              <w:t>epidemioloģisko situāciju valstī - lai ierobežotu izglītojamo pārvietošanos no novadiem uz Rīgu un nodrošinātu tiesības saņemt pakalpojumu dzīvesvietas tuvumā</w:t>
            </w:r>
            <w:r w:rsidR="00E812F0">
              <w:t xml:space="preserve">. Taču </w:t>
            </w:r>
            <w:r w:rsidR="00911181">
              <w:t xml:space="preserve">tie ir vērtējami kā </w:t>
            </w:r>
            <w:proofErr w:type="spellStart"/>
            <w:r w:rsidR="00911181">
              <w:t>situatīvi</w:t>
            </w:r>
            <w:proofErr w:type="spellEnd"/>
            <w:r w:rsidR="00911181">
              <w:t xml:space="preserve"> risinājumi, kuru mērķis ir risināt PMK klientu gaidīšanas rindas garumu.  </w:t>
            </w:r>
          </w:p>
          <w:p w14:paraId="42A8E048" w14:textId="143EAFA9" w:rsidR="00A541A8" w:rsidRPr="00E92F82" w:rsidRDefault="00137F65" w:rsidP="00315988">
            <w:pPr>
              <w:ind w:left="105" w:right="115"/>
              <w:jc w:val="both"/>
            </w:pPr>
            <w:r w:rsidRPr="00941A1A">
              <w:t xml:space="preserve">Uz </w:t>
            </w:r>
            <w:r>
              <w:t xml:space="preserve">esošās </w:t>
            </w:r>
            <w:r w:rsidR="00D058AE">
              <w:t>VPMK</w:t>
            </w:r>
            <w:r w:rsidRPr="00941A1A">
              <w:t xml:space="preserve"> mazo kapacitāti un slikto pakalpojuma pieejamību vairākas reizes ir norādījis </w:t>
            </w:r>
            <w:r>
              <w:t xml:space="preserve">gan </w:t>
            </w:r>
            <w:r w:rsidRPr="00941A1A">
              <w:t>Latvijas Republikas Tiesībsargs</w:t>
            </w:r>
            <w:r>
              <w:t>, gan arī Valsts kontrole.</w:t>
            </w:r>
            <w:r w:rsidR="006353B9">
              <w:t xml:space="preserve"> </w:t>
            </w:r>
            <w:r w:rsidR="00941A1A" w:rsidRPr="00941A1A">
              <w:t>Laika periodā no 2020.gada marta līdz 2021.gada martam Valsts kontrole veica lietderības revīziju “Vai bērnam ar speciālām vajadzībām ir iespēja saņemt tā spējām, vajadzībām un bērna labākajām interesēm atbilstošu izglītību?”. Valsts kontrole</w:t>
            </w:r>
            <w:r w:rsidR="00911181">
              <w:t xml:space="preserve"> savos sākotnējos secinājumos</w:t>
            </w:r>
            <w:r w:rsidR="00941A1A" w:rsidRPr="00941A1A">
              <w:t xml:space="preserve"> norāda uz Speciālās izglītības nodaļas, ta</w:t>
            </w:r>
            <w:r w:rsidR="006353B9">
              <w:t>i</w:t>
            </w:r>
            <w:r w:rsidR="00941A1A" w:rsidRPr="00941A1A">
              <w:t xml:space="preserve"> skaitā</w:t>
            </w:r>
            <w:r w:rsidR="00911181">
              <w:t xml:space="preserve">, </w:t>
            </w:r>
            <w:r w:rsidR="00911181" w:rsidRPr="00E92F82">
              <w:t xml:space="preserve">VPMK </w:t>
            </w:r>
            <w:r w:rsidR="00941A1A" w:rsidRPr="00E92F82">
              <w:t xml:space="preserve">nepietiekamo finansējumu, niecīgo kapacitāti, speciālistu lielo darba slodzi un nepiemērotajiem darba apstākļiem. </w:t>
            </w:r>
            <w:bookmarkEnd w:id="0"/>
          </w:p>
          <w:p w14:paraId="63B103EB" w14:textId="513C9274" w:rsidR="005E0AAC" w:rsidRDefault="002011D3" w:rsidP="00315988">
            <w:pPr>
              <w:spacing w:after="120"/>
              <w:ind w:left="105" w:right="115"/>
              <w:jc w:val="both"/>
            </w:pPr>
            <w:r w:rsidRPr="00E92F82">
              <w:t>Valsts kontroles lietderības revīzijas “Vai bērnam ar speciālām vajadzībām ir iespēja saņemt tā spējām, vajadzībām un bērna labākajām interesēm atbilstošu izglītību?” rezultātā Valsts kontrole norāda uz virkni nepiln</w:t>
            </w:r>
            <w:r w:rsidR="00F5290E" w:rsidRPr="00E92F82">
              <w:t>ību VPMK darbā, kā arī apraksta konkrētus ieteikumus darba uzlabošanai laika periodā līdz 2023.gadam.Šajā laikā plānots veikt grozījumus  2012.gada Ministru kabineta noteikumos Nr.709 “Noteikumi par pedagoģiski medicīniskajām komisijām”</w:t>
            </w:r>
            <w:r w:rsidR="00E73EF8" w:rsidRPr="00E92F82">
              <w:t xml:space="preserve">, paredzot tajā VPMK un pašvaldību pedagoģiski medicīnisko komisiju pieteikumu izskatīšanas kārtību, izskatīšanas termiņu, atkārtotas izvērtēšanas termiņus, kā arī noteikt iesnieguma veidlapas formu. Tiesiskajā regulējumā plānots iekļaut izglītojamo grupas vai situācijas, kurās pedagoģiski medicīniskās komisijas atzinumu par atbilstošāko izglītības programmu var sniegt attālināti. Sadarbībā ar Izglītības un zinātnes ministriju plānots tiesiskajā regulējumā veikt izmaiņas Pašvaldību pedagoģiski medicīnisko komisiju kompetencē </w:t>
            </w:r>
            <w:r w:rsidR="00B15D30" w:rsidRPr="00E92F82">
              <w:t xml:space="preserve">un pārskatīt </w:t>
            </w:r>
            <w:r w:rsidR="00E73EF8" w:rsidRPr="00E92F82">
              <w:t xml:space="preserve">izglītojamo vecuma </w:t>
            </w:r>
            <w:r w:rsidR="00B15D30" w:rsidRPr="00E92F82">
              <w:t>grupu sadalījumu</w:t>
            </w:r>
            <w:r w:rsidR="00E73EF8" w:rsidRPr="00E92F82">
              <w:t>, lai izglītojamie pēc iespējas ilgāk varētu saņemt pakalpojumu savas dzīvesvietas pašvaldībā.</w:t>
            </w:r>
            <w:r w:rsidR="005E0AAC" w:rsidRPr="00E92F82">
              <w:t xml:space="preserve"> Tuvākajā laikā arī paredzēta pakāpeniski pāreja uz elektronisku pierakstu uz pedagoģiski medicīniskās komisijas sēdēm.</w:t>
            </w:r>
            <w:r w:rsidR="00110FBA" w:rsidRPr="00E92F82">
              <w:t xml:space="preserve"> </w:t>
            </w:r>
            <w:r w:rsidR="005E0AAC" w:rsidRPr="00E92F82">
              <w:t>Tiks veikti pašvaldību pedagoģiski medicīnisko komisiju speciālistu izglītojoši pasākumi. Pakāpeniski tiks veikti pedagoģiski medicīnisko komisiju informācijas sistēmas uzlabojumi piešķirtā finansējuma ietvaros</w:t>
            </w:r>
            <w:r w:rsidR="00ED62E9" w:rsidRPr="00E92F82">
              <w:t xml:space="preserve">. </w:t>
            </w:r>
            <w:r w:rsidR="00ED62E9" w:rsidRPr="00E92F82">
              <w:lastRenderedPageBreak/>
              <w:t xml:space="preserve">Šajā gadā VPMK tiks nodrošināta ar jaunām telpām, kuras pieejamas personām ar speciālām vajadzībām. </w:t>
            </w:r>
          </w:p>
          <w:p w14:paraId="1BCB4B87" w14:textId="77777777" w:rsidR="007A40D1" w:rsidRPr="007A40D1" w:rsidRDefault="007A40D1" w:rsidP="00315988">
            <w:pPr>
              <w:ind w:left="105" w:right="115"/>
            </w:pPr>
          </w:p>
          <w:p w14:paraId="18F03F71" w14:textId="19E3C7A9" w:rsidR="00A868C3" w:rsidRPr="00091F2B" w:rsidRDefault="00A868C3" w:rsidP="00315988">
            <w:pPr>
              <w:ind w:left="105" w:right="115"/>
              <w:jc w:val="both"/>
            </w:pPr>
            <w:r w:rsidRPr="00091F2B">
              <w:t xml:space="preserve">Situācijā, kad tie paši Speciālās izglītības nodaļas darbinieki vienlaikus veic pienākumus </w:t>
            </w:r>
            <w:r w:rsidR="00D058AE">
              <w:t>VPMK</w:t>
            </w:r>
            <w:r w:rsidRPr="00091F2B">
              <w:t xml:space="preserve"> un atbalsta sistēmas koordinēšanā, mazāk uzmanības tiek veltīts tādiem būtiskiem jautājumiem kā iekļaujošas izglītības veicināšana, pedagogu profesionālās kompetences pilnveide atbalsta sniegšanā skolēniem ar speciālām vajadzībām, kā arī metodisko materiālu izveide. Ja izdotos stiprināt Speciālās izglītības nodaļas darbu un paaugstināt tās darba kapacitāti, šajā plānošanas periodā intensīvs darbs būtu jāiegulda iekļaujošas izglītības veicināšanā, pedagogu profesionālās kompetences pilnveidē, pedagogu pieredzes apmaiņā, metodisku materiālu izveidē, spēkā esošā tiesiskā regulējuma precizēšanā, agrīnās iejaukšanās (agrīnas speciālo vajadzību noteikšanas) sistēmas izveidē. </w:t>
            </w:r>
          </w:p>
          <w:p w14:paraId="53BE8932" w14:textId="77777777" w:rsidR="00A868C3" w:rsidRPr="00A868C3" w:rsidRDefault="00A868C3" w:rsidP="00315988">
            <w:pPr>
              <w:ind w:left="105" w:right="115"/>
              <w:jc w:val="both"/>
              <w:rPr>
                <w:color w:val="FF0000"/>
              </w:rPr>
            </w:pPr>
            <w:r w:rsidRPr="00091F2B">
              <w:t>Turpmākajos gados Speciālās izglītības nodaļai ir būtiski stiprināt sadarbību ar Iekļaujošās izglītības atbalsta centriem, kā arī paplašināt Speciālās izglītības attīstības centru konsultatīvo darbu reģionos. Speciālās izglītības nodaļai būtu lietderīgi organizēt sadarbību (darbnīcas, kopīgi projekti un pieredzes apmaiņa) ar augstskolām, lai veicinātu kvalificētu speciālo pedagogu, psihologu un logopēdu sagatavošanu šajās augstskolās.</w:t>
            </w:r>
          </w:p>
        </w:tc>
      </w:tr>
      <w:tr w:rsidR="009D36DE" w:rsidRPr="009D1C04" w14:paraId="33218567" w14:textId="77777777" w:rsidTr="000A3BB4">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335384" w14:textId="77777777" w:rsidR="009D36DE" w:rsidRPr="009D1C04" w:rsidRDefault="009D36DE" w:rsidP="007A40D1">
            <w:r w:rsidRPr="009D1C04">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17A92C" w14:textId="77777777" w:rsidR="009D36DE" w:rsidRPr="009D1C04" w:rsidRDefault="009D36DE" w:rsidP="00315988">
            <w:pPr>
              <w:ind w:left="106"/>
            </w:pPr>
            <w:r w:rsidRPr="009D1C04">
              <w:t>Projekta izstrādē iesaistītās institūcijas un publiskas personas kapitālsabiedrības</w:t>
            </w:r>
          </w:p>
        </w:tc>
        <w:tc>
          <w:tcPr>
            <w:tcW w:w="68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C1DBFF" w14:textId="77777777" w:rsidR="009D36DE" w:rsidRPr="009D1C04" w:rsidRDefault="003B60B8" w:rsidP="007A40D1">
            <w:pPr>
              <w:ind w:firstLine="123"/>
              <w:jc w:val="both"/>
            </w:pPr>
            <w:r w:rsidRPr="009D1C04">
              <w:t>Nav</w:t>
            </w:r>
          </w:p>
        </w:tc>
      </w:tr>
      <w:tr w:rsidR="009D36DE" w:rsidRPr="009D1C04" w14:paraId="7F8CD2E3" w14:textId="77777777" w:rsidTr="000A3BB4">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078A00" w14:textId="77777777" w:rsidR="009D36DE" w:rsidRPr="009D1C04" w:rsidRDefault="009D36DE" w:rsidP="007A40D1">
            <w:r w:rsidRPr="009D1C0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45E3B6" w14:textId="77777777" w:rsidR="009D36DE" w:rsidRPr="009D1C04" w:rsidRDefault="009D36DE" w:rsidP="007A40D1">
            <w:r w:rsidRPr="009D1C04">
              <w:t>Cita informācija</w:t>
            </w:r>
          </w:p>
        </w:tc>
        <w:tc>
          <w:tcPr>
            <w:tcW w:w="680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3DA26C" w14:textId="77777777" w:rsidR="009D36DE" w:rsidRPr="009D1C04" w:rsidRDefault="003B60B8" w:rsidP="007A40D1">
            <w:pPr>
              <w:ind w:firstLine="123"/>
              <w:jc w:val="both"/>
            </w:pPr>
            <w:r w:rsidRPr="009D1C04">
              <w:rPr>
                <w:bCs/>
              </w:rPr>
              <w:t>Nav</w:t>
            </w:r>
          </w:p>
        </w:tc>
      </w:tr>
    </w:tbl>
    <w:p w14:paraId="58833D82" w14:textId="7624A6FD" w:rsidR="009D36DE" w:rsidRPr="009D1C04" w:rsidRDefault="007A40D1" w:rsidP="00B27138">
      <w:pPr>
        <w:spacing w:before="120" w:after="120"/>
      </w:pPr>
      <w:r>
        <w:br w:type="textWrapping" w:clear="all"/>
      </w:r>
    </w:p>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9D1C04" w14:paraId="6A6D7249"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DB858F" w14:textId="77777777" w:rsidR="009D36DE" w:rsidRPr="009D1C04" w:rsidRDefault="009D36DE" w:rsidP="00A13D59">
            <w:pPr>
              <w:ind w:right="-19"/>
              <w:jc w:val="center"/>
              <w:rPr>
                <w:b/>
                <w:bCs/>
              </w:rPr>
            </w:pPr>
            <w:r w:rsidRPr="009D1C04">
              <w:rPr>
                <w:b/>
                <w:bCs/>
              </w:rPr>
              <w:t>II. Tiesību akt</w:t>
            </w:r>
            <w:r w:rsidR="00255A44">
              <w:rPr>
                <w:b/>
                <w:bCs/>
              </w:rPr>
              <w:t>a</w:t>
            </w:r>
            <w:r w:rsidRPr="009D1C04">
              <w:rPr>
                <w:b/>
                <w:bCs/>
              </w:rPr>
              <w:t xml:space="preserve"> projekt</w:t>
            </w:r>
            <w:r w:rsidR="00255A44">
              <w:rPr>
                <w:b/>
                <w:bCs/>
              </w:rPr>
              <w:t>a</w:t>
            </w:r>
            <w:r w:rsidRPr="009D1C04">
              <w:rPr>
                <w:b/>
                <w:bCs/>
              </w:rPr>
              <w:t xml:space="preserve"> ietekme uz sabiedrību, tautsaimniecības attīstību un administratīvo slogu</w:t>
            </w:r>
          </w:p>
        </w:tc>
        <w:tc>
          <w:tcPr>
            <w:tcW w:w="40" w:type="dxa"/>
            <w:shd w:val="clear" w:color="auto" w:fill="auto"/>
            <w:tcMar>
              <w:top w:w="0" w:type="dxa"/>
              <w:left w:w="10" w:type="dxa"/>
              <w:bottom w:w="0" w:type="dxa"/>
              <w:right w:w="10" w:type="dxa"/>
            </w:tcMar>
          </w:tcPr>
          <w:p w14:paraId="299F96EB" w14:textId="77777777" w:rsidR="009D36DE" w:rsidRPr="009D1C04" w:rsidRDefault="009D36DE" w:rsidP="00B27138">
            <w:pPr>
              <w:spacing w:before="120" w:after="120"/>
              <w:ind w:firstLine="1113"/>
              <w:jc w:val="center"/>
              <w:rPr>
                <w:b/>
                <w:bCs/>
              </w:rPr>
            </w:pPr>
          </w:p>
        </w:tc>
      </w:tr>
      <w:tr w:rsidR="001611E9" w:rsidRPr="009D1C04" w14:paraId="1AA44964" w14:textId="77777777" w:rsidTr="00A13D59">
        <w:trPr>
          <w:trHeight w:val="15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3C64E36" w14:textId="77777777" w:rsidR="001611E9" w:rsidRPr="009D1C04" w:rsidRDefault="001611E9" w:rsidP="00A13D59">
            <w:pPr>
              <w:jc w:val="center"/>
              <w:rPr>
                <w:b/>
                <w:bCs/>
                <w:highlight w:val="green"/>
              </w:rPr>
            </w:pPr>
            <w:r w:rsidRPr="009D1C04">
              <w:t>Projekts šo jomu neskar</w:t>
            </w:r>
          </w:p>
        </w:tc>
        <w:tc>
          <w:tcPr>
            <w:tcW w:w="40" w:type="dxa"/>
            <w:shd w:val="clear" w:color="auto" w:fill="auto"/>
            <w:tcMar>
              <w:top w:w="0" w:type="dxa"/>
              <w:left w:w="10" w:type="dxa"/>
              <w:bottom w:w="0" w:type="dxa"/>
              <w:right w:w="10" w:type="dxa"/>
            </w:tcMar>
          </w:tcPr>
          <w:p w14:paraId="69B33279" w14:textId="77777777" w:rsidR="001611E9" w:rsidRPr="009D1C04" w:rsidRDefault="001611E9" w:rsidP="00B27138">
            <w:pPr>
              <w:spacing w:before="120" w:after="120"/>
              <w:ind w:firstLine="1113"/>
              <w:jc w:val="center"/>
              <w:rPr>
                <w:b/>
                <w:bCs/>
                <w:highlight w:val="green"/>
              </w:rPr>
            </w:pPr>
          </w:p>
        </w:tc>
      </w:tr>
    </w:tbl>
    <w:p w14:paraId="2BA0375A" w14:textId="77777777" w:rsidR="00064F32" w:rsidRPr="009D1C04" w:rsidRDefault="00064F32" w:rsidP="000044FA">
      <w:pPr>
        <w:pStyle w:val="NoSpacing"/>
        <w:rPr>
          <w:rFonts w:ascii="Times New Roman" w:hAnsi="Times New Roman"/>
          <w:sz w:val="24"/>
          <w:szCs w:val="24"/>
          <w:lang w:eastAsia="lv-LV"/>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281"/>
        <w:gridCol w:w="850"/>
        <w:gridCol w:w="1134"/>
        <w:gridCol w:w="704"/>
        <w:gridCol w:w="1134"/>
        <w:gridCol w:w="1276"/>
        <w:gridCol w:w="8"/>
      </w:tblGrid>
      <w:tr w:rsidR="00064F32" w:rsidRPr="009D1C04" w14:paraId="6EA628E5" w14:textId="77777777" w:rsidTr="008A0DA6">
        <w:trPr>
          <w:jc w:val="center"/>
        </w:trPr>
        <w:tc>
          <w:tcPr>
            <w:tcW w:w="9359" w:type="dxa"/>
            <w:gridSpan w:val="9"/>
            <w:shd w:val="clear" w:color="auto" w:fill="auto"/>
          </w:tcPr>
          <w:p w14:paraId="3C78501C" w14:textId="77777777" w:rsidR="00064F32" w:rsidRPr="008A0DA6" w:rsidRDefault="00064F32" w:rsidP="008A0DA6">
            <w:pPr>
              <w:pStyle w:val="NoSpacing"/>
              <w:jc w:val="center"/>
              <w:rPr>
                <w:rFonts w:ascii="Times New Roman" w:hAnsi="Times New Roman"/>
                <w:sz w:val="24"/>
                <w:szCs w:val="24"/>
                <w:lang w:eastAsia="lv-LV"/>
              </w:rPr>
            </w:pPr>
            <w:r w:rsidRPr="008A0DA6">
              <w:rPr>
                <w:rFonts w:ascii="Times New Roman" w:hAnsi="Times New Roman"/>
                <w:b/>
                <w:sz w:val="24"/>
                <w:szCs w:val="24"/>
                <w:lang w:eastAsia="lv-LV"/>
              </w:rPr>
              <w:t>III. Tiesību akta projekta ietekme uz valsts budžetu un pašvaldību budžetiem</w:t>
            </w:r>
          </w:p>
        </w:tc>
      </w:tr>
      <w:tr w:rsidR="00064F32" w:rsidRPr="009D1C04" w14:paraId="65B6C944" w14:textId="77777777" w:rsidTr="008A0DA6">
        <w:trPr>
          <w:jc w:val="center"/>
        </w:trPr>
        <w:tc>
          <w:tcPr>
            <w:tcW w:w="1696" w:type="dxa"/>
            <w:vMerge w:val="restart"/>
            <w:shd w:val="clear" w:color="auto" w:fill="auto"/>
            <w:vAlign w:val="center"/>
          </w:tcPr>
          <w:p w14:paraId="777BDA84" w14:textId="77777777" w:rsidR="00064F32" w:rsidRPr="008A0DA6" w:rsidRDefault="00064F32" w:rsidP="008A0DA6">
            <w:pPr>
              <w:pStyle w:val="NoSpacing"/>
              <w:jc w:val="center"/>
              <w:rPr>
                <w:rFonts w:ascii="Times New Roman" w:hAnsi="Times New Roman"/>
                <w:sz w:val="24"/>
                <w:szCs w:val="24"/>
                <w:lang w:eastAsia="lv-LV"/>
              </w:rPr>
            </w:pPr>
            <w:r w:rsidRPr="008A0DA6">
              <w:rPr>
                <w:rFonts w:ascii="Times New Roman" w:hAnsi="Times New Roman"/>
                <w:sz w:val="24"/>
                <w:szCs w:val="24"/>
                <w:lang w:eastAsia="lv-LV"/>
              </w:rPr>
              <w:t>Rādītāji</w:t>
            </w:r>
          </w:p>
        </w:tc>
        <w:tc>
          <w:tcPr>
            <w:tcW w:w="2557" w:type="dxa"/>
            <w:gridSpan w:val="2"/>
            <w:vMerge w:val="restart"/>
            <w:shd w:val="clear" w:color="auto" w:fill="auto"/>
            <w:vAlign w:val="center"/>
          </w:tcPr>
          <w:p w14:paraId="657AE792" w14:textId="77777777" w:rsidR="00064F32" w:rsidRPr="008A0DA6" w:rsidRDefault="00064F32" w:rsidP="008A0DA6">
            <w:pPr>
              <w:pStyle w:val="NoSpacing"/>
              <w:jc w:val="center"/>
              <w:rPr>
                <w:rFonts w:ascii="Times New Roman" w:hAnsi="Times New Roman"/>
                <w:sz w:val="24"/>
                <w:szCs w:val="24"/>
                <w:lang w:eastAsia="lv-LV"/>
              </w:rPr>
            </w:pPr>
            <w:r w:rsidRPr="008A0DA6">
              <w:rPr>
                <w:rFonts w:ascii="Times New Roman" w:hAnsi="Times New Roman"/>
                <w:sz w:val="24"/>
                <w:szCs w:val="24"/>
                <w:lang w:eastAsia="lv-LV"/>
              </w:rPr>
              <w:t>20</w:t>
            </w:r>
            <w:r w:rsidR="00866FAC" w:rsidRPr="008A0DA6">
              <w:rPr>
                <w:rFonts w:ascii="Times New Roman" w:hAnsi="Times New Roman"/>
                <w:sz w:val="24"/>
                <w:szCs w:val="24"/>
                <w:lang w:eastAsia="lv-LV"/>
              </w:rPr>
              <w:t>2</w:t>
            </w:r>
            <w:r w:rsidR="00DF7DE7" w:rsidRPr="008A0DA6">
              <w:rPr>
                <w:rFonts w:ascii="Times New Roman" w:hAnsi="Times New Roman"/>
                <w:sz w:val="24"/>
                <w:szCs w:val="24"/>
                <w:lang w:eastAsia="lv-LV"/>
              </w:rPr>
              <w:t>1</w:t>
            </w:r>
            <w:r w:rsidRPr="008A0DA6">
              <w:rPr>
                <w:rFonts w:ascii="Times New Roman" w:hAnsi="Times New Roman"/>
                <w:sz w:val="24"/>
                <w:szCs w:val="24"/>
                <w:lang w:eastAsia="lv-LV"/>
              </w:rPr>
              <w:t>. gads</w:t>
            </w:r>
          </w:p>
        </w:tc>
        <w:tc>
          <w:tcPr>
            <w:tcW w:w="5106" w:type="dxa"/>
            <w:gridSpan w:val="6"/>
            <w:shd w:val="clear" w:color="auto" w:fill="auto"/>
            <w:vAlign w:val="center"/>
          </w:tcPr>
          <w:p w14:paraId="3712C25A" w14:textId="77777777" w:rsidR="00064F32" w:rsidRPr="008A0DA6" w:rsidRDefault="00064F32" w:rsidP="008A0DA6">
            <w:pPr>
              <w:pStyle w:val="NoSpacing"/>
              <w:jc w:val="center"/>
              <w:rPr>
                <w:rFonts w:ascii="Times New Roman" w:hAnsi="Times New Roman"/>
                <w:sz w:val="24"/>
                <w:szCs w:val="24"/>
                <w:lang w:eastAsia="lv-LV"/>
              </w:rPr>
            </w:pPr>
            <w:r w:rsidRPr="008A0DA6">
              <w:rPr>
                <w:rFonts w:ascii="Times New Roman" w:hAnsi="Times New Roman"/>
                <w:sz w:val="24"/>
                <w:szCs w:val="24"/>
                <w:lang w:eastAsia="lv-LV"/>
              </w:rPr>
              <w:t>Turpmākie trīs gadi (</w:t>
            </w:r>
            <w:r w:rsidRPr="008A0DA6">
              <w:rPr>
                <w:rFonts w:ascii="Times New Roman" w:hAnsi="Times New Roman"/>
                <w:i/>
                <w:iCs/>
                <w:sz w:val="24"/>
                <w:szCs w:val="24"/>
                <w:lang w:eastAsia="lv-LV"/>
              </w:rPr>
              <w:t>euro</w:t>
            </w:r>
            <w:r w:rsidRPr="008A0DA6">
              <w:rPr>
                <w:rFonts w:ascii="Times New Roman" w:hAnsi="Times New Roman"/>
                <w:sz w:val="24"/>
                <w:szCs w:val="24"/>
                <w:lang w:eastAsia="lv-LV"/>
              </w:rPr>
              <w:t>)</w:t>
            </w:r>
          </w:p>
        </w:tc>
      </w:tr>
      <w:tr w:rsidR="00064F32" w:rsidRPr="009D1C04" w14:paraId="046CE6A5" w14:textId="77777777" w:rsidTr="008A0DA6">
        <w:trPr>
          <w:jc w:val="center"/>
        </w:trPr>
        <w:tc>
          <w:tcPr>
            <w:tcW w:w="1696" w:type="dxa"/>
            <w:vMerge/>
            <w:shd w:val="clear" w:color="auto" w:fill="auto"/>
            <w:vAlign w:val="center"/>
          </w:tcPr>
          <w:p w14:paraId="305415FD" w14:textId="77777777" w:rsidR="00064F32" w:rsidRPr="008A0DA6" w:rsidRDefault="00064F32" w:rsidP="008A0DA6">
            <w:pPr>
              <w:pStyle w:val="NoSpacing"/>
              <w:jc w:val="center"/>
              <w:rPr>
                <w:rFonts w:ascii="Times New Roman" w:hAnsi="Times New Roman"/>
                <w:sz w:val="24"/>
                <w:szCs w:val="24"/>
                <w:lang w:eastAsia="lv-LV"/>
              </w:rPr>
            </w:pPr>
          </w:p>
        </w:tc>
        <w:tc>
          <w:tcPr>
            <w:tcW w:w="2557" w:type="dxa"/>
            <w:gridSpan w:val="2"/>
            <w:vMerge/>
            <w:shd w:val="clear" w:color="auto" w:fill="auto"/>
            <w:vAlign w:val="center"/>
          </w:tcPr>
          <w:p w14:paraId="24DC4E0C" w14:textId="77777777" w:rsidR="00064F32" w:rsidRPr="008A0DA6" w:rsidRDefault="00064F32" w:rsidP="008A0DA6">
            <w:pPr>
              <w:pStyle w:val="NoSpacing"/>
              <w:jc w:val="center"/>
              <w:rPr>
                <w:rFonts w:ascii="Times New Roman" w:hAnsi="Times New Roman"/>
                <w:sz w:val="24"/>
                <w:szCs w:val="24"/>
                <w:lang w:eastAsia="lv-LV"/>
              </w:rPr>
            </w:pPr>
          </w:p>
        </w:tc>
        <w:tc>
          <w:tcPr>
            <w:tcW w:w="1984" w:type="dxa"/>
            <w:gridSpan w:val="2"/>
            <w:shd w:val="clear" w:color="auto" w:fill="auto"/>
            <w:vAlign w:val="center"/>
          </w:tcPr>
          <w:p w14:paraId="32AAF29C" w14:textId="77777777" w:rsidR="00064F32" w:rsidRPr="008A0DA6" w:rsidRDefault="00064F32" w:rsidP="008A0DA6">
            <w:pPr>
              <w:pStyle w:val="NoSpacing"/>
              <w:jc w:val="center"/>
              <w:rPr>
                <w:rFonts w:ascii="Times New Roman" w:hAnsi="Times New Roman"/>
                <w:sz w:val="24"/>
                <w:szCs w:val="24"/>
                <w:lang w:eastAsia="lv-LV"/>
              </w:rPr>
            </w:pPr>
            <w:r w:rsidRPr="008A0DA6">
              <w:rPr>
                <w:rFonts w:ascii="Times New Roman" w:hAnsi="Times New Roman"/>
                <w:sz w:val="24"/>
                <w:szCs w:val="24"/>
                <w:lang w:eastAsia="lv-LV"/>
              </w:rPr>
              <w:t>20</w:t>
            </w:r>
            <w:r w:rsidR="00866FAC" w:rsidRPr="008A0DA6">
              <w:rPr>
                <w:rFonts w:ascii="Times New Roman" w:hAnsi="Times New Roman"/>
                <w:sz w:val="24"/>
                <w:szCs w:val="24"/>
                <w:lang w:eastAsia="lv-LV"/>
              </w:rPr>
              <w:t>2</w:t>
            </w:r>
            <w:r w:rsidR="00DF7DE7" w:rsidRPr="008A0DA6">
              <w:rPr>
                <w:rFonts w:ascii="Times New Roman" w:hAnsi="Times New Roman"/>
                <w:sz w:val="24"/>
                <w:szCs w:val="24"/>
                <w:lang w:eastAsia="lv-LV"/>
              </w:rPr>
              <w:t>2</w:t>
            </w:r>
            <w:r w:rsidRPr="008A0DA6">
              <w:rPr>
                <w:rFonts w:ascii="Times New Roman" w:hAnsi="Times New Roman"/>
                <w:sz w:val="24"/>
                <w:szCs w:val="24"/>
                <w:lang w:eastAsia="lv-LV"/>
              </w:rPr>
              <w:t>.</w:t>
            </w:r>
            <w:r w:rsidR="00445981" w:rsidRPr="008A0DA6">
              <w:rPr>
                <w:rFonts w:ascii="Times New Roman" w:hAnsi="Times New Roman"/>
                <w:sz w:val="24"/>
                <w:szCs w:val="24"/>
                <w:lang w:eastAsia="lv-LV"/>
              </w:rPr>
              <w:t> </w:t>
            </w:r>
            <w:r w:rsidRPr="008A0DA6">
              <w:rPr>
                <w:rFonts w:ascii="Times New Roman" w:hAnsi="Times New Roman"/>
                <w:sz w:val="24"/>
                <w:szCs w:val="24"/>
                <w:lang w:eastAsia="lv-LV"/>
              </w:rPr>
              <w:t>gads</w:t>
            </w:r>
          </w:p>
        </w:tc>
        <w:tc>
          <w:tcPr>
            <w:tcW w:w="1838" w:type="dxa"/>
            <w:gridSpan w:val="2"/>
            <w:shd w:val="clear" w:color="auto" w:fill="auto"/>
            <w:vAlign w:val="center"/>
          </w:tcPr>
          <w:p w14:paraId="632A12C0" w14:textId="77777777" w:rsidR="00064F32" w:rsidRPr="008A0DA6" w:rsidRDefault="00064F32" w:rsidP="008A0DA6">
            <w:pPr>
              <w:pStyle w:val="NoSpacing"/>
              <w:jc w:val="center"/>
              <w:rPr>
                <w:rFonts w:ascii="Times New Roman" w:hAnsi="Times New Roman"/>
                <w:sz w:val="24"/>
                <w:szCs w:val="24"/>
                <w:lang w:eastAsia="lv-LV"/>
              </w:rPr>
            </w:pPr>
            <w:r w:rsidRPr="008A0DA6">
              <w:rPr>
                <w:rFonts w:ascii="Times New Roman" w:hAnsi="Times New Roman"/>
                <w:sz w:val="24"/>
                <w:szCs w:val="24"/>
                <w:lang w:eastAsia="lv-LV"/>
              </w:rPr>
              <w:t>202</w:t>
            </w:r>
            <w:r w:rsidR="00DF7DE7" w:rsidRPr="008A0DA6">
              <w:rPr>
                <w:rFonts w:ascii="Times New Roman" w:hAnsi="Times New Roman"/>
                <w:sz w:val="24"/>
                <w:szCs w:val="24"/>
                <w:lang w:eastAsia="lv-LV"/>
              </w:rPr>
              <w:t>3</w:t>
            </w:r>
            <w:r w:rsidRPr="008A0DA6">
              <w:rPr>
                <w:rFonts w:ascii="Times New Roman" w:hAnsi="Times New Roman"/>
                <w:sz w:val="24"/>
                <w:szCs w:val="24"/>
                <w:lang w:eastAsia="lv-LV"/>
              </w:rPr>
              <w:t>.</w:t>
            </w:r>
            <w:r w:rsidR="00445981" w:rsidRPr="008A0DA6">
              <w:rPr>
                <w:rFonts w:ascii="Times New Roman" w:hAnsi="Times New Roman"/>
                <w:sz w:val="24"/>
                <w:szCs w:val="24"/>
                <w:lang w:eastAsia="lv-LV"/>
              </w:rPr>
              <w:t> </w:t>
            </w:r>
            <w:r w:rsidRPr="008A0DA6">
              <w:rPr>
                <w:rFonts w:ascii="Times New Roman" w:hAnsi="Times New Roman"/>
                <w:sz w:val="24"/>
                <w:szCs w:val="24"/>
                <w:lang w:eastAsia="lv-LV"/>
              </w:rPr>
              <w:t>gads</w:t>
            </w:r>
          </w:p>
        </w:tc>
        <w:tc>
          <w:tcPr>
            <w:tcW w:w="1284" w:type="dxa"/>
            <w:gridSpan w:val="2"/>
            <w:shd w:val="clear" w:color="auto" w:fill="auto"/>
            <w:vAlign w:val="center"/>
          </w:tcPr>
          <w:p w14:paraId="601E45E9" w14:textId="77777777" w:rsidR="00064F32" w:rsidRPr="008A0DA6" w:rsidRDefault="00064F32" w:rsidP="008A0DA6">
            <w:pPr>
              <w:pStyle w:val="NoSpacing"/>
              <w:jc w:val="center"/>
              <w:rPr>
                <w:rFonts w:ascii="Times New Roman" w:hAnsi="Times New Roman"/>
                <w:sz w:val="24"/>
                <w:szCs w:val="24"/>
                <w:lang w:eastAsia="lv-LV"/>
              </w:rPr>
            </w:pPr>
            <w:r w:rsidRPr="008A0DA6">
              <w:rPr>
                <w:rFonts w:ascii="Times New Roman" w:hAnsi="Times New Roman"/>
                <w:sz w:val="24"/>
                <w:szCs w:val="24"/>
                <w:lang w:eastAsia="lv-LV"/>
              </w:rPr>
              <w:t>202</w:t>
            </w:r>
            <w:r w:rsidR="00DF7DE7" w:rsidRPr="008A0DA6">
              <w:rPr>
                <w:rFonts w:ascii="Times New Roman" w:hAnsi="Times New Roman"/>
                <w:sz w:val="24"/>
                <w:szCs w:val="24"/>
                <w:lang w:eastAsia="lv-LV"/>
              </w:rPr>
              <w:t>4</w:t>
            </w:r>
            <w:r w:rsidRPr="008A0DA6">
              <w:rPr>
                <w:rFonts w:ascii="Times New Roman" w:hAnsi="Times New Roman"/>
                <w:sz w:val="24"/>
                <w:szCs w:val="24"/>
                <w:lang w:eastAsia="lv-LV"/>
              </w:rPr>
              <w:t>.</w:t>
            </w:r>
            <w:r w:rsidR="00445981" w:rsidRPr="008A0DA6">
              <w:rPr>
                <w:rFonts w:ascii="Times New Roman" w:hAnsi="Times New Roman"/>
                <w:sz w:val="24"/>
                <w:szCs w:val="24"/>
                <w:lang w:eastAsia="lv-LV"/>
              </w:rPr>
              <w:t> </w:t>
            </w:r>
            <w:r w:rsidRPr="008A0DA6">
              <w:rPr>
                <w:rFonts w:ascii="Times New Roman" w:hAnsi="Times New Roman"/>
                <w:sz w:val="24"/>
                <w:szCs w:val="24"/>
                <w:lang w:eastAsia="lv-LV"/>
              </w:rPr>
              <w:t>gads</w:t>
            </w:r>
          </w:p>
        </w:tc>
      </w:tr>
      <w:tr w:rsidR="00064F32" w:rsidRPr="009D1C04" w14:paraId="6FB505B8" w14:textId="77777777" w:rsidTr="007A40D1">
        <w:trPr>
          <w:gridAfter w:val="1"/>
          <w:wAfter w:w="8" w:type="dxa"/>
          <w:jc w:val="center"/>
        </w:trPr>
        <w:tc>
          <w:tcPr>
            <w:tcW w:w="1696" w:type="dxa"/>
            <w:vMerge/>
            <w:shd w:val="clear" w:color="auto" w:fill="auto"/>
            <w:vAlign w:val="center"/>
          </w:tcPr>
          <w:p w14:paraId="60D90A1A" w14:textId="77777777" w:rsidR="00064F32" w:rsidRPr="008A0DA6" w:rsidRDefault="00064F32" w:rsidP="008A0DA6">
            <w:pPr>
              <w:pStyle w:val="NoSpacing"/>
              <w:jc w:val="center"/>
              <w:rPr>
                <w:rFonts w:ascii="Times New Roman" w:hAnsi="Times New Roman"/>
                <w:sz w:val="24"/>
                <w:szCs w:val="24"/>
                <w:lang w:eastAsia="lv-LV"/>
              </w:rPr>
            </w:pPr>
          </w:p>
        </w:tc>
        <w:tc>
          <w:tcPr>
            <w:tcW w:w="1276" w:type="dxa"/>
            <w:shd w:val="clear" w:color="auto" w:fill="auto"/>
            <w:vAlign w:val="center"/>
          </w:tcPr>
          <w:p w14:paraId="01657033"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saskaņā ar valsts budžetu kārtējam gadam</w:t>
            </w:r>
          </w:p>
        </w:tc>
        <w:tc>
          <w:tcPr>
            <w:tcW w:w="1281" w:type="dxa"/>
            <w:shd w:val="clear" w:color="auto" w:fill="auto"/>
            <w:vAlign w:val="center"/>
          </w:tcPr>
          <w:p w14:paraId="2B8E0575"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izmaiņas kārtējā gadā, salīdzinot ar valsts budžetu kārtējam gadam</w:t>
            </w:r>
          </w:p>
        </w:tc>
        <w:tc>
          <w:tcPr>
            <w:tcW w:w="850" w:type="dxa"/>
            <w:shd w:val="clear" w:color="auto" w:fill="auto"/>
            <w:vAlign w:val="center"/>
          </w:tcPr>
          <w:p w14:paraId="02742470"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saskaņā ar vidēja termiņa budžeta ietvaru</w:t>
            </w:r>
          </w:p>
        </w:tc>
        <w:tc>
          <w:tcPr>
            <w:tcW w:w="1134" w:type="dxa"/>
            <w:shd w:val="clear" w:color="auto" w:fill="auto"/>
            <w:vAlign w:val="center"/>
          </w:tcPr>
          <w:p w14:paraId="3CA68DE1"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izmaiņas, salīdzinot ar vidēja termiņa budžeta ietvaru 20</w:t>
            </w:r>
            <w:r w:rsidR="002D0BF5" w:rsidRPr="008A0DA6">
              <w:rPr>
                <w:rFonts w:ascii="Times New Roman" w:hAnsi="Times New Roman"/>
                <w:sz w:val="20"/>
                <w:szCs w:val="20"/>
                <w:lang w:eastAsia="lv-LV"/>
              </w:rPr>
              <w:t>22</w:t>
            </w:r>
            <w:r w:rsidRPr="008A0DA6">
              <w:rPr>
                <w:rFonts w:ascii="Times New Roman" w:hAnsi="Times New Roman"/>
                <w:sz w:val="20"/>
                <w:szCs w:val="20"/>
                <w:lang w:eastAsia="lv-LV"/>
              </w:rPr>
              <w:t>. g</w:t>
            </w:r>
            <w:r w:rsidR="00445981" w:rsidRPr="008A0DA6">
              <w:rPr>
                <w:rFonts w:ascii="Times New Roman" w:hAnsi="Times New Roman"/>
                <w:sz w:val="20"/>
                <w:szCs w:val="20"/>
                <w:lang w:eastAsia="lv-LV"/>
              </w:rPr>
              <w:t>.</w:t>
            </w:r>
          </w:p>
        </w:tc>
        <w:tc>
          <w:tcPr>
            <w:tcW w:w="704" w:type="dxa"/>
            <w:shd w:val="clear" w:color="auto" w:fill="auto"/>
            <w:vAlign w:val="center"/>
          </w:tcPr>
          <w:p w14:paraId="5C9DC0E0" w14:textId="77777777" w:rsidR="00064F32" w:rsidRPr="008A0DA6" w:rsidRDefault="00064F32" w:rsidP="008A0DA6">
            <w:pPr>
              <w:pStyle w:val="NoSpacing"/>
              <w:ind w:left="-102"/>
              <w:jc w:val="center"/>
              <w:rPr>
                <w:rFonts w:ascii="Times New Roman" w:hAnsi="Times New Roman"/>
                <w:sz w:val="20"/>
                <w:szCs w:val="20"/>
                <w:lang w:eastAsia="lv-LV"/>
              </w:rPr>
            </w:pPr>
            <w:r w:rsidRPr="008A0DA6">
              <w:rPr>
                <w:rFonts w:ascii="Times New Roman" w:hAnsi="Times New Roman"/>
                <w:sz w:val="20"/>
                <w:szCs w:val="20"/>
                <w:lang w:eastAsia="lv-LV"/>
              </w:rPr>
              <w:t>saskaņā ar vidēja termiņa budžeta ietvaru</w:t>
            </w:r>
          </w:p>
        </w:tc>
        <w:tc>
          <w:tcPr>
            <w:tcW w:w="1134" w:type="dxa"/>
            <w:shd w:val="clear" w:color="auto" w:fill="auto"/>
            <w:vAlign w:val="center"/>
          </w:tcPr>
          <w:p w14:paraId="2AFD3927" w14:textId="77777777" w:rsidR="00064F32" w:rsidRPr="008A0DA6" w:rsidRDefault="00064F32" w:rsidP="008A0DA6">
            <w:pPr>
              <w:pStyle w:val="NoSpacing"/>
              <w:ind w:left="-102"/>
              <w:jc w:val="center"/>
              <w:rPr>
                <w:rFonts w:ascii="Times New Roman" w:hAnsi="Times New Roman"/>
                <w:sz w:val="20"/>
                <w:szCs w:val="20"/>
                <w:lang w:eastAsia="lv-LV"/>
              </w:rPr>
            </w:pPr>
            <w:r w:rsidRPr="008A0DA6">
              <w:rPr>
                <w:rFonts w:ascii="Times New Roman" w:hAnsi="Times New Roman"/>
                <w:sz w:val="20"/>
                <w:szCs w:val="20"/>
                <w:lang w:eastAsia="lv-LV"/>
              </w:rPr>
              <w:t>izmaiņas, salīdzinot ar vidēja termiņa budžeta ietvaru 202</w:t>
            </w:r>
            <w:r w:rsidR="002D0BF5" w:rsidRPr="008A0DA6">
              <w:rPr>
                <w:rFonts w:ascii="Times New Roman" w:hAnsi="Times New Roman"/>
                <w:sz w:val="20"/>
                <w:szCs w:val="20"/>
                <w:lang w:eastAsia="lv-LV"/>
              </w:rPr>
              <w:t>3</w:t>
            </w:r>
            <w:r w:rsidRPr="008A0DA6">
              <w:rPr>
                <w:rFonts w:ascii="Times New Roman" w:hAnsi="Times New Roman"/>
                <w:sz w:val="20"/>
                <w:szCs w:val="20"/>
                <w:lang w:eastAsia="lv-LV"/>
              </w:rPr>
              <w:t>.</w:t>
            </w:r>
            <w:r w:rsidR="00445981" w:rsidRPr="008A0DA6">
              <w:rPr>
                <w:rFonts w:ascii="Times New Roman" w:hAnsi="Times New Roman"/>
                <w:sz w:val="20"/>
                <w:szCs w:val="20"/>
                <w:lang w:eastAsia="lv-LV"/>
              </w:rPr>
              <w:t> </w:t>
            </w:r>
            <w:r w:rsidRPr="008A0DA6">
              <w:rPr>
                <w:rFonts w:ascii="Times New Roman" w:hAnsi="Times New Roman"/>
                <w:sz w:val="20"/>
                <w:szCs w:val="20"/>
                <w:lang w:eastAsia="lv-LV"/>
              </w:rPr>
              <w:t>g</w:t>
            </w:r>
            <w:r w:rsidR="00445981" w:rsidRPr="008A0DA6">
              <w:rPr>
                <w:rFonts w:ascii="Times New Roman" w:hAnsi="Times New Roman"/>
                <w:sz w:val="20"/>
                <w:szCs w:val="20"/>
                <w:lang w:eastAsia="lv-LV"/>
              </w:rPr>
              <w:t>.</w:t>
            </w:r>
          </w:p>
        </w:tc>
        <w:tc>
          <w:tcPr>
            <w:tcW w:w="1276" w:type="dxa"/>
            <w:shd w:val="clear" w:color="auto" w:fill="auto"/>
            <w:vAlign w:val="center"/>
          </w:tcPr>
          <w:p w14:paraId="4F865699"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izmaiņas, salīdzinot ar vidēja termiņa budžeta ietvaru 202</w:t>
            </w:r>
            <w:r w:rsidR="002D0BF5" w:rsidRPr="008A0DA6">
              <w:rPr>
                <w:rFonts w:ascii="Times New Roman" w:hAnsi="Times New Roman"/>
                <w:sz w:val="20"/>
                <w:szCs w:val="20"/>
                <w:lang w:eastAsia="lv-LV"/>
              </w:rPr>
              <w:t>3</w:t>
            </w:r>
            <w:r w:rsidRPr="008A0DA6">
              <w:rPr>
                <w:rFonts w:ascii="Times New Roman" w:hAnsi="Times New Roman"/>
                <w:sz w:val="20"/>
                <w:szCs w:val="20"/>
                <w:lang w:eastAsia="lv-LV"/>
              </w:rPr>
              <w:t>.</w:t>
            </w:r>
            <w:r w:rsidR="00445981" w:rsidRPr="008A0DA6">
              <w:rPr>
                <w:rFonts w:ascii="Times New Roman" w:hAnsi="Times New Roman"/>
                <w:sz w:val="20"/>
                <w:szCs w:val="20"/>
                <w:lang w:eastAsia="lv-LV"/>
              </w:rPr>
              <w:t> </w:t>
            </w:r>
            <w:r w:rsidRPr="008A0DA6">
              <w:rPr>
                <w:rFonts w:ascii="Times New Roman" w:hAnsi="Times New Roman"/>
                <w:sz w:val="20"/>
                <w:szCs w:val="20"/>
                <w:lang w:eastAsia="lv-LV"/>
              </w:rPr>
              <w:t>g</w:t>
            </w:r>
            <w:r w:rsidR="00445981" w:rsidRPr="008A0DA6">
              <w:rPr>
                <w:rFonts w:ascii="Times New Roman" w:hAnsi="Times New Roman"/>
                <w:sz w:val="20"/>
                <w:szCs w:val="20"/>
                <w:lang w:eastAsia="lv-LV"/>
              </w:rPr>
              <w:t>.</w:t>
            </w:r>
          </w:p>
        </w:tc>
      </w:tr>
      <w:tr w:rsidR="00064F32" w:rsidRPr="00445981" w14:paraId="2133100D" w14:textId="77777777" w:rsidTr="007A40D1">
        <w:trPr>
          <w:gridAfter w:val="1"/>
          <w:wAfter w:w="8" w:type="dxa"/>
          <w:trHeight w:val="152"/>
          <w:jc w:val="center"/>
        </w:trPr>
        <w:tc>
          <w:tcPr>
            <w:tcW w:w="1696" w:type="dxa"/>
            <w:shd w:val="clear" w:color="auto" w:fill="auto"/>
            <w:vAlign w:val="center"/>
          </w:tcPr>
          <w:p w14:paraId="0EA95164"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1</w:t>
            </w:r>
          </w:p>
        </w:tc>
        <w:tc>
          <w:tcPr>
            <w:tcW w:w="1276" w:type="dxa"/>
            <w:shd w:val="clear" w:color="auto" w:fill="auto"/>
            <w:vAlign w:val="center"/>
          </w:tcPr>
          <w:p w14:paraId="10A43263"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2</w:t>
            </w:r>
          </w:p>
        </w:tc>
        <w:tc>
          <w:tcPr>
            <w:tcW w:w="1281" w:type="dxa"/>
            <w:shd w:val="clear" w:color="auto" w:fill="auto"/>
            <w:vAlign w:val="center"/>
          </w:tcPr>
          <w:p w14:paraId="062DB744"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3</w:t>
            </w:r>
          </w:p>
        </w:tc>
        <w:tc>
          <w:tcPr>
            <w:tcW w:w="850" w:type="dxa"/>
            <w:shd w:val="clear" w:color="auto" w:fill="auto"/>
            <w:vAlign w:val="center"/>
          </w:tcPr>
          <w:p w14:paraId="22DC6121"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4</w:t>
            </w:r>
          </w:p>
        </w:tc>
        <w:tc>
          <w:tcPr>
            <w:tcW w:w="1134" w:type="dxa"/>
            <w:shd w:val="clear" w:color="auto" w:fill="auto"/>
            <w:vAlign w:val="center"/>
          </w:tcPr>
          <w:p w14:paraId="7B86F604"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5</w:t>
            </w:r>
          </w:p>
        </w:tc>
        <w:tc>
          <w:tcPr>
            <w:tcW w:w="704" w:type="dxa"/>
            <w:shd w:val="clear" w:color="auto" w:fill="auto"/>
            <w:vAlign w:val="center"/>
          </w:tcPr>
          <w:p w14:paraId="0398FF27"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6</w:t>
            </w:r>
          </w:p>
        </w:tc>
        <w:tc>
          <w:tcPr>
            <w:tcW w:w="1134" w:type="dxa"/>
            <w:shd w:val="clear" w:color="auto" w:fill="auto"/>
            <w:vAlign w:val="center"/>
          </w:tcPr>
          <w:p w14:paraId="1F812CD9"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7</w:t>
            </w:r>
          </w:p>
        </w:tc>
        <w:tc>
          <w:tcPr>
            <w:tcW w:w="1276" w:type="dxa"/>
            <w:shd w:val="clear" w:color="auto" w:fill="auto"/>
            <w:vAlign w:val="center"/>
          </w:tcPr>
          <w:p w14:paraId="39A244B8" w14:textId="77777777" w:rsidR="00064F32" w:rsidRPr="008A0DA6" w:rsidRDefault="00064F32" w:rsidP="008A0DA6">
            <w:pPr>
              <w:pStyle w:val="NoSpacing"/>
              <w:jc w:val="center"/>
              <w:rPr>
                <w:rFonts w:ascii="Times New Roman" w:hAnsi="Times New Roman"/>
                <w:sz w:val="20"/>
                <w:szCs w:val="20"/>
                <w:lang w:eastAsia="lv-LV"/>
              </w:rPr>
            </w:pPr>
            <w:r w:rsidRPr="008A0DA6">
              <w:rPr>
                <w:rFonts w:ascii="Times New Roman" w:hAnsi="Times New Roman"/>
                <w:sz w:val="20"/>
                <w:szCs w:val="20"/>
                <w:lang w:eastAsia="lv-LV"/>
              </w:rPr>
              <w:t>8</w:t>
            </w:r>
          </w:p>
        </w:tc>
      </w:tr>
      <w:tr w:rsidR="000044FA" w:rsidRPr="009D1C04" w14:paraId="0C1958E2" w14:textId="77777777" w:rsidTr="007A40D1">
        <w:trPr>
          <w:gridAfter w:val="1"/>
          <w:wAfter w:w="8" w:type="dxa"/>
          <w:jc w:val="center"/>
        </w:trPr>
        <w:tc>
          <w:tcPr>
            <w:tcW w:w="1696" w:type="dxa"/>
            <w:shd w:val="clear" w:color="auto" w:fill="auto"/>
          </w:tcPr>
          <w:p w14:paraId="3EFB87F5" w14:textId="77777777" w:rsidR="001611E9" w:rsidRPr="008A0DA6" w:rsidRDefault="001611E9" w:rsidP="000044FA">
            <w:pPr>
              <w:pStyle w:val="NoSpacing"/>
              <w:rPr>
                <w:rFonts w:ascii="Times New Roman" w:hAnsi="Times New Roman"/>
                <w:sz w:val="24"/>
                <w:szCs w:val="24"/>
                <w:lang w:eastAsia="lv-LV"/>
              </w:rPr>
            </w:pPr>
            <w:r w:rsidRPr="008A0DA6">
              <w:rPr>
                <w:rFonts w:ascii="Times New Roman" w:hAnsi="Times New Roman"/>
                <w:sz w:val="24"/>
                <w:szCs w:val="24"/>
                <w:lang w:eastAsia="lv-LV"/>
              </w:rPr>
              <w:t>1. Budžeta ieņēmumi</w:t>
            </w:r>
          </w:p>
        </w:tc>
        <w:tc>
          <w:tcPr>
            <w:tcW w:w="1276" w:type="dxa"/>
            <w:shd w:val="clear" w:color="auto" w:fill="auto"/>
          </w:tcPr>
          <w:p w14:paraId="529B958C" w14:textId="77777777" w:rsidR="001611E9" w:rsidRPr="008A0DA6" w:rsidRDefault="001611E9" w:rsidP="008A0DA6">
            <w:pPr>
              <w:pStyle w:val="NoSpacing"/>
              <w:ind w:left="-253"/>
              <w:jc w:val="right"/>
              <w:rPr>
                <w:rFonts w:ascii="Times New Roman" w:hAnsi="Times New Roman"/>
                <w:sz w:val="24"/>
                <w:szCs w:val="24"/>
                <w:lang w:eastAsia="lv-LV"/>
              </w:rPr>
            </w:pPr>
          </w:p>
        </w:tc>
        <w:tc>
          <w:tcPr>
            <w:tcW w:w="1281" w:type="dxa"/>
            <w:shd w:val="clear" w:color="auto" w:fill="auto"/>
          </w:tcPr>
          <w:p w14:paraId="35C50A01" w14:textId="77777777" w:rsidR="001611E9"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850" w:type="dxa"/>
            <w:shd w:val="clear" w:color="auto" w:fill="auto"/>
          </w:tcPr>
          <w:p w14:paraId="631DA2A6" w14:textId="77777777" w:rsidR="001611E9" w:rsidRPr="008A0DA6" w:rsidRDefault="001611E9"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02F5B5CA" w14:textId="77777777" w:rsidR="001611E9"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274BC70C" w14:textId="77777777" w:rsidR="001611E9" w:rsidRPr="008A0DA6" w:rsidRDefault="001611E9"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211FE7D6" w14:textId="77777777" w:rsidR="001611E9"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600DCA5E" w14:textId="77777777" w:rsidR="001611E9"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0044FA" w:rsidRPr="009D1C04" w14:paraId="6166E851" w14:textId="77777777" w:rsidTr="007A40D1">
        <w:trPr>
          <w:gridAfter w:val="1"/>
          <w:wAfter w:w="8" w:type="dxa"/>
          <w:jc w:val="center"/>
        </w:trPr>
        <w:tc>
          <w:tcPr>
            <w:tcW w:w="1696" w:type="dxa"/>
            <w:shd w:val="clear" w:color="auto" w:fill="auto"/>
          </w:tcPr>
          <w:p w14:paraId="43739CAF" w14:textId="77777777" w:rsidR="001611E9" w:rsidRPr="008A0DA6" w:rsidRDefault="001611E9" w:rsidP="000044FA">
            <w:pPr>
              <w:pStyle w:val="NoSpacing"/>
              <w:rPr>
                <w:rFonts w:ascii="Times New Roman" w:hAnsi="Times New Roman"/>
                <w:sz w:val="24"/>
                <w:szCs w:val="24"/>
                <w:lang w:eastAsia="lv-LV"/>
              </w:rPr>
            </w:pPr>
            <w:r w:rsidRPr="008A0DA6">
              <w:rPr>
                <w:rFonts w:ascii="Times New Roman" w:hAnsi="Times New Roman"/>
                <w:sz w:val="24"/>
                <w:szCs w:val="24"/>
                <w:lang w:eastAsia="lv-LV"/>
              </w:rPr>
              <w:lastRenderedPageBreak/>
              <w:t>1.1. valsts pamatbudžets</w:t>
            </w:r>
            <w:r w:rsidR="00445981" w:rsidRPr="008A0DA6">
              <w:rPr>
                <w:rFonts w:ascii="Times New Roman" w:hAnsi="Times New Roman"/>
                <w:sz w:val="24"/>
                <w:szCs w:val="24"/>
                <w:lang w:eastAsia="lv-LV"/>
              </w:rPr>
              <w:t xml:space="preserve">, </w:t>
            </w:r>
            <w:r w:rsidRPr="008A0DA6">
              <w:rPr>
                <w:rFonts w:ascii="Times New Roman" w:hAnsi="Times New Roman"/>
                <w:sz w:val="24"/>
                <w:szCs w:val="24"/>
                <w:lang w:eastAsia="lv-LV"/>
              </w:rPr>
              <w:t>tai skaitā ieņēmumi no maksas pakalpoju</w:t>
            </w:r>
            <w:r w:rsidR="00445981" w:rsidRPr="008A0DA6">
              <w:rPr>
                <w:rFonts w:ascii="Times New Roman" w:hAnsi="Times New Roman"/>
                <w:sz w:val="24"/>
                <w:szCs w:val="24"/>
                <w:lang w:eastAsia="lv-LV"/>
              </w:rPr>
              <w:softHyphen/>
            </w:r>
            <w:r w:rsidRPr="008A0DA6">
              <w:rPr>
                <w:rFonts w:ascii="Times New Roman" w:hAnsi="Times New Roman"/>
                <w:sz w:val="24"/>
                <w:szCs w:val="24"/>
                <w:lang w:eastAsia="lv-LV"/>
              </w:rPr>
              <w:t>miem un citi pašu ieņēmumi</w:t>
            </w:r>
            <w:r w:rsidR="00693E8E" w:rsidRPr="008A0DA6">
              <w:rPr>
                <w:rFonts w:ascii="Times New Roman" w:hAnsi="Times New Roman"/>
                <w:sz w:val="24"/>
                <w:szCs w:val="24"/>
                <w:lang w:eastAsia="lv-LV"/>
              </w:rPr>
              <w:t xml:space="preserve"> </w:t>
            </w:r>
          </w:p>
        </w:tc>
        <w:tc>
          <w:tcPr>
            <w:tcW w:w="1276" w:type="dxa"/>
            <w:shd w:val="clear" w:color="auto" w:fill="auto"/>
          </w:tcPr>
          <w:p w14:paraId="454EC376" w14:textId="77777777" w:rsidR="001611E9" w:rsidRPr="008A0DA6" w:rsidRDefault="001611E9" w:rsidP="008A0DA6">
            <w:pPr>
              <w:pStyle w:val="NoSpacing"/>
              <w:ind w:left="-253"/>
              <w:jc w:val="right"/>
              <w:rPr>
                <w:rFonts w:ascii="Times New Roman" w:hAnsi="Times New Roman"/>
                <w:sz w:val="24"/>
                <w:szCs w:val="24"/>
                <w:lang w:eastAsia="lv-LV"/>
              </w:rPr>
            </w:pPr>
          </w:p>
        </w:tc>
        <w:tc>
          <w:tcPr>
            <w:tcW w:w="1281" w:type="dxa"/>
            <w:shd w:val="clear" w:color="auto" w:fill="auto"/>
          </w:tcPr>
          <w:p w14:paraId="79AD5031" w14:textId="77777777" w:rsidR="001611E9"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850" w:type="dxa"/>
            <w:shd w:val="clear" w:color="auto" w:fill="auto"/>
          </w:tcPr>
          <w:p w14:paraId="08EA6F33" w14:textId="77777777" w:rsidR="001611E9" w:rsidRPr="008A0DA6" w:rsidRDefault="001611E9"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24B8B3B2" w14:textId="77777777" w:rsidR="001611E9"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5CD28808" w14:textId="77777777" w:rsidR="001611E9" w:rsidRPr="008A0DA6" w:rsidRDefault="001611E9"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13B988FB" w14:textId="77777777" w:rsidR="001611E9" w:rsidRPr="008A0DA6" w:rsidRDefault="008346FF" w:rsidP="008A0DA6">
            <w:pPr>
              <w:pStyle w:val="NoSpacing"/>
              <w:jc w:val="center"/>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4FC8B224" w14:textId="77777777" w:rsidR="001611E9"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064F32" w:rsidRPr="009D1C04" w14:paraId="44BCD406" w14:textId="77777777" w:rsidTr="007A40D1">
        <w:trPr>
          <w:gridAfter w:val="1"/>
          <w:wAfter w:w="8" w:type="dxa"/>
          <w:jc w:val="center"/>
        </w:trPr>
        <w:tc>
          <w:tcPr>
            <w:tcW w:w="1696" w:type="dxa"/>
            <w:shd w:val="clear" w:color="auto" w:fill="auto"/>
          </w:tcPr>
          <w:p w14:paraId="43EB5214" w14:textId="77777777" w:rsidR="00064F32" w:rsidRPr="008A0DA6" w:rsidRDefault="00064F32" w:rsidP="000044FA">
            <w:pPr>
              <w:pStyle w:val="NoSpacing"/>
              <w:rPr>
                <w:rFonts w:ascii="Times New Roman" w:hAnsi="Times New Roman"/>
                <w:sz w:val="24"/>
                <w:szCs w:val="24"/>
                <w:lang w:eastAsia="lv-LV"/>
              </w:rPr>
            </w:pPr>
            <w:r w:rsidRPr="008A0DA6">
              <w:rPr>
                <w:rFonts w:ascii="Times New Roman" w:hAnsi="Times New Roman"/>
                <w:sz w:val="24"/>
                <w:szCs w:val="24"/>
                <w:lang w:eastAsia="lv-LV"/>
              </w:rPr>
              <w:t>1.2. valsts speciālais budžets</w:t>
            </w:r>
            <w:r w:rsidR="00693E8E" w:rsidRPr="008A0DA6">
              <w:rPr>
                <w:rFonts w:ascii="Times New Roman" w:hAnsi="Times New Roman"/>
                <w:sz w:val="24"/>
                <w:szCs w:val="24"/>
                <w:lang w:eastAsia="lv-LV"/>
              </w:rPr>
              <w:t xml:space="preserve"> </w:t>
            </w:r>
          </w:p>
        </w:tc>
        <w:tc>
          <w:tcPr>
            <w:tcW w:w="1276" w:type="dxa"/>
            <w:shd w:val="clear" w:color="auto" w:fill="auto"/>
          </w:tcPr>
          <w:p w14:paraId="35B89D43" w14:textId="77777777" w:rsidR="00064F32" w:rsidRPr="008A0DA6" w:rsidRDefault="00A13D59" w:rsidP="008A0DA6">
            <w:pPr>
              <w:pStyle w:val="NoSpacing"/>
              <w:ind w:left="-253"/>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81" w:type="dxa"/>
            <w:shd w:val="clear" w:color="auto" w:fill="auto"/>
          </w:tcPr>
          <w:p w14:paraId="0675DE92"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850" w:type="dxa"/>
            <w:shd w:val="clear" w:color="auto" w:fill="auto"/>
          </w:tcPr>
          <w:p w14:paraId="72E84899"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54361350"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398FB61C"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594A260A"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0CA22D9F"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064F32" w:rsidRPr="009D1C04" w14:paraId="775A5143" w14:textId="77777777" w:rsidTr="007A40D1">
        <w:trPr>
          <w:gridAfter w:val="1"/>
          <w:wAfter w:w="8" w:type="dxa"/>
          <w:jc w:val="center"/>
        </w:trPr>
        <w:tc>
          <w:tcPr>
            <w:tcW w:w="1696" w:type="dxa"/>
            <w:shd w:val="clear" w:color="auto" w:fill="auto"/>
          </w:tcPr>
          <w:p w14:paraId="1B1ECAEA" w14:textId="77777777" w:rsidR="00064F32" w:rsidRPr="008A0DA6" w:rsidRDefault="00064F32" w:rsidP="000044FA">
            <w:pPr>
              <w:pStyle w:val="NoSpacing"/>
              <w:rPr>
                <w:rFonts w:ascii="Times New Roman" w:hAnsi="Times New Roman"/>
                <w:sz w:val="24"/>
                <w:szCs w:val="24"/>
                <w:lang w:eastAsia="lv-LV"/>
              </w:rPr>
            </w:pPr>
            <w:r w:rsidRPr="008A0DA6">
              <w:rPr>
                <w:rFonts w:ascii="Times New Roman" w:hAnsi="Times New Roman"/>
                <w:sz w:val="24"/>
                <w:szCs w:val="24"/>
                <w:lang w:eastAsia="lv-LV"/>
              </w:rPr>
              <w:t>1.3. pašvaldību budžets</w:t>
            </w:r>
          </w:p>
        </w:tc>
        <w:tc>
          <w:tcPr>
            <w:tcW w:w="1276" w:type="dxa"/>
            <w:shd w:val="clear" w:color="auto" w:fill="auto"/>
          </w:tcPr>
          <w:p w14:paraId="075B3998" w14:textId="77777777" w:rsidR="00064F32" w:rsidRPr="008A0DA6" w:rsidRDefault="00A13D59" w:rsidP="008A0DA6">
            <w:pPr>
              <w:pStyle w:val="NoSpacing"/>
              <w:ind w:left="-253"/>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81" w:type="dxa"/>
            <w:shd w:val="clear" w:color="auto" w:fill="auto"/>
          </w:tcPr>
          <w:p w14:paraId="51BD33BD"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850" w:type="dxa"/>
            <w:shd w:val="clear" w:color="auto" w:fill="auto"/>
          </w:tcPr>
          <w:p w14:paraId="6276CA5A"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023DBFBB"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15F12507"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5F264AF2"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5B1608BE"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064F32" w:rsidRPr="009D1C04" w14:paraId="1726C9A9" w14:textId="77777777" w:rsidTr="007A40D1">
        <w:trPr>
          <w:gridAfter w:val="1"/>
          <w:wAfter w:w="8" w:type="dxa"/>
          <w:jc w:val="center"/>
        </w:trPr>
        <w:tc>
          <w:tcPr>
            <w:tcW w:w="1696" w:type="dxa"/>
            <w:shd w:val="clear" w:color="auto" w:fill="auto"/>
          </w:tcPr>
          <w:p w14:paraId="5EEC7B49" w14:textId="77777777" w:rsidR="00064F32" w:rsidRPr="008A0DA6" w:rsidRDefault="00064F32" w:rsidP="000044FA">
            <w:pPr>
              <w:pStyle w:val="NoSpacing"/>
              <w:rPr>
                <w:rFonts w:ascii="Times New Roman" w:hAnsi="Times New Roman"/>
                <w:sz w:val="24"/>
                <w:szCs w:val="24"/>
                <w:lang w:eastAsia="lv-LV"/>
              </w:rPr>
            </w:pPr>
            <w:r w:rsidRPr="008A0DA6">
              <w:rPr>
                <w:rFonts w:ascii="Times New Roman" w:hAnsi="Times New Roman"/>
                <w:sz w:val="24"/>
                <w:szCs w:val="24"/>
                <w:lang w:eastAsia="lv-LV"/>
              </w:rPr>
              <w:t>2. Budžeta izdevumi</w:t>
            </w:r>
          </w:p>
        </w:tc>
        <w:tc>
          <w:tcPr>
            <w:tcW w:w="1276" w:type="dxa"/>
            <w:shd w:val="clear" w:color="auto" w:fill="auto"/>
          </w:tcPr>
          <w:p w14:paraId="31429AC7" w14:textId="77777777" w:rsidR="00064F32" w:rsidRPr="008A0DA6" w:rsidRDefault="00064F32" w:rsidP="008A0DA6">
            <w:pPr>
              <w:pStyle w:val="NoSpacing"/>
              <w:ind w:left="-253"/>
              <w:jc w:val="right"/>
              <w:rPr>
                <w:rFonts w:ascii="Times New Roman" w:hAnsi="Times New Roman"/>
                <w:sz w:val="24"/>
                <w:szCs w:val="24"/>
                <w:lang w:eastAsia="lv-LV"/>
              </w:rPr>
            </w:pPr>
          </w:p>
        </w:tc>
        <w:tc>
          <w:tcPr>
            <w:tcW w:w="1281" w:type="dxa"/>
            <w:shd w:val="clear" w:color="auto" w:fill="auto"/>
          </w:tcPr>
          <w:p w14:paraId="6338966A" w14:textId="77777777" w:rsidR="00064F32" w:rsidRPr="008A0DA6" w:rsidRDefault="008346FF" w:rsidP="008A0DA6">
            <w:pPr>
              <w:pStyle w:val="NoSpacing"/>
              <w:jc w:val="right"/>
              <w:rPr>
                <w:rFonts w:ascii="Times New Roman" w:hAnsi="Times New Roman"/>
                <w:bCs/>
                <w:sz w:val="24"/>
                <w:szCs w:val="24"/>
                <w:lang w:eastAsia="lv-LV"/>
              </w:rPr>
            </w:pPr>
            <w:r w:rsidRPr="008A0DA6">
              <w:rPr>
                <w:rFonts w:ascii="Times New Roman" w:hAnsi="Times New Roman"/>
                <w:bCs/>
                <w:sz w:val="24"/>
                <w:szCs w:val="24"/>
              </w:rPr>
              <w:t>0</w:t>
            </w:r>
          </w:p>
        </w:tc>
        <w:tc>
          <w:tcPr>
            <w:tcW w:w="850" w:type="dxa"/>
            <w:shd w:val="clear" w:color="auto" w:fill="auto"/>
          </w:tcPr>
          <w:p w14:paraId="0CEF3D59"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511134D5" w14:textId="77777777" w:rsidR="00064F32"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1C249D62"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43B66F73" w14:textId="77777777" w:rsidR="00064F32"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48DE671E" w14:textId="77777777" w:rsidR="00064F32"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064F32" w:rsidRPr="009D1C04" w14:paraId="5CF73984" w14:textId="77777777" w:rsidTr="007A40D1">
        <w:trPr>
          <w:gridAfter w:val="1"/>
          <w:wAfter w:w="8" w:type="dxa"/>
          <w:jc w:val="center"/>
        </w:trPr>
        <w:tc>
          <w:tcPr>
            <w:tcW w:w="1696" w:type="dxa"/>
            <w:shd w:val="clear" w:color="auto" w:fill="auto"/>
          </w:tcPr>
          <w:p w14:paraId="4613111D" w14:textId="77777777" w:rsidR="00064F32" w:rsidRPr="008A0DA6" w:rsidRDefault="00064F32" w:rsidP="000044FA">
            <w:pPr>
              <w:pStyle w:val="NoSpacing"/>
              <w:rPr>
                <w:rFonts w:ascii="Times New Roman" w:hAnsi="Times New Roman"/>
                <w:sz w:val="24"/>
                <w:szCs w:val="24"/>
                <w:lang w:eastAsia="lv-LV"/>
              </w:rPr>
            </w:pPr>
            <w:r w:rsidRPr="008A0DA6">
              <w:rPr>
                <w:rFonts w:ascii="Times New Roman" w:hAnsi="Times New Roman"/>
                <w:sz w:val="24"/>
                <w:szCs w:val="24"/>
                <w:lang w:eastAsia="lv-LV"/>
              </w:rPr>
              <w:t>2.1. valsts pamatbudžets</w:t>
            </w:r>
            <w:r w:rsidR="00B50A1F" w:rsidRPr="008A0DA6">
              <w:rPr>
                <w:rFonts w:ascii="Times New Roman" w:hAnsi="Times New Roman"/>
                <w:sz w:val="24"/>
                <w:szCs w:val="24"/>
                <w:lang w:eastAsia="lv-LV"/>
              </w:rPr>
              <w:t xml:space="preserve"> </w:t>
            </w:r>
          </w:p>
        </w:tc>
        <w:tc>
          <w:tcPr>
            <w:tcW w:w="1276" w:type="dxa"/>
            <w:shd w:val="clear" w:color="auto" w:fill="auto"/>
          </w:tcPr>
          <w:p w14:paraId="648472A1" w14:textId="77777777" w:rsidR="00064F32" w:rsidRPr="008A0DA6" w:rsidRDefault="00064F32" w:rsidP="008A0DA6">
            <w:pPr>
              <w:pStyle w:val="NoSpacing"/>
              <w:ind w:left="-253"/>
              <w:jc w:val="right"/>
              <w:rPr>
                <w:rFonts w:ascii="Times New Roman" w:hAnsi="Times New Roman"/>
                <w:sz w:val="24"/>
                <w:szCs w:val="24"/>
                <w:lang w:eastAsia="lv-LV"/>
              </w:rPr>
            </w:pPr>
          </w:p>
        </w:tc>
        <w:tc>
          <w:tcPr>
            <w:tcW w:w="1281" w:type="dxa"/>
            <w:shd w:val="clear" w:color="auto" w:fill="auto"/>
          </w:tcPr>
          <w:p w14:paraId="482E764F" w14:textId="77777777" w:rsidR="00064F32" w:rsidRPr="008A0DA6" w:rsidRDefault="008346FF" w:rsidP="008A0DA6">
            <w:pPr>
              <w:pStyle w:val="NoSpacing"/>
              <w:jc w:val="right"/>
              <w:rPr>
                <w:rFonts w:ascii="Times New Roman" w:hAnsi="Times New Roman"/>
                <w:bCs/>
                <w:sz w:val="24"/>
                <w:szCs w:val="24"/>
                <w:lang w:eastAsia="lv-LV"/>
              </w:rPr>
            </w:pPr>
            <w:r w:rsidRPr="008A0DA6">
              <w:rPr>
                <w:rFonts w:ascii="Times New Roman" w:hAnsi="Times New Roman"/>
                <w:bCs/>
                <w:sz w:val="24"/>
                <w:szCs w:val="24"/>
              </w:rPr>
              <w:t>0</w:t>
            </w:r>
          </w:p>
        </w:tc>
        <w:tc>
          <w:tcPr>
            <w:tcW w:w="850" w:type="dxa"/>
            <w:shd w:val="clear" w:color="auto" w:fill="auto"/>
          </w:tcPr>
          <w:p w14:paraId="397D9D26"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23029C97" w14:textId="77777777" w:rsidR="00064F32"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363E01E8" w14:textId="77777777" w:rsidR="00064F32" w:rsidRPr="008A0DA6" w:rsidRDefault="00064F32"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03DBEBD7" w14:textId="77777777" w:rsidR="00064F32"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26F34051" w14:textId="77777777" w:rsidR="00064F32" w:rsidRPr="008A0DA6" w:rsidRDefault="008346F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8346FF" w:rsidRPr="00A610D7" w14:paraId="1735AF1C" w14:textId="77777777" w:rsidTr="007A40D1">
        <w:trPr>
          <w:gridAfter w:val="1"/>
          <w:wAfter w:w="8" w:type="dxa"/>
          <w:jc w:val="center"/>
        </w:trPr>
        <w:tc>
          <w:tcPr>
            <w:tcW w:w="1696" w:type="dxa"/>
            <w:shd w:val="clear" w:color="auto" w:fill="auto"/>
          </w:tcPr>
          <w:p w14:paraId="136671D8" w14:textId="77777777" w:rsidR="008346FF" w:rsidRPr="008A0DA6" w:rsidRDefault="008346FF" w:rsidP="00BA0247">
            <w:pPr>
              <w:pStyle w:val="NoSpacing"/>
              <w:rPr>
                <w:rFonts w:ascii="Times New Roman" w:hAnsi="Times New Roman"/>
                <w:sz w:val="24"/>
                <w:szCs w:val="24"/>
                <w:lang w:eastAsia="lv-LV"/>
              </w:rPr>
            </w:pPr>
            <w:r w:rsidRPr="008A0DA6">
              <w:rPr>
                <w:rFonts w:ascii="Times New Roman" w:hAnsi="Times New Roman"/>
                <w:sz w:val="24"/>
                <w:szCs w:val="24"/>
                <w:lang w:eastAsia="lv-LV"/>
              </w:rPr>
              <w:t xml:space="preserve">Budžeta apakšprogramma </w:t>
            </w:r>
            <w:r w:rsidR="008B6834" w:rsidRPr="008A0DA6">
              <w:rPr>
                <w:rFonts w:ascii="Times New Roman" w:hAnsi="Times New Roman"/>
                <w:color w:val="212121"/>
                <w:sz w:val="24"/>
                <w:szCs w:val="24"/>
                <w:shd w:val="clear" w:color="auto" w:fill="FFFFFF"/>
              </w:rPr>
              <w:t>01.00.00.</w:t>
            </w:r>
            <w:r w:rsidR="00BA0247" w:rsidRPr="008A0DA6">
              <w:rPr>
                <w:rFonts w:ascii="Times New Roman" w:hAnsi="Times New Roman"/>
                <w:color w:val="212121"/>
                <w:sz w:val="24"/>
                <w:szCs w:val="24"/>
                <w:shd w:val="clear" w:color="auto" w:fill="FFFFFF"/>
              </w:rPr>
              <w:t>“Pārresoru koordinācijas centra darbības nodrošināšana”</w:t>
            </w:r>
          </w:p>
        </w:tc>
        <w:tc>
          <w:tcPr>
            <w:tcW w:w="1276" w:type="dxa"/>
            <w:shd w:val="clear" w:color="auto" w:fill="auto"/>
          </w:tcPr>
          <w:p w14:paraId="5C2A2CBB" w14:textId="77777777" w:rsidR="00361ED8" w:rsidRPr="008A0DA6" w:rsidRDefault="00843A8D" w:rsidP="008A0DA6">
            <w:pPr>
              <w:pStyle w:val="NoSpacing"/>
              <w:jc w:val="center"/>
              <w:rPr>
                <w:rFonts w:ascii="Times New Roman" w:hAnsi="Times New Roman"/>
                <w:sz w:val="24"/>
                <w:szCs w:val="24"/>
                <w:lang w:eastAsia="lv-LV"/>
              </w:rPr>
            </w:pPr>
            <w:r w:rsidRPr="008A0DA6">
              <w:rPr>
                <w:rFonts w:ascii="Times New Roman" w:hAnsi="Times New Roman"/>
                <w:sz w:val="24"/>
                <w:szCs w:val="24"/>
                <w:lang w:eastAsia="lv-LV"/>
              </w:rPr>
              <w:t>897 449</w:t>
            </w:r>
            <w:r w:rsidR="00361ED8" w:rsidRPr="008A0DA6">
              <w:rPr>
                <w:rFonts w:ascii="Times New Roman" w:hAnsi="Times New Roman"/>
                <w:sz w:val="24"/>
                <w:szCs w:val="24"/>
                <w:lang w:eastAsia="lv-LV"/>
              </w:rPr>
              <w:t xml:space="preserve"> </w:t>
            </w:r>
          </w:p>
        </w:tc>
        <w:tc>
          <w:tcPr>
            <w:tcW w:w="1281" w:type="dxa"/>
            <w:shd w:val="clear" w:color="auto" w:fill="auto"/>
          </w:tcPr>
          <w:p w14:paraId="5902E3CA" w14:textId="259E3D78" w:rsidR="008346FF" w:rsidRPr="003159B9" w:rsidRDefault="00F0049A" w:rsidP="00994C40">
            <w:pPr>
              <w:pStyle w:val="NoSpacing"/>
              <w:jc w:val="right"/>
              <w:rPr>
                <w:rFonts w:ascii="Times New Roman" w:hAnsi="Times New Roman"/>
                <w:lang w:eastAsia="lv-LV"/>
              </w:rPr>
            </w:pPr>
            <w:r w:rsidRPr="003159B9">
              <w:rPr>
                <w:rFonts w:ascii="Times New Roman" w:hAnsi="Times New Roman"/>
                <w:lang w:eastAsia="lv-LV"/>
              </w:rPr>
              <w:t>-</w:t>
            </w:r>
            <w:r w:rsidR="00994C40" w:rsidRPr="003159B9">
              <w:rPr>
                <w:rFonts w:ascii="Times New Roman" w:hAnsi="Times New Roman"/>
                <w:lang w:eastAsia="lv-LV"/>
              </w:rPr>
              <w:t>75</w:t>
            </w:r>
            <w:r w:rsidR="00AC3F0C" w:rsidRPr="003159B9">
              <w:rPr>
                <w:rFonts w:ascii="Times New Roman" w:hAnsi="Times New Roman"/>
                <w:lang w:eastAsia="lv-LV"/>
              </w:rPr>
              <w:t> </w:t>
            </w:r>
            <w:r w:rsidR="00994C40" w:rsidRPr="003159B9">
              <w:rPr>
                <w:rFonts w:ascii="Times New Roman" w:hAnsi="Times New Roman"/>
                <w:lang w:eastAsia="lv-LV"/>
              </w:rPr>
              <w:t>828</w:t>
            </w:r>
          </w:p>
        </w:tc>
        <w:tc>
          <w:tcPr>
            <w:tcW w:w="850" w:type="dxa"/>
            <w:shd w:val="clear" w:color="auto" w:fill="auto"/>
          </w:tcPr>
          <w:p w14:paraId="5EE99EC3" w14:textId="77777777" w:rsidR="008346FF" w:rsidRPr="003159B9" w:rsidRDefault="008346FF" w:rsidP="008A0DA6">
            <w:pPr>
              <w:pStyle w:val="NoSpacing"/>
              <w:jc w:val="right"/>
              <w:rPr>
                <w:rFonts w:ascii="Times New Roman" w:hAnsi="Times New Roman"/>
                <w:lang w:eastAsia="lv-LV"/>
              </w:rPr>
            </w:pPr>
          </w:p>
        </w:tc>
        <w:tc>
          <w:tcPr>
            <w:tcW w:w="1134" w:type="dxa"/>
            <w:shd w:val="clear" w:color="auto" w:fill="auto"/>
          </w:tcPr>
          <w:p w14:paraId="437C8BA3" w14:textId="08238C1A" w:rsidR="008346FF" w:rsidRPr="003159B9" w:rsidRDefault="008346FF" w:rsidP="00994C40">
            <w:pPr>
              <w:pStyle w:val="NoSpacing"/>
              <w:jc w:val="right"/>
              <w:rPr>
                <w:rFonts w:ascii="Times New Roman" w:hAnsi="Times New Roman"/>
                <w:lang w:eastAsia="lv-LV"/>
              </w:rPr>
            </w:pPr>
            <w:r w:rsidRPr="003159B9">
              <w:rPr>
                <w:rFonts w:ascii="Times New Roman" w:hAnsi="Times New Roman"/>
                <w:lang w:eastAsia="lv-LV"/>
              </w:rPr>
              <w:t>-</w:t>
            </w:r>
            <w:r w:rsidR="00FA5824" w:rsidRPr="003159B9">
              <w:rPr>
                <w:rFonts w:ascii="Times New Roman" w:hAnsi="Times New Roman"/>
                <w:lang w:eastAsia="lv-LV"/>
              </w:rPr>
              <w:t>2</w:t>
            </w:r>
            <w:r w:rsidR="00994C40" w:rsidRPr="003159B9">
              <w:rPr>
                <w:rFonts w:ascii="Times New Roman" w:hAnsi="Times New Roman"/>
                <w:lang w:eastAsia="lv-LV"/>
              </w:rPr>
              <w:t>17</w:t>
            </w:r>
            <w:r w:rsidR="00FA5824" w:rsidRPr="003159B9">
              <w:rPr>
                <w:rFonts w:ascii="Times New Roman" w:hAnsi="Times New Roman"/>
                <w:lang w:eastAsia="lv-LV"/>
              </w:rPr>
              <w:t> </w:t>
            </w:r>
            <w:r w:rsidR="00994C40" w:rsidRPr="003159B9">
              <w:rPr>
                <w:rFonts w:ascii="Times New Roman" w:hAnsi="Times New Roman"/>
                <w:lang w:eastAsia="lv-LV"/>
              </w:rPr>
              <w:t>818</w:t>
            </w:r>
          </w:p>
        </w:tc>
        <w:tc>
          <w:tcPr>
            <w:tcW w:w="704" w:type="dxa"/>
            <w:shd w:val="clear" w:color="auto" w:fill="auto"/>
          </w:tcPr>
          <w:p w14:paraId="1C05BC2A" w14:textId="77777777" w:rsidR="008346FF" w:rsidRPr="003159B9" w:rsidRDefault="008346FF" w:rsidP="008A0DA6">
            <w:pPr>
              <w:pStyle w:val="NoSpacing"/>
              <w:jc w:val="right"/>
              <w:rPr>
                <w:rFonts w:ascii="Times New Roman" w:hAnsi="Times New Roman"/>
                <w:lang w:eastAsia="lv-LV"/>
              </w:rPr>
            </w:pPr>
          </w:p>
        </w:tc>
        <w:tc>
          <w:tcPr>
            <w:tcW w:w="1134" w:type="dxa"/>
            <w:shd w:val="clear" w:color="auto" w:fill="auto"/>
          </w:tcPr>
          <w:p w14:paraId="231069D5" w14:textId="7FACF524" w:rsidR="008346FF" w:rsidRPr="003159B9" w:rsidRDefault="00AE56BA" w:rsidP="00994C40">
            <w:pPr>
              <w:pStyle w:val="NoSpacing"/>
              <w:rPr>
                <w:rFonts w:ascii="Times New Roman" w:hAnsi="Times New Roman"/>
                <w:lang w:eastAsia="lv-LV"/>
              </w:rPr>
            </w:pPr>
            <w:r w:rsidRPr="003159B9">
              <w:rPr>
                <w:rFonts w:ascii="Times New Roman" w:hAnsi="Times New Roman"/>
                <w:lang w:eastAsia="lv-LV"/>
              </w:rPr>
              <w:t>-</w:t>
            </w:r>
            <w:r w:rsidR="00FA5824" w:rsidRPr="003159B9">
              <w:rPr>
                <w:rFonts w:ascii="Times New Roman" w:hAnsi="Times New Roman"/>
                <w:lang w:eastAsia="lv-LV"/>
              </w:rPr>
              <w:t>20</w:t>
            </w:r>
            <w:r w:rsidR="00994C40" w:rsidRPr="003159B9">
              <w:rPr>
                <w:rFonts w:ascii="Times New Roman" w:hAnsi="Times New Roman"/>
                <w:lang w:eastAsia="lv-LV"/>
              </w:rPr>
              <w:t>2</w:t>
            </w:r>
            <w:r w:rsidR="00FA5824" w:rsidRPr="003159B9">
              <w:rPr>
                <w:rFonts w:ascii="Times New Roman" w:hAnsi="Times New Roman"/>
                <w:lang w:eastAsia="lv-LV"/>
              </w:rPr>
              <w:t xml:space="preserve"> 46</w:t>
            </w:r>
            <w:r w:rsidR="00AC3F0C" w:rsidRPr="003159B9">
              <w:rPr>
                <w:rFonts w:ascii="Times New Roman" w:hAnsi="Times New Roman"/>
                <w:lang w:eastAsia="lv-LV"/>
              </w:rPr>
              <w:t>5</w:t>
            </w:r>
            <w:r w:rsidRPr="003159B9">
              <w:rPr>
                <w:rFonts w:ascii="Times New Roman" w:hAnsi="Times New Roman"/>
                <w:lang w:eastAsia="lv-LV"/>
              </w:rPr>
              <w:t xml:space="preserve"> </w:t>
            </w:r>
          </w:p>
        </w:tc>
        <w:tc>
          <w:tcPr>
            <w:tcW w:w="1276" w:type="dxa"/>
            <w:shd w:val="clear" w:color="auto" w:fill="auto"/>
          </w:tcPr>
          <w:p w14:paraId="47B8CA4C" w14:textId="659733BB" w:rsidR="008346FF" w:rsidRPr="003159B9" w:rsidRDefault="008346FF" w:rsidP="00994C40">
            <w:pPr>
              <w:pStyle w:val="NoSpacing"/>
              <w:jc w:val="right"/>
              <w:rPr>
                <w:rFonts w:ascii="Times New Roman" w:hAnsi="Times New Roman"/>
                <w:lang w:eastAsia="lv-LV"/>
              </w:rPr>
            </w:pPr>
            <w:r w:rsidRPr="003159B9">
              <w:rPr>
                <w:rFonts w:ascii="Times New Roman" w:hAnsi="Times New Roman"/>
                <w:lang w:eastAsia="lv-LV"/>
              </w:rPr>
              <w:t>-</w:t>
            </w:r>
            <w:r w:rsidR="00FA5824" w:rsidRPr="003159B9">
              <w:rPr>
                <w:rFonts w:ascii="Times New Roman" w:hAnsi="Times New Roman"/>
                <w:lang w:eastAsia="lv-LV"/>
              </w:rPr>
              <w:t>20</w:t>
            </w:r>
            <w:r w:rsidR="00994C40" w:rsidRPr="003159B9">
              <w:rPr>
                <w:rFonts w:ascii="Times New Roman" w:hAnsi="Times New Roman"/>
                <w:lang w:eastAsia="lv-LV"/>
              </w:rPr>
              <w:t>2</w:t>
            </w:r>
            <w:r w:rsidR="00FA5824" w:rsidRPr="003159B9">
              <w:rPr>
                <w:rFonts w:ascii="Times New Roman" w:hAnsi="Times New Roman"/>
                <w:lang w:eastAsia="lv-LV"/>
              </w:rPr>
              <w:t> 46</w:t>
            </w:r>
            <w:r w:rsidR="00AC3F0C" w:rsidRPr="003159B9">
              <w:rPr>
                <w:rFonts w:ascii="Times New Roman" w:hAnsi="Times New Roman"/>
                <w:lang w:eastAsia="lv-LV"/>
              </w:rPr>
              <w:t>5</w:t>
            </w:r>
          </w:p>
        </w:tc>
      </w:tr>
      <w:tr w:rsidR="008346FF" w:rsidRPr="009D1C04" w14:paraId="5EF4EBC1" w14:textId="77777777" w:rsidTr="007A40D1">
        <w:trPr>
          <w:gridAfter w:val="1"/>
          <w:wAfter w:w="8" w:type="dxa"/>
          <w:jc w:val="center"/>
        </w:trPr>
        <w:tc>
          <w:tcPr>
            <w:tcW w:w="1696" w:type="dxa"/>
            <w:shd w:val="clear" w:color="auto" w:fill="auto"/>
          </w:tcPr>
          <w:p w14:paraId="018B956D" w14:textId="77777777" w:rsidR="008346FF" w:rsidRPr="008A0DA6" w:rsidRDefault="008346F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 xml:space="preserve">Budžeta apakšprogramma 42.06.00 </w:t>
            </w:r>
            <w:r w:rsidR="003B3ADE" w:rsidRPr="008A0DA6">
              <w:rPr>
                <w:rFonts w:ascii="Times New Roman" w:hAnsi="Times New Roman"/>
                <w:sz w:val="24"/>
                <w:szCs w:val="24"/>
                <w:lang w:eastAsia="lv-LV"/>
              </w:rPr>
              <w:t>“</w:t>
            </w:r>
            <w:r w:rsidR="00BA0247" w:rsidRPr="008A0DA6">
              <w:rPr>
                <w:rFonts w:ascii="Times New Roman" w:hAnsi="Times New Roman"/>
                <w:sz w:val="24"/>
                <w:szCs w:val="24"/>
                <w:lang w:eastAsia="lv-LV"/>
              </w:rPr>
              <w:t>Valsts izglītības satura c</w:t>
            </w:r>
            <w:r w:rsidR="003B3ADE" w:rsidRPr="008A0DA6">
              <w:rPr>
                <w:rFonts w:ascii="Times New Roman" w:hAnsi="Times New Roman"/>
                <w:sz w:val="24"/>
                <w:szCs w:val="24"/>
                <w:lang w:eastAsia="lv-LV"/>
              </w:rPr>
              <w:t>entra darbības nodrošināšana”</w:t>
            </w:r>
          </w:p>
        </w:tc>
        <w:tc>
          <w:tcPr>
            <w:tcW w:w="1276" w:type="dxa"/>
            <w:shd w:val="clear" w:color="auto" w:fill="auto"/>
          </w:tcPr>
          <w:p w14:paraId="62F01850" w14:textId="77777777" w:rsidR="008346FF" w:rsidRPr="008A0DA6" w:rsidRDefault="00363CE8" w:rsidP="008A0DA6">
            <w:pPr>
              <w:pStyle w:val="NoSpacing"/>
              <w:jc w:val="center"/>
              <w:rPr>
                <w:rFonts w:ascii="Times New Roman" w:hAnsi="Times New Roman"/>
                <w:sz w:val="24"/>
                <w:szCs w:val="24"/>
                <w:lang w:eastAsia="lv-LV"/>
              </w:rPr>
            </w:pPr>
            <w:r w:rsidRPr="008A0DA6">
              <w:rPr>
                <w:rFonts w:ascii="Times New Roman" w:hAnsi="Times New Roman"/>
                <w:sz w:val="24"/>
                <w:szCs w:val="24"/>
                <w:lang w:eastAsia="lv-LV"/>
              </w:rPr>
              <w:t>83 166</w:t>
            </w:r>
          </w:p>
          <w:p w14:paraId="2FE1AB3A" w14:textId="77777777" w:rsidR="00361ED8" w:rsidRPr="008A0DA6" w:rsidRDefault="00361ED8" w:rsidP="008A0DA6">
            <w:pPr>
              <w:pStyle w:val="NoSpacing"/>
              <w:jc w:val="center"/>
              <w:rPr>
                <w:rFonts w:ascii="Times New Roman" w:hAnsi="Times New Roman"/>
                <w:sz w:val="24"/>
                <w:szCs w:val="24"/>
                <w:lang w:eastAsia="lv-LV"/>
              </w:rPr>
            </w:pPr>
          </w:p>
          <w:p w14:paraId="7F72A02A" w14:textId="77777777" w:rsidR="00361ED8" w:rsidRPr="008A0DA6" w:rsidRDefault="00361ED8" w:rsidP="008A0DA6">
            <w:pPr>
              <w:pStyle w:val="NoSpacing"/>
              <w:jc w:val="center"/>
              <w:rPr>
                <w:rFonts w:ascii="Times New Roman" w:hAnsi="Times New Roman"/>
                <w:sz w:val="24"/>
                <w:szCs w:val="24"/>
                <w:lang w:eastAsia="lv-LV"/>
              </w:rPr>
            </w:pPr>
          </w:p>
        </w:tc>
        <w:tc>
          <w:tcPr>
            <w:tcW w:w="1281" w:type="dxa"/>
            <w:shd w:val="clear" w:color="auto" w:fill="auto"/>
          </w:tcPr>
          <w:p w14:paraId="6B777220" w14:textId="5EF06016" w:rsidR="008346FF" w:rsidRPr="003159B9" w:rsidRDefault="00994C40" w:rsidP="00994C40">
            <w:pPr>
              <w:pStyle w:val="NoSpacing"/>
              <w:jc w:val="right"/>
              <w:rPr>
                <w:rFonts w:ascii="Times New Roman" w:hAnsi="Times New Roman"/>
                <w:sz w:val="24"/>
                <w:szCs w:val="24"/>
                <w:lang w:eastAsia="lv-LV"/>
              </w:rPr>
            </w:pPr>
            <w:r w:rsidRPr="003159B9">
              <w:rPr>
                <w:rFonts w:ascii="Times New Roman" w:hAnsi="Times New Roman"/>
                <w:lang w:eastAsia="lv-LV"/>
              </w:rPr>
              <w:t>75</w:t>
            </w:r>
            <w:r w:rsidR="00FA5824" w:rsidRPr="003159B9">
              <w:rPr>
                <w:rFonts w:ascii="Times New Roman" w:hAnsi="Times New Roman"/>
                <w:lang w:eastAsia="lv-LV"/>
              </w:rPr>
              <w:t> </w:t>
            </w:r>
            <w:r w:rsidRPr="003159B9">
              <w:rPr>
                <w:rFonts w:ascii="Times New Roman" w:hAnsi="Times New Roman"/>
                <w:lang w:eastAsia="lv-LV"/>
              </w:rPr>
              <w:t>828</w:t>
            </w:r>
          </w:p>
        </w:tc>
        <w:tc>
          <w:tcPr>
            <w:tcW w:w="850" w:type="dxa"/>
            <w:shd w:val="clear" w:color="auto" w:fill="auto"/>
          </w:tcPr>
          <w:p w14:paraId="60623407" w14:textId="77777777" w:rsidR="008346FF" w:rsidRPr="003159B9" w:rsidRDefault="008346FF" w:rsidP="008A0DA6">
            <w:pPr>
              <w:pStyle w:val="NoSpacing"/>
              <w:jc w:val="right"/>
              <w:rPr>
                <w:rFonts w:ascii="Times New Roman" w:hAnsi="Times New Roman"/>
                <w:sz w:val="24"/>
                <w:szCs w:val="24"/>
                <w:lang w:eastAsia="lv-LV"/>
              </w:rPr>
            </w:pPr>
          </w:p>
        </w:tc>
        <w:tc>
          <w:tcPr>
            <w:tcW w:w="1134" w:type="dxa"/>
            <w:shd w:val="clear" w:color="auto" w:fill="auto"/>
          </w:tcPr>
          <w:p w14:paraId="3272DADE" w14:textId="76E25D8B" w:rsidR="008346FF" w:rsidRPr="003159B9" w:rsidRDefault="00C35923" w:rsidP="00994C40">
            <w:pPr>
              <w:pStyle w:val="NoSpacing"/>
              <w:jc w:val="right"/>
              <w:rPr>
                <w:rFonts w:ascii="Times New Roman" w:hAnsi="Times New Roman"/>
                <w:sz w:val="24"/>
                <w:szCs w:val="24"/>
                <w:lang w:eastAsia="lv-LV"/>
              </w:rPr>
            </w:pPr>
            <w:r>
              <w:rPr>
                <w:rFonts w:ascii="Times New Roman" w:hAnsi="Times New Roman"/>
                <w:lang w:eastAsia="lv-LV"/>
              </w:rPr>
              <w:t>2</w:t>
            </w:r>
            <w:r w:rsidR="00994C40" w:rsidRPr="003159B9">
              <w:rPr>
                <w:rFonts w:ascii="Times New Roman" w:hAnsi="Times New Roman"/>
                <w:lang w:eastAsia="lv-LV"/>
              </w:rPr>
              <w:t>17</w:t>
            </w:r>
            <w:r w:rsidR="00FA5824" w:rsidRPr="003159B9">
              <w:rPr>
                <w:rFonts w:ascii="Times New Roman" w:hAnsi="Times New Roman"/>
                <w:lang w:eastAsia="lv-LV"/>
              </w:rPr>
              <w:t> </w:t>
            </w:r>
            <w:r w:rsidR="00994C40" w:rsidRPr="003159B9">
              <w:rPr>
                <w:rFonts w:ascii="Times New Roman" w:hAnsi="Times New Roman"/>
                <w:lang w:eastAsia="lv-LV"/>
              </w:rPr>
              <w:t>818</w:t>
            </w:r>
          </w:p>
        </w:tc>
        <w:tc>
          <w:tcPr>
            <w:tcW w:w="704" w:type="dxa"/>
            <w:shd w:val="clear" w:color="auto" w:fill="auto"/>
          </w:tcPr>
          <w:p w14:paraId="7B4346D2" w14:textId="77777777" w:rsidR="008346FF" w:rsidRPr="003159B9" w:rsidRDefault="008346FF" w:rsidP="008A0DA6">
            <w:pPr>
              <w:pStyle w:val="NoSpacing"/>
              <w:jc w:val="right"/>
              <w:rPr>
                <w:rFonts w:ascii="Times New Roman" w:hAnsi="Times New Roman"/>
                <w:sz w:val="24"/>
                <w:szCs w:val="24"/>
                <w:lang w:eastAsia="lv-LV"/>
              </w:rPr>
            </w:pPr>
          </w:p>
        </w:tc>
        <w:tc>
          <w:tcPr>
            <w:tcW w:w="1134" w:type="dxa"/>
            <w:shd w:val="clear" w:color="auto" w:fill="auto"/>
          </w:tcPr>
          <w:p w14:paraId="5F00CDC3" w14:textId="2702C2AD" w:rsidR="008346FF" w:rsidRPr="003159B9" w:rsidRDefault="00FA5824" w:rsidP="00994C40">
            <w:pPr>
              <w:pStyle w:val="NoSpacing"/>
              <w:jc w:val="center"/>
              <w:rPr>
                <w:rFonts w:ascii="Times New Roman" w:hAnsi="Times New Roman"/>
                <w:lang w:eastAsia="lv-LV"/>
              </w:rPr>
            </w:pPr>
            <w:r w:rsidRPr="003159B9">
              <w:rPr>
                <w:rFonts w:ascii="Times New Roman" w:hAnsi="Times New Roman"/>
                <w:lang w:eastAsia="lv-LV"/>
              </w:rPr>
              <w:t>20</w:t>
            </w:r>
            <w:r w:rsidR="00994C40" w:rsidRPr="003159B9">
              <w:rPr>
                <w:rFonts w:ascii="Times New Roman" w:hAnsi="Times New Roman"/>
                <w:lang w:eastAsia="lv-LV"/>
              </w:rPr>
              <w:t>2</w:t>
            </w:r>
            <w:r w:rsidRPr="003159B9">
              <w:rPr>
                <w:rFonts w:ascii="Times New Roman" w:hAnsi="Times New Roman"/>
                <w:lang w:eastAsia="lv-LV"/>
              </w:rPr>
              <w:t xml:space="preserve"> 46</w:t>
            </w:r>
            <w:r w:rsidR="00AC3F0C" w:rsidRPr="003159B9">
              <w:rPr>
                <w:rFonts w:ascii="Times New Roman" w:hAnsi="Times New Roman"/>
                <w:lang w:eastAsia="lv-LV"/>
              </w:rPr>
              <w:t>5</w:t>
            </w:r>
          </w:p>
        </w:tc>
        <w:tc>
          <w:tcPr>
            <w:tcW w:w="1276" w:type="dxa"/>
            <w:shd w:val="clear" w:color="auto" w:fill="auto"/>
          </w:tcPr>
          <w:p w14:paraId="3CE2AC33" w14:textId="21281B92" w:rsidR="008346FF" w:rsidRPr="003159B9" w:rsidRDefault="00FA5824" w:rsidP="00994C40">
            <w:pPr>
              <w:pStyle w:val="NoSpacing"/>
              <w:jc w:val="right"/>
              <w:rPr>
                <w:rFonts w:ascii="Times New Roman" w:hAnsi="Times New Roman"/>
                <w:sz w:val="24"/>
                <w:szCs w:val="24"/>
                <w:lang w:eastAsia="lv-LV"/>
              </w:rPr>
            </w:pPr>
            <w:r w:rsidRPr="003159B9">
              <w:rPr>
                <w:rFonts w:ascii="Times New Roman" w:hAnsi="Times New Roman"/>
                <w:lang w:eastAsia="lv-LV"/>
              </w:rPr>
              <w:t>20</w:t>
            </w:r>
            <w:r w:rsidR="00994C40" w:rsidRPr="003159B9">
              <w:rPr>
                <w:rFonts w:ascii="Times New Roman" w:hAnsi="Times New Roman"/>
                <w:lang w:eastAsia="lv-LV"/>
              </w:rPr>
              <w:t>2</w:t>
            </w:r>
            <w:r w:rsidRPr="003159B9">
              <w:rPr>
                <w:rFonts w:ascii="Times New Roman" w:hAnsi="Times New Roman"/>
                <w:lang w:eastAsia="lv-LV"/>
              </w:rPr>
              <w:t> 46</w:t>
            </w:r>
            <w:r w:rsidR="00AC3F0C" w:rsidRPr="003159B9">
              <w:rPr>
                <w:rFonts w:ascii="Times New Roman" w:hAnsi="Times New Roman"/>
                <w:lang w:eastAsia="lv-LV"/>
              </w:rPr>
              <w:t>5</w:t>
            </w:r>
          </w:p>
        </w:tc>
      </w:tr>
      <w:tr w:rsidR="006267BF" w:rsidRPr="009D1C04" w14:paraId="0E3DDE46" w14:textId="77777777" w:rsidTr="007A40D1">
        <w:trPr>
          <w:gridAfter w:val="1"/>
          <w:wAfter w:w="8" w:type="dxa"/>
          <w:jc w:val="center"/>
        </w:trPr>
        <w:tc>
          <w:tcPr>
            <w:tcW w:w="1696" w:type="dxa"/>
            <w:shd w:val="clear" w:color="auto" w:fill="auto"/>
          </w:tcPr>
          <w:p w14:paraId="75053309"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2.2. valsts speciālais budžets</w:t>
            </w:r>
          </w:p>
        </w:tc>
        <w:tc>
          <w:tcPr>
            <w:tcW w:w="1276" w:type="dxa"/>
            <w:shd w:val="clear" w:color="auto" w:fill="auto"/>
          </w:tcPr>
          <w:p w14:paraId="6383DDFF" w14:textId="77777777" w:rsidR="006267BF" w:rsidRPr="008A0DA6" w:rsidRDefault="00A13D59"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81" w:type="dxa"/>
            <w:shd w:val="clear" w:color="auto" w:fill="auto"/>
          </w:tcPr>
          <w:p w14:paraId="54E8780C"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850" w:type="dxa"/>
            <w:shd w:val="clear" w:color="auto" w:fill="auto"/>
          </w:tcPr>
          <w:p w14:paraId="75523A39"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6E90A30D"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3DCC1DC9"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5A9F8FCB"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365C4E8A"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6267BF" w:rsidRPr="009D1C04" w14:paraId="0C82E00D" w14:textId="77777777" w:rsidTr="007A40D1">
        <w:trPr>
          <w:gridAfter w:val="1"/>
          <w:wAfter w:w="8" w:type="dxa"/>
          <w:trHeight w:val="676"/>
          <w:jc w:val="center"/>
        </w:trPr>
        <w:tc>
          <w:tcPr>
            <w:tcW w:w="1696" w:type="dxa"/>
            <w:shd w:val="clear" w:color="auto" w:fill="auto"/>
          </w:tcPr>
          <w:p w14:paraId="7684EA9C"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2.3. pašvaldību budžets</w:t>
            </w:r>
          </w:p>
        </w:tc>
        <w:tc>
          <w:tcPr>
            <w:tcW w:w="1276" w:type="dxa"/>
            <w:shd w:val="clear" w:color="auto" w:fill="auto"/>
          </w:tcPr>
          <w:p w14:paraId="642951F0" w14:textId="77777777" w:rsidR="002C6B6D"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p w14:paraId="20395A5A" w14:textId="77777777" w:rsidR="002C6B6D" w:rsidRPr="002C6B6D" w:rsidRDefault="002C6B6D" w:rsidP="002C6B6D"/>
          <w:p w14:paraId="534BF354" w14:textId="77777777" w:rsidR="002C6B6D" w:rsidRPr="002C6B6D" w:rsidRDefault="002C6B6D" w:rsidP="002C6B6D"/>
          <w:p w14:paraId="23C2C60B" w14:textId="77777777" w:rsidR="006267BF" w:rsidRPr="002C6B6D" w:rsidRDefault="006267BF" w:rsidP="008A0DA6">
            <w:pPr>
              <w:jc w:val="center"/>
            </w:pPr>
          </w:p>
        </w:tc>
        <w:tc>
          <w:tcPr>
            <w:tcW w:w="1281" w:type="dxa"/>
            <w:shd w:val="clear" w:color="auto" w:fill="auto"/>
          </w:tcPr>
          <w:p w14:paraId="02345663"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850" w:type="dxa"/>
            <w:shd w:val="clear" w:color="auto" w:fill="auto"/>
          </w:tcPr>
          <w:p w14:paraId="2CE2C4E5"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12A85020"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5E169851"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23DE3A36"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1F6BFAD7"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6267BF" w:rsidRPr="009D1C04" w14:paraId="5B9FE01F" w14:textId="77777777" w:rsidTr="007A40D1">
        <w:trPr>
          <w:gridAfter w:val="1"/>
          <w:wAfter w:w="8" w:type="dxa"/>
          <w:jc w:val="center"/>
        </w:trPr>
        <w:tc>
          <w:tcPr>
            <w:tcW w:w="1696" w:type="dxa"/>
            <w:shd w:val="clear" w:color="auto" w:fill="auto"/>
          </w:tcPr>
          <w:p w14:paraId="13DA1350"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3. Finansiālā ietekme</w:t>
            </w:r>
          </w:p>
        </w:tc>
        <w:tc>
          <w:tcPr>
            <w:tcW w:w="1276" w:type="dxa"/>
            <w:shd w:val="clear" w:color="auto" w:fill="auto"/>
          </w:tcPr>
          <w:p w14:paraId="3023AD92" w14:textId="77777777" w:rsidR="006267BF" w:rsidRPr="008A0DA6" w:rsidRDefault="00A13D59"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81" w:type="dxa"/>
            <w:shd w:val="clear" w:color="auto" w:fill="auto"/>
          </w:tcPr>
          <w:p w14:paraId="63C674C8" w14:textId="77777777" w:rsidR="006267BF" w:rsidRPr="009D1C04" w:rsidRDefault="006267BF" w:rsidP="008A0DA6">
            <w:pPr>
              <w:ind w:left="-112"/>
              <w:jc w:val="right"/>
            </w:pPr>
            <w:r w:rsidRPr="009D1C04">
              <w:t>0</w:t>
            </w:r>
          </w:p>
        </w:tc>
        <w:tc>
          <w:tcPr>
            <w:tcW w:w="850" w:type="dxa"/>
            <w:shd w:val="clear" w:color="auto" w:fill="auto"/>
          </w:tcPr>
          <w:p w14:paraId="4F7B0614"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3DA51CE9"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0252E2DA"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40D56E42"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56F3A222"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6267BF" w:rsidRPr="009D1C04" w14:paraId="69434E4C" w14:textId="77777777" w:rsidTr="007A40D1">
        <w:trPr>
          <w:gridAfter w:val="1"/>
          <w:wAfter w:w="8" w:type="dxa"/>
          <w:jc w:val="center"/>
        </w:trPr>
        <w:tc>
          <w:tcPr>
            <w:tcW w:w="1696" w:type="dxa"/>
            <w:shd w:val="clear" w:color="auto" w:fill="auto"/>
          </w:tcPr>
          <w:p w14:paraId="1F65E313"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3.1. valsts pamatbudžets</w:t>
            </w:r>
          </w:p>
        </w:tc>
        <w:tc>
          <w:tcPr>
            <w:tcW w:w="1276" w:type="dxa"/>
            <w:shd w:val="clear" w:color="auto" w:fill="auto"/>
          </w:tcPr>
          <w:p w14:paraId="22C51344" w14:textId="77777777" w:rsidR="006267BF" w:rsidRPr="008A0DA6" w:rsidRDefault="00A13D59"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81" w:type="dxa"/>
            <w:shd w:val="clear" w:color="auto" w:fill="auto"/>
          </w:tcPr>
          <w:p w14:paraId="7D80D67D" w14:textId="77777777" w:rsidR="006267BF" w:rsidRPr="009D1C04" w:rsidRDefault="006267BF" w:rsidP="008A0DA6">
            <w:pPr>
              <w:ind w:left="-112"/>
              <w:jc w:val="right"/>
            </w:pPr>
            <w:r w:rsidRPr="009D1C04">
              <w:t>0</w:t>
            </w:r>
          </w:p>
        </w:tc>
        <w:tc>
          <w:tcPr>
            <w:tcW w:w="850" w:type="dxa"/>
            <w:shd w:val="clear" w:color="auto" w:fill="auto"/>
          </w:tcPr>
          <w:p w14:paraId="52B181DB"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7ECF7F8D"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795D51FC"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0C1F23DD"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21AF9DBE"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6267BF" w:rsidRPr="009D1C04" w14:paraId="4567B568" w14:textId="77777777" w:rsidTr="007A40D1">
        <w:trPr>
          <w:gridAfter w:val="1"/>
          <w:wAfter w:w="8" w:type="dxa"/>
          <w:jc w:val="center"/>
        </w:trPr>
        <w:tc>
          <w:tcPr>
            <w:tcW w:w="1696" w:type="dxa"/>
            <w:shd w:val="clear" w:color="auto" w:fill="auto"/>
          </w:tcPr>
          <w:p w14:paraId="561FB65D"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3.2. speciālais budžets</w:t>
            </w:r>
          </w:p>
        </w:tc>
        <w:tc>
          <w:tcPr>
            <w:tcW w:w="1276" w:type="dxa"/>
            <w:shd w:val="clear" w:color="auto" w:fill="auto"/>
          </w:tcPr>
          <w:p w14:paraId="19A3F830" w14:textId="77777777" w:rsidR="006267BF" w:rsidRPr="008A0DA6" w:rsidRDefault="00A13D59"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81" w:type="dxa"/>
            <w:shd w:val="clear" w:color="auto" w:fill="auto"/>
          </w:tcPr>
          <w:p w14:paraId="4274FA37"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850" w:type="dxa"/>
            <w:shd w:val="clear" w:color="auto" w:fill="auto"/>
          </w:tcPr>
          <w:p w14:paraId="1CAFF356"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2516FE8A"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7E2FB4DE"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073AA675"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70108914"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6267BF" w:rsidRPr="009D1C04" w14:paraId="3ABEC34F" w14:textId="77777777" w:rsidTr="007A40D1">
        <w:trPr>
          <w:gridAfter w:val="1"/>
          <w:wAfter w:w="8" w:type="dxa"/>
          <w:jc w:val="center"/>
        </w:trPr>
        <w:tc>
          <w:tcPr>
            <w:tcW w:w="1696" w:type="dxa"/>
            <w:shd w:val="clear" w:color="auto" w:fill="auto"/>
          </w:tcPr>
          <w:p w14:paraId="36A73B69"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3.3. pašvaldību budžets</w:t>
            </w:r>
          </w:p>
        </w:tc>
        <w:tc>
          <w:tcPr>
            <w:tcW w:w="1276" w:type="dxa"/>
            <w:shd w:val="clear" w:color="auto" w:fill="auto"/>
          </w:tcPr>
          <w:p w14:paraId="489F02CF"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81" w:type="dxa"/>
            <w:shd w:val="clear" w:color="auto" w:fill="auto"/>
          </w:tcPr>
          <w:p w14:paraId="173BACF9"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850" w:type="dxa"/>
            <w:shd w:val="clear" w:color="auto" w:fill="auto"/>
          </w:tcPr>
          <w:p w14:paraId="676783E7"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093C1EA5"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62705EBB"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134" w:type="dxa"/>
            <w:shd w:val="clear" w:color="auto" w:fill="auto"/>
          </w:tcPr>
          <w:p w14:paraId="0BEF0E05"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6CF98060"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6267BF" w:rsidRPr="009D1C04" w14:paraId="49E22599" w14:textId="77777777" w:rsidTr="007A40D1">
        <w:trPr>
          <w:gridAfter w:val="1"/>
          <w:wAfter w:w="8" w:type="dxa"/>
          <w:jc w:val="center"/>
        </w:trPr>
        <w:tc>
          <w:tcPr>
            <w:tcW w:w="1696" w:type="dxa"/>
            <w:shd w:val="clear" w:color="auto" w:fill="auto"/>
          </w:tcPr>
          <w:p w14:paraId="43577ED9"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 xml:space="preserve">4. Finanšu līdzekļi papildu izdevumu </w:t>
            </w:r>
            <w:r w:rsidRPr="008A0DA6">
              <w:rPr>
                <w:rFonts w:ascii="Times New Roman" w:hAnsi="Times New Roman"/>
                <w:sz w:val="24"/>
                <w:szCs w:val="24"/>
                <w:lang w:eastAsia="lv-LV"/>
              </w:rPr>
              <w:lastRenderedPageBreak/>
              <w:t>finansēšanai (kompensējošu izdevumu samazinājumu norāda ar "+" zīmi)</w:t>
            </w:r>
          </w:p>
        </w:tc>
        <w:tc>
          <w:tcPr>
            <w:tcW w:w="1276" w:type="dxa"/>
            <w:shd w:val="clear" w:color="auto" w:fill="auto"/>
          </w:tcPr>
          <w:p w14:paraId="0EAA19CF"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lastRenderedPageBreak/>
              <w:t>X</w:t>
            </w:r>
          </w:p>
        </w:tc>
        <w:tc>
          <w:tcPr>
            <w:tcW w:w="1281" w:type="dxa"/>
            <w:shd w:val="clear" w:color="auto" w:fill="auto"/>
          </w:tcPr>
          <w:p w14:paraId="2EACDEE9"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rPr>
              <w:t>0</w:t>
            </w:r>
          </w:p>
        </w:tc>
        <w:tc>
          <w:tcPr>
            <w:tcW w:w="850" w:type="dxa"/>
            <w:shd w:val="clear" w:color="auto" w:fill="auto"/>
          </w:tcPr>
          <w:p w14:paraId="38F059C6" w14:textId="77777777" w:rsidR="006267BF" w:rsidRPr="008A0DA6" w:rsidRDefault="0084176A"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X</w:t>
            </w:r>
          </w:p>
        </w:tc>
        <w:tc>
          <w:tcPr>
            <w:tcW w:w="1134" w:type="dxa"/>
            <w:shd w:val="clear" w:color="auto" w:fill="auto"/>
          </w:tcPr>
          <w:p w14:paraId="77B0E58E"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shd w:val="clear" w:color="auto" w:fill="auto"/>
          </w:tcPr>
          <w:p w14:paraId="5863769D" w14:textId="77777777" w:rsidR="006267BF" w:rsidRPr="008A0DA6" w:rsidRDefault="0084176A"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X</w:t>
            </w:r>
          </w:p>
        </w:tc>
        <w:tc>
          <w:tcPr>
            <w:tcW w:w="1134" w:type="dxa"/>
            <w:shd w:val="clear" w:color="auto" w:fill="auto"/>
          </w:tcPr>
          <w:p w14:paraId="7ACA52F4"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3EDD4663"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6267BF" w:rsidRPr="009D1C04" w14:paraId="1B7F1B14" w14:textId="77777777" w:rsidTr="007A40D1">
        <w:trPr>
          <w:gridAfter w:val="1"/>
          <w:wAfter w:w="8" w:type="dxa"/>
          <w:jc w:val="center"/>
        </w:trPr>
        <w:tc>
          <w:tcPr>
            <w:tcW w:w="1696" w:type="dxa"/>
            <w:shd w:val="clear" w:color="auto" w:fill="auto"/>
          </w:tcPr>
          <w:p w14:paraId="03C92C10"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5. Precizēta finansiālā ietekme</w:t>
            </w:r>
          </w:p>
        </w:tc>
        <w:tc>
          <w:tcPr>
            <w:tcW w:w="1276" w:type="dxa"/>
            <w:vMerge w:val="restart"/>
            <w:shd w:val="clear" w:color="auto" w:fill="auto"/>
          </w:tcPr>
          <w:p w14:paraId="57AC0E3E"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X</w:t>
            </w:r>
          </w:p>
        </w:tc>
        <w:tc>
          <w:tcPr>
            <w:tcW w:w="1281" w:type="dxa"/>
            <w:shd w:val="clear" w:color="auto" w:fill="auto"/>
          </w:tcPr>
          <w:p w14:paraId="7EAB55B5"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rPr>
              <w:t>0</w:t>
            </w:r>
          </w:p>
        </w:tc>
        <w:tc>
          <w:tcPr>
            <w:tcW w:w="850" w:type="dxa"/>
            <w:vMerge w:val="restart"/>
            <w:shd w:val="clear" w:color="auto" w:fill="auto"/>
          </w:tcPr>
          <w:p w14:paraId="0E040442" w14:textId="77777777" w:rsidR="006267BF" w:rsidRPr="008A0DA6" w:rsidRDefault="0084176A"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X</w:t>
            </w:r>
          </w:p>
        </w:tc>
        <w:tc>
          <w:tcPr>
            <w:tcW w:w="1134" w:type="dxa"/>
            <w:shd w:val="clear" w:color="auto" w:fill="auto"/>
          </w:tcPr>
          <w:p w14:paraId="4B24030F"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vMerge w:val="restart"/>
            <w:shd w:val="clear" w:color="auto" w:fill="auto"/>
          </w:tcPr>
          <w:p w14:paraId="3F96414C" w14:textId="77777777" w:rsidR="006267BF" w:rsidRPr="008A0DA6" w:rsidRDefault="0084176A"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X</w:t>
            </w:r>
          </w:p>
        </w:tc>
        <w:tc>
          <w:tcPr>
            <w:tcW w:w="1134" w:type="dxa"/>
            <w:shd w:val="clear" w:color="auto" w:fill="auto"/>
          </w:tcPr>
          <w:p w14:paraId="0253DB34"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660CFE27"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6267BF" w:rsidRPr="009D1C04" w14:paraId="50C0BA2C" w14:textId="77777777" w:rsidTr="007A40D1">
        <w:trPr>
          <w:gridAfter w:val="1"/>
          <w:wAfter w:w="8" w:type="dxa"/>
          <w:jc w:val="center"/>
        </w:trPr>
        <w:tc>
          <w:tcPr>
            <w:tcW w:w="1696" w:type="dxa"/>
            <w:shd w:val="clear" w:color="auto" w:fill="auto"/>
          </w:tcPr>
          <w:p w14:paraId="763E90E0"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5.1. valsts pamatbudžets</w:t>
            </w:r>
          </w:p>
        </w:tc>
        <w:tc>
          <w:tcPr>
            <w:tcW w:w="1276" w:type="dxa"/>
            <w:vMerge/>
            <w:shd w:val="clear" w:color="auto" w:fill="auto"/>
          </w:tcPr>
          <w:p w14:paraId="5948CD92" w14:textId="77777777" w:rsidR="006267BF" w:rsidRPr="008A0DA6" w:rsidRDefault="006267BF" w:rsidP="008A0DA6">
            <w:pPr>
              <w:pStyle w:val="NoSpacing"/>
              <w:jc w:val="right"/>
              <w:rPr>
                <w:rFonts w:ascii="Times New Roman" w:hAnsi="Times New Roman"/>
                <w:sz w:val="24"/>
                <w:szCs w:val="24"/>
                <w:lang w:eastAsia="lv-LV"/>
              </w:rPr>
            </w:pPr>
          </w:p>
        </w:tc>
        <w:tc>
          <w:tcPr>
            <w:tcW w:w="1281" w:type="dxa"/>
            <w:shd w:val="clear" w:color="auto" w:fill="auto"/>
          </w:tcPr>
          <w:p w14:paraId="59033EF7"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rPr>
              <w:t>0</w:t>
            </w:r>
          </w:p>
        </w:tc>
        <w:tc>
          <w:tcPr>
            <w:tcW w:w="850" w:type="dxa"/>
            <w:vMerge/>
            <w:shd w:val="clear" w:color="auto" w:fill="auto"/>
          </w:tcPr>
          <w:p w14:paraId="6C937D44" w14:textId="77777777" w:rsidR="006267BF" w:rsidRPr="008A0DA6" w:rsidRDefault="006267BF" w:rsidP="008A0DA6">
            <w:pPr>
              <w:pStyle w:val="NoSpacing"/>
              <w:jc w:val="right"/>
              <w:rPr>
                <w:rFonts w:ascii="Times New Roman" w:hAnsi="Times New Roman"/>
                <w:sz w:val="24"/>
                <w:szCs w:val="24"/>
                <w:lang w:eastAsia="lv-LV"/>
              </w:rPr>
            </w:pPr>
          </w:p>
        </w:tc>
        <w:tc>
          <w:tcPr>
            <w:tcW w:w="1134" w:type="dxa"/>
            <w:shd w:val="clear" w:color="auto" w:fill="auto"/>
          </w:tcPr>
          <w:p w14:paraId="71399D59"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vMerge/>
            <w:shd w:val="clear" w:color="auto" w:fill="auto"/>
          </w:tcPr>
          <w:p w14:paraId="4A566514" w14:textId="77777777" w:rsidR="006267BF" w:rsidRPr="008A0DA6" w:rsidRDefault="006267BF" w:rsidP="008A0DA6">
            <w:pPr>
              <w:pStyle w:val="NoSpacing"/>
              <w:jc w:val="right"/>
              <w:rPr>
                <w:rFonts w:ascii="Times New Roman" w:hAnsi="Times New Roman"/>
                <w:sz w:val="24"/>
                <w:szCs w:val="24"/>
                <w:lang w:eastAsia="lv-LV"/>
              </w:rPr>
            </w:pPr>
          </w:p>
        </w:tc>
        <w:tc>
          <w:tcPr>
            <w:tcW w:w="1134" w:type="dxa"/>
            <w:shd w:val="clear" w:color="auto" w:fill="auto"/>
          </w:tcPr>
          <w:p w14:paraId="6F7092F2"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4CC23038"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6267BF" w:rsidRPr="009D1C04" w14:paraId="09E275EB" w14:textId="77777777" w:rsidTr="007A40D1">
        <w:trPr>
          <w:gridAfter w:val="1"/>
          <w:wAfter w:w="8" w:type="dxa"/>
          <w:jc w:val="center"/>
        </w:trPr>
        <w:tc>
          <w:tcPr>
            <w:tcW w:w="1696" w:type="dxa"/>
            <w:shd w:val="clear" w:color="auto" w:fill="auto"/>
          </w:tcPr>
          <w:p w14:paraId="0CB2FE0F"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5.2. speciālais budžets</w:t>
            </w:r>
          </w:p>
        </w:tc>
        <w:tc>
          <w:tcPr>
            <w:tcW w:w="1276" w:type="dxa"/>
            <w:vMerge/>
            <w:shd w:val="clear" w:color="auto" w:fill="auto"/>
          </w:tcPr>
          <w:p w14:paraId="49C93148" w14:textId="77777777" w:rsidR="006267BF" w:rsidRPr="008A0DA6" w:rsidRDefault="006267BF" w:rsidP="008A0DA6">
            <w:pPr>
              <w:pStyle w:val="NoSpacing"/>
              <w:jc w:val="right"/>
              <w:rPr>
                <w:rFonts w:ascii="Times New Roman" w:hAnsi="Times New Roman"/>
                <w:sz w:val="24"/>
                <w:szCs w:val="24"/>
                <w:lang w:eastAsia="lv-LV"/>
              </w:rPr>
            </w:pPr>
          </w:p>
        </w:tc>
        <w:tc>
          <w:tcPr>
            <w:tcW w:w="1281" w:type="dxa"/>
            <w:shd w:val="clear" w:color="auto" w:fill="auto"/>
          </w:tcPr>
          <w:p w14:paraId="46747AF6"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850" w:type="dxa"/>
            <w:vMerge/>
            <w:shd w:val="clear" w:color="auto" w:fill="auto"/>
          </w:tcPr>
          <w:p w14:paraId="7D9E071B" w14:textId="77777777" w:rsidR="006267BF" w:rsidRPr="008A0DA6" w:rsidRDefault="006267BF" w:rsidP="008A0DA6">
            <w:pPr>
              <w:pStyle w:val="NoSpacing"/>
              <w:jc w:val="right"/>
              <w:rPr>
                <w:rFonts w:ascii="Times New Roman" w:hAnsi="Times New Roman"/>
                <w:sz w:val="24"/>
                <w:szCs w:val="24"/>
                <w:lang w:eastAsia="lv-LV"/>
              </w:rPr>
            </w:pPr>
          </w:p>
        </w:tc>
        <w:tc>
          <w:tcPr>
            <w:tcW w:w="1134" w:type="dxa"/>
            <w:shd w:val="clear" w:color="auto" w:fill="auto"/>
          </w:tcPr>
          <w:p w14:paraId="32838B8C"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vMerge/>
            <w:shd w:val="clear" w:color="auto" w:fill="auto"/>
          </w:tcPr>
          <w:p w14:paraId="7B8D53B2" w14:textId="77777777" w:rsidR="006267BF" w:rsidRPr="008A0DA6" w:rsidRDefault="006267BF" w:rsidP="008A0DA6">
            <w:pPr>
              <w:pStyle w:val="NoSpacing"/>
              <w:jc w:val="right"/>
              <w:rPr>
                <w:rFonts w:ascii="Times New Roman" w:hAnsi="Times New Roman"/>
                <w:sz w:val="24"/>
                <w:szCs w:val="24"/>
                <w:lang w:eastAsia="lv-LV"/>
              </w:rPr>
            </w:pPr>
          </w:p>
        </w:tc>
        <w:tc>
          <w:tcPr>
            <w:tcW w:w="1134" w:type="dxa"/>
            <w:shd w:val="clear" w:color="auto" w:fill="auto"/>
          </w:tcPr>
          <w:p w14:paraId="77D0CBB2"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20236B92"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6267BF" w:rsidRPr="009D1C04" w14:paraId="6F6CAB57" w14:textId="77777777" w:rsidTr="007A40D1">
        <w:trPr>
          <w:gridAfter w:val="1"/>
          <w:wAfter w:w="8" w:type="dxa"/>
          <w:jc w:val="center"/>
        </w:trPr>
        <w:tc>
          <w:tcPr>
            <w:tcW w:w="1696" w:type="dxa"/>
            <w:shd w:val="clear" w:color="auto" w:fill="auto"/>
          </w:tcPr>
          <w:p w14:paraId="4FD25C7C"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5.3. pašvaldību budžets</w:t>
            </w:r>
          </w:p>
        </w:tc>
        <w:tc>
          <w:tcPr>
            <w:tcW w:w="1276" w:type="dxa"/>
            <w:vMerge/>
            <w:shd w:val="clear" w:color="auto" w:fill="auto"/>
          </w:tcPr>
          <w:p w14:paraId="5432F004" w14:textId="77777777" w:rsidR="006267BF" w:rsidRPr="008A0DA6" w:rsidRDefault="006267BF" w:rsidP="008A0DA6">
            <w:pPr>
              <w:pStyle w:val="NoSpacing"/>
              <w:jc w:val="right"/>
              <w:rPr>
                <w:rFonts w:ascii="Times New Roman" w:hAnsi="Times New Roman"/>
                <w:sz w:val="24"/>
                <w:szCs w:val="24"/>
                <w:lang w:eastAsia="lv-LV"/>
              </w:rPr>
            </w:pPr>
          </w:p>
        </w:tc>
        <w:tc>
          <w:tcPr>
            <w:tcW w:w="1281" w:type="dxa"/>
            <w:shd w:val="clear" w:color="auto" w:fill="auto"/>
          </w:tcPr>
          <w:p w14:paraId="412EA3AB"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850" w:type="dxa"/>
            <w:vMerge/>
            <w:shd w:val="clear" w:color="auto" w:fill="auto"/>
          </w:tcPr>
          <w:p w14:paraId="3549A546" w14:textId="77777777" w:rsidR="006267BF" w:rsidRPr="008A0DA6" w:rsidRDefault="006267BF" w:rsidP="008A0DA6">
            <w:pPr>
              <w:pStyle w:val="NoSpacing"/>
              <w:jc w:val="right"/>
              <w:rPr>
                <w:rFonts w:ascii="Times New Roman" w:hAnsi="Times New Roman"/>
                <w:sz w:val="24"/>
                <w:szCs w:val="24"/>
                <w:lang w:eastAsia="lv-LV"/>
              </w:rPr>
            </w:pPr>
          </w:p>
        </w:tc>
        <w:tc>
          <w:tcPr>
            <w:tcW w:w="1134" w:type="dxa"/>
            <w:shd w:val="clear" w:color="auto" w:fill="auto"/>
          </w:tcPr>
          <w:p w14:paraId="65563336"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704" w:type="dxa"/>
            <w:vMerge/>
            <w:shd w:val="clear" w:color="auto" w:fill="auto"/>
          </w:tcPr>
          <w:p w14:paraId="36F79514" w14:textId="77777777" w:rsidR="006267BF" w:rsidRPr="008A0DA6" w:rsidRDefault="006267BF" w:rsidP="008A0DA6">
            <w:pPr>
              <w:pStyle w:val="NoSpacing"/>
              <w:jc w:val="right"/>
              <w:rPr>
                <w:rFonts w:ascii="Times New Roman" w:hAnsi="Times New Roman"/>
                <w:sz w:val="24"/>
                <w:szCs w:val="24"/>
                <w:lang w:eastAsia="lv-LV"/>
              </w:rPr>
            </w:pPr>
          </w:p>
        </w:tc>
        <w:tc>
          <w:tcPr>
            <w:tcW w:w="1134" w:type="dxa"/>
            <w:shd w:val="clear" w:color="auto" w:fill="auto"/>
          </w:tcPr>
          <w:p w14:paraId="531F00C6"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c>
          <w:tcPr>
            <w:tcW w:w="1276" w:type="dxa"/>
            <w:shd w:val="clear" w:color="auto" w:fill="auto"/>
          </w:tcPr>
          <w:p w14:paraId="676D83F8" w14:textId="77777777" w:rsidR="006267BF" w:rsidRPr="008A0DA6" w:rsidRDefault="006267BF" w:rsidP="008A0DA6">
            <w:pPr>
              <w:pStyle w:val="NoSpacing"/>
              <w:jc w:val="right"/>
              <w:rPr>
                <w:rFonts w:ascii="Times New Roman" w:hAnsi="Times New Roman"/>
                <w:sz w:val="24"/>
                <w:szCs w:val="24"/>
                <w:lang w:eastAsia="lv-LV"/>
              </w:rPr>
            </w:pPr>
            <w:r w:rsidRPr="008A0DA6">
              <w:rPr>
                <w:rFonts w:ascii="Times New Roman" w:hAnsi="Times New Roman"/>
                <w:sz w:val="24"/>
                <w:szCs w:val="24"/>
                <w:lang w:eastAsia="lv-LV"/>
              </w:rPr>
              <w:t>0</w:t>
            </w:r>
          </w:p>
        </w:tc>
      </w:tr>
      <w:tr w:rsidR="006267BF" w:rsidRPr="009D1C04" w14:paraId="21939C86" w14:textId="77777777" w:rsidTr="008A0DA6">
        <w:trPr>
          <w:jc w:val="center"/>
        </w:trPr>
        <w:tc>
          <w:tcPr>
            <w:tcW w:w="1696" w:type="dxa"/>
            <w:shd w:val="clear" w:color="auto" w:fill="auto"/>
          </w:tcPr>
          <w:p w14:paraId="36F6182D"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663" w:type="dxa"/>
            <w:gridSpan w:val="8"/>
            <w:vMerge w:val="restart"/>
            <w:shd w:val="clear" w:color="auto" w:fill="auto"/>
          </w:tcPr>
          <w:p w14:paraId="1A0A3BA9" w14:textId="77777777" w:rsidR="00A13D59" w:rsidRDefault="00A13D59" w:rsidP="008A0DA6">
            <w:pPr>
              <w:ind w:right="34"/>
              <w:jc w:val="both"/>
            </w:pPr>
          </w:p>
          <w:p w14:paraId="159F768C" w14:textId="77777777" w:rsidR="00E06C5A" w:rsidRPr="008A0DA6" w:rsidRDefault="00AD3413" w:rsidP="008A0DA6">
            <w:pPr>
              <w:ind w:right="34"/>
              <w:jc w:val="both"/>
              <w:rPr>
                <w:color w:val="FF0000"/>
              </w:rPr>
            </w:pPr>
            <w:r>
              <w:t>Pielikums Nr.1</w:t>
            </w:r>
          </w:p>
        </w:tc>
      </w:tr>
      <w:tr w:rsidR="006267BF" w:rsidRPr="009D1C04" w14:paraId="3EF7D514" w14:textId="77777777" w:rsidTr="008A0DA6">
        <w:trPr>
          <w:jc w:val="center"/>
        </w:trPr>
        <w:tc>
          <w:tcPr>
            <w:tcW w:w="1696" w:type="dxa"/>
            <w:shd w:val="clear" w:color="auto" w:fill="auto"/>
          </w:tcPr>
          <w:p w14:paraId="36E874FB"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6.1. detalizēts ieņēmumu aprēķins</w:t>
            </w:r>
          </w:p>
        </w:tc>
        <w:tc>
          <w:tcPr>
            <w:tcW w:w="7663" w:type="dxa"/>
            <w:gridSpan w:val="8"/>
            <w:vMerge/>
            <w:shd w:val="clear" w:color="auto" w:fill="auto"/>
          </w:tcPr>
          <w:p w14:paraId="0EDC92C9" w14:textId="77777777" w:rsidR="006267BF" w:rsidRPr="008A0DA6" w:rsidRDefault="006267BF" w:rsidP="008A0DA6">
            <w:pPr>
              <w:pStyle w:val="NoSpacing"/>
              <w:jc w:val="right"/>
              <w:rPr>
                <w:rFonts w:ascii="Times New Roman" w:hAnsi="Times New Roman"/>
                <w:sz w:val="24"/>
                <w:szCs w:val="24"/>
                <w:lang w:eastAsia="lv-LV"/>
              </w:rPr>
            </w:pPr>
          </w:p>
        </w:tc>
      </w:tr>
      <w:tr w:rsidR="006267BF" w:rsidRPr="009D1C04" w14:paraId="1F71BE02" w14:textId="77777777" w:rsidTr="008A0DA6">
        <w:trPr>
          <w:jc w:val="center"/>
        </w:trPr>
        <w:tc>
          <w:tcPr>
            <w:tcW w:w="1696" w:type="dxa"/>
            <w:shd w:val="clear" w:color="auto" w:fill="auto"/>
          </w:tcPr>
          <w:p w14:paraId="44B6329D"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6.2. detalizēts izdevumu aprēķins</w:t>
            </w:r>
          </w:p>
        </w:tc>
        <w:tc>
          <w:tcPr>
            <w:tcW w:w="7663" w:type="dxa"/>
            <w:gridSpan w:val="8"/>
            <w:vMerge/>
            <w:shd w:val="clear" w:color="auto" w:fill="auto"/>
          </w:tcPr>
          <w:p w14:paraId="1CC07C6A" w14:textId="77777777" w:rsidR="006267BF" w:rsidRPr="008A0DA6" w:rsidRDefault="006267BF" w:rsidP="008A0DA6">
            <w:pPr>
              <w:pStyle w:val="NoSpacing"/>
              <w:jc w:val="right"/>
              <w:rPr>
                <w:rFonts w:ascii="Times New Roman" w:hAnsi="Times New Roman"/>
                <w:sz w:val="24"/>
                <w:szCs w:val="24"/>
                <w:lang w:eastAsia="lv-LV"/>
              </w:rPr>
            </w:pPr>
          </w:p>
        </w:tc>
      </w:tr>
      <w:tr w:rsidR="006267BF" w:rsidRPr="009D1C04" w14:paraId="5E23715B" w14:textId="77777777" w:rsidTr="008A0DA6">
        <w:trPr>
          <w:jc w:val="center"/>
        </w:trPr>
        <w:tc>
          <w:tcPr>
            <w:tcW w:w="1696" w:type="dxa"/>
            <w:shd w:val="clear" w:color="auto" w:fill="auto"/>
          </w:tcPr>
          <w:p w14:paraId="699321D9"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7. Amata vietu skaita izmaiņas</w:t>
            </w:r>
          </w:p>
        </w:tc>
        <w:tc>
          <w:tcPr>
            <w:tcW w:w="7663" w:type="dxa"/>
            <w:gridSpan w:val="8"/>
            <w:shd w:val="clear" w:color="auto" w:fill="auto"/>
          </w:tcPr>
          <w:p w14:paraId="4C867AD7" w14:textId="77777777" w:rsidR="006267BF" w:rsidRPr="008A0DA6" w:rsidRDefault="00110FBA" w:rsidP="007A40D1">
            <w:pPr>
              <w:pStyle w:val="NoSpacing"/>
              <w:jc w:val="both"/>
              <w:rPr>
                <w:rFonts w:ascii="Times New Roman" w:hAnsi="Times New Roman"/>
                <w:sz w:val="24"/>
                <w:szCs w:val="24"/>
                <w:lang w:eastAsia="lv-LV"/>
              </w:rPr>
            </w:pPr>
            <w:r w:rsidRPr="007B1E7D">
              <w:rPr>
                <w:rFonts w:ascii="Times New Roman" w:hAnsi="Times New Roman"/>
                <w:sz w:val="24"/>
                <w:szCs w:val="24"/>
              </w:rPr>
              <w:t>Veicot amata vietu pārdali IZM resora ietvaros, p</w:t>
            </w:r>
            <w:r w:rsidR="00B70AD7" w:rsidRPr="007B1E7D">
              <w:rPr>
                <w:rFonts w:ascii="Times New Roman" w:hAnsi="Times New Roman"/>
                <w:sz w:val="24"/>
                <w:szCs w:val="24"/>
              </w:rPr>
              <w:t>lānots veidot trīs jaunas amata vietas</w:t>
            </w:r>
            <w:r w:rsidRPr="007B1E7D">
              <w:rPr>
                <w:rFonts w:ascii="Times New Roman" w:hAnsi="Times New Roman"/>
                <w:sz w:val="24"/>
                <w:szCs w:val="24"/>
              </w:rPr>
              <w:t xml:space="preserve"> VISC Speciālās izglītības nodaļā</w:t>
            </w:r>
            <w:r w:rsidR="00B70AD7" w:rsidRPr="007B1E7D">
              <w:rPr>
                <w:rFonts w:ascii="Times New Roman" w:hAnsi="Times New Roman"/>
                <w:sz w:val="24"/>
                <w:szCs w:val="24"/>
              </w:rPr>
              <w:t>: viens vecākais eksperts, 35.amatu saime, III līmenis (pieteikumu reģistrēšana</w:t>
            </w:r>
            <w:r w:rsidR="00B70AD7" w:rsidRPr="008A0DA6">
              <w:rPr>
                <w:rFonts w:ascii="Times New Roman" w:hAnsi="Times New Roman"/>
                <w:sz w:val="24"/>
                <w:szCs w:val="24"/>
              </w:rPr>
              <w:t xml:space="preserve"> sistēmā, rindu reģistrs, saziņa ar klientiem u.c.), divi vecākie eksperti 35.amatu saime,  III līmenis (pašvaldību PMK darba analīze sistēmā, priekšlikumi, ieteikumi, labojumi u.c.).</w:t>
            </w:r>
          </w:p>
        </w:tc>
      </w:tr>
      <w:tr w:rsidR="006267BF" w:rsidRPr="009D1C04" w14:paraId="0225DC53" w14:textId="77777777" w:rsidTr="008A0DA6">
        <w:trPr>
          <w:jc w:val="center"/>
        </w:trPr>
        <w:tc>
          <w:tcPr>
            <w:tcW w:w="1696" w:type="dxa"/>
            <w:shd w:val="clear" w:color="auto" w:fill="auto"/>
          </w:tcPr>
          <w:p w14:paraId="10C09571" w14:textId="77777777" w:rsidR="006267BF" w:rsidRPr="008A0DA6" w:rsidRDefault="006267BF" w:rsidP="006267BF">
            <w:pPr>
              <w:pStyle w:val="NoSpacing"/>
              <w:rPr>
                <w:rFonts w:ascii="Times New Roman" w:hAnsi="Times New Roman"/>
                <w:sz w:val="24"/>
                <w:szCs w:val="24"/>
                <w:lang w:eastAsia="lv-LV"/>
              </w:rPr>
            </w:pPr>
            <w:r w:rsidRPr="008A0DA6">
              <w:rPr>
                <w:rFonts w:ascii="Times New Roman" w:hAnsi="Times New Roman"/>
                <w:sz w:val="24"/>
                <w:szCs w:val="24"/>
                <w:lang w:eastAsia="lv-LV"/>
              </w:rPr>
              <w:t>8. Cita informācija</w:t>
            </w:r>
          </w:p>
        </w:tc>
        <w:tc>
          <w:tcPr>
            <w:tcW w:w="7663" w:type="dxa"/>
            <w:gridSpan w:val="8"/>
            <w:shd w:val="clear" w:color="auto" w:fill="auto"/>
          </w:tcPr>
          <w:p w14:paraId="4731BA4F" w14:textId="38C0EA02" w:rsidR="00FA5824" w:rsidRPr="008A0DA6" w:rsidRDefault="002D3A84" w:rsidP="008A0DA6">
            <w:pPr>
              <w:ind w:right="109"/>
              <w:jc w:val="both"/>
              <w:rPr>
                <w:shd w:val="clear" w:color="auto" w:fill="FFFFFF"/>
              </w:rPr>
            </w:pPr>
            <w:r w:rsidRPr="00091F2B">
              <w:t xml:space="preserve">Apropriācija </w:t>
            </w:r>
            <w:r w:rsidR="0084176A" w:rsidRPr="00091F2B">
              <w:t>t</w:t>
            </w:r>
            <w:r w:rsidRPr="00091F2B">
              <w:t xml:space="preserve">iks pārdalīta no </w:t>
            </w:r>
            <w:r w:rsidRPr="008A0DA6">
              <w:rPr>
                <w:color w:val="212121"/>
                <w:shd w:val="clear" w:color="auto" w:fill="FFFFFF"/>
              </w:rPr>
              <w:t>Pārresoru koordinācijas centra budžeta programmas 01.00.00. “Pārresoru koordinācijas centra darbības nodrošināšana” uz Izglītības un zinātnes ministrijas budžeta apakšprogrammu 42.06.00 “Valsts izglītības satura centra darbības nodrošināšana</w:t>
            </w:r>
            <w:r w:rsidRPr="003159B9">
              <w:rPr>
                <w:color w:val="212121"/>
                <w:shd w:val="clear" w:color="auto" w:fill="FFFFFF"/>
              </w:rPr>
              <w:t xml:space="preserve">” </w:t>
            </w:r>
            <w:r w:rsidR="00994C40" w:rsidRPr="003159B9">
              <w:rPr>
                <w:color w:val="212121"/>
                <w:shd w:val="clear" w:color="auto" w:fill="FFFFFF"/>
              </w:rPr>
              <w:t>75 828</w:t>
            </w:r>
            <w:r w:rsidR="00FA5824" w:rsidRPr="003159B9">
              <w:rPr>
                <w:color w:val="212121"/>
                <w:shd w:val="clear" w:color="auto" w:fill="FFFFFF"/>
              </w:rPr>
              <w:t xml:space="preserve"> </w:t>
            </w:r>
            <w:r w:rsidR="00FA5824" w:rsidRPr="003159B9">
              <w:rPr>
                <w:i/>
                <w:color w:val="212121"/>
                <w:shd w:val="clear" w:color="auto" w:fill="FFFFFF"/>
              </w:rPr>
              <w:t>euro</w:t>
            </w:r>
            <w:r w:rsidRPr="003159B9">
              <w:rPr>
                <w:color w:val="212121"/>
                <w:shd w:val="clear" w:color="auto" w:fill="FFFFFF"/>
              </w:rPr>
              <w:t xml:space="preserve"> </w:t>
            </w:r>
            <w:r w:rsidR="00FA5824" w:rsidRPr="003159B9">
              <w:rPr>
                <w:shd w:val="clear" w:color="auto" w:fill="FFFFFF"/>
              </w:rPr>
              <w:t>2021.gadā, 2</w:t>
            </w:r>
            <w:r w:rsidR="00994C40" w:rsidRPr="003159B9">
              <w:rPr>
                <w:shd w:val="clear" w:color="auto" w:fill="FFFFFF"/>
              </w:rPr>
              <w:t>17</w:t>
            </w:r>
            <w:r w:rsidR="00FA5824" w:rsidRPr="003159B9">
              <w:rPr>
                <w:shd w:val="clear" w:color="auto" w:fill="FFFFFF"/>
              </w:rPr>
              <w:t> </w:t>
            </w:r>
            <w:r w:rsidR="00994C40" w:rsidRPr="003159B9">
              <w:rPr>
                <w:shd w:val="clear" w:color="auto" w:fill="FFFFFF"/>
              </w:rPr>
              <w:t>818</w:t>
            </w:r>
            <w:r w:rsidR="00FA5824" w:rsidRPr="003159B9">
              <w:rPr>
                <w:shd w:val="clear" w:color="auto" w:fill="FFFFFF"/>
              </w:rPr>
              <w:t xml:space="preserve"> </w:t>
            </w:r>
            <w:r w:rsidR="00FA5824" w:rsidRPr="003159B9">
              <w:rPr>
                <w:i/>
                <w:iCs/>
              </w:rPr>
              <w:t>euro</w:t>
            </w:r>
            <w:r w:rsidR="00FA5824" w:rsidRPr="003159B9">
              <w:rPr>
                <w:shd w:val="clear" w:color="auto" w:fill="FFFFFF"/>
              </w:rPr>
              <w:t xml:space="preserve"> 2022.gadā un 20</w:t>
            </w:r>
            <w:r w:rsidR="00994C40" w:rsidRPr="003159B9">
              <w:rPr>
                <w:shd w:val="clear" w:color="auto" w:fill="FFFFFF"/>
              </w:rPr>
              <w:t>2</w:t>
            </w:r>
            <w:r w:rsidR="00FA5824" w:rsidRPr="003159B9">
              <w:rPr>
                <w:shd w:val="clear" w:color="auto" w:fill="FFFFFF"/>
              </w:rPr>
              <w:t> 46</w:t>
            </w:r>
            <w:r w:rsidR="00AC3F0C" w:rsidRPr="003159B9">
              <w:rPr>
                <w:shd w:val="clear" w:color="auto" w:fill="FFFFFF"/>
              </w:rPr>
              <w:t>5</w:t>
            </w:r>
            <w:r w:rsidR="00FA5824" w:rsidRPr="003159B9">
              <w:rPr>
                <w:shd w:val="clear" w:color="auto" w:fill="FFFFFF"/>
              </w:rPr>
              <w:t xml:space="preserve"> </w:t>
            </w:r>
            <w:r w:rsidR="00FA5824" w:rsidRPr="003159B9">
              <w:rPr>
                <w:i/>
                <w:iCs/>
              </w:rPr>
              <w:t>euro</w:t>
            </w:r>
            <w:r w:rsidR="00FA5824" w:rsidRPr="003159B9">
              <w:rPr>
                <w:shd w:val="clear" w:color="auto" w:fill="FFFFFF"/>
              </w:rPr>
              <w:t xml:space="preserve"> 2023.gadā un turpmāk ik gadu.</w:t>
            </w:r>
            <w:r w:rsidR="00FA5824" w:rsidRPr="008A0DA6">
              <w:rPr>
                <w:shd w:val="clear" w:color="auto" w:fill="FFFFFF"/>
              </w:rPr>
              <w:t xml:space="preserve"> </w:t>
            </w:r>
          </w:p>
          <w:p w14:paraId="59C5539F" w14:textId="526F4F19" w:rsidR="006267BF" w:rsidRPr="00091F2B" w:rsidRDefault="006267BF" w:rsidP="008A0DA6">
            <w:pPr>
              <w:ind w:right="34"/>
              <w:jc w:val="both"/>
            </w:pPr>
          </w:p>
        </w:tc>
      </w:tr>
    </w:tbl>
    <w:p w14:paraId="0181FC4D" w14:textId="77777777" w:rsidR="009D36DE" w:rsidRPr="009D1C04"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35A50E7E"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2B8C687" w14:textId="77777777" w:rsidR="009D36DE" w:rsidRPr="009D1C04" w:rsidRDefault="009D36DE" w:rsidP="00A13D59">
            <w:pPr>
              <w:jc w:val="center"/>
            </w:pPr>
            <w:r w:rsidRPr="009D1C04">
              <w:rPr>
                <w:b/>
                <w:bCs/>
              </w:rPr>
              <w:t>IV. Tiesību akt</w:t>
            </w:r>
            <w:r w:rsidR="00255A44">
              <w:rPr>
                <w:b/>
                <w:bCs/>
              </w:rPr>
              <w:t>a</w:t>
            </w:r>
            <w:r w:rsidRPr="009D1C04">
              <w:rPr>
                <w:b/>
                <w:bCs/>
              </w:rPr>
              <w:t xml:space="preserve"> projekt</w:t>
            </w:r>
            <w:r w:rsidR="00255A44">
              <w:rPr>
                <w:b/>
                <w:bCs/>
              </w:rPr>
              <w:t>a</w:t>
            </w:r>
            <w:r w:rsidRPr="009D1C04">
              <w:rPr>
                <w:b/>
                <w:bCs/>
              </w:rPr>
              <w:t xml:space="preserve"> ietekme uz spēkā esošo tiesību normu sistēmu</w:t>
            </w:r>
          </w:p>
        </w:tc>
      </w:tr>
      <w:tr w:rsidR="009D36DE" w:rsidRPr="009D1C04" w14:paraId="142AEA70"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829BC56" w14:textId="77777777" w:rsidR="009D36DE" w:rsidRPr="009D1C04" w:rsidRDefault="009D36DE" w:rsidP="00A13D59">
            <w:pPr>
              <w:jc w:val="center"/>
            </w:pPr>
            <w:r w:rsidRPr="009D1C04">
              <w:t>Projekts šo jomu neskar</w:t>
            </w:r>
          </w:p>
        </w:tc>
      </w:tr>
    </w:tbl>
    <w:p w14:paraId="4D709132" w14:textId="77777777" w:rsidR="009D36DE" w:rsidRPr="009D1C04" w:rsidRDefault="009D36DE" w:rsidP="00A13D59"/>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0D7FAE15"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27F0214" w14:textId="77777777" w:rsidR="009D36DE" w:rsidRPr="009D1C04" w:rsidRDefault="009D36DE" w:rsidP="00A13D59">
            <w:pPr>
              <w:jc w:val="center"/>
            </w:pPr>
            <w:r w:rsidRPr="009D1C04">
              <w:rPr>
                <w:b/>
                <w:bCs/>
              </w:rPr>
              <w:t>V. Tiesību akt</w:t>
            </w:r>
            <w:r w:rsidR="00255A44">
              <w:rPr>
                <w:b/>
                <w:bCs/>
              </w:rPr>
              <w:t>a</w:t>
            </w:r>
            <w:r w:rsidRPr="009D1C04">
              <w:rPr>
                <w:b/>
                <w:bCs/>
              </w:rPr>
              <w:t xml:space="preserve"> projekt</w:t>
            </w:r>
            <w:r w:rsidR="00255A44">
              <w:rPr>
                <w:b/>
                <w:bCs/>
              </w:rPr>
              <w:t>a</w:t>
            </w:r>
            <w:r w:rsidRPr="009D1C04">
              <w:rPr>
                <w:b/>
                <w:bCs/>
              </w:rPr>
              <w:t xml:space="preserve"> atbilstība Latvijas Republikas starptautiskajām saistībām</w:t>
            </w:r>
          </w:p>
        </w:tc>
      </w:tr>
      <w:tr w:rsidR="009D36DE" w:rsidRPr="009D1C04" w14:paraId="79C6C49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64615FF" w14:textId="77777777" w:rsidR="009D36DE" w:rsidRPr="009D1C04" w:rsidRDefault="009D36DE" w:rsidP="00A13D59">
            <w:pPr>
              <w:jc w:val="center"/>
            </w:pPr>
            <w:r w:rsidRPr="009D1C04">
              <w:lastRenderedPageBreak/>
              <w:t>Projekts šo jomu neskar</w:t>
            </w:r>
          </w:p>
        </w:tc>
      </w:tr>
    </w:tbl>
    <w:p w14:paraId="5970662A" w14:textId="77777777" w:rsidR="009D36DE" w:rsidRPr="009D1C04" w:rsidRDefault="009D36DE" w:rsidP="00A13D59"/>
    <w:tbl>
      <w:tblPr>
        <w:tblW w:w="5159" w:type="pct"/>
        <w:jc w:val="center"/>
        <w:tblCellMar>
          <w:left w:w="10" w:type="dxa"/>
          <w:right w:w="10" w:type="dxa"/>
        </w:tblCellMar>
        <w:tblLook w:val="0000" w:firstRow="0" w:lastRow="0" w:firstColumn="0" w:lastColumn="0" w:noHBand="0" w:noVBand="0"/>
      </w:tblPr>
      <w:tblGrid>
        <w:gridCol w:w="9350"/>
      </w:tblGrid>
      <w:tr w:rsidR="009D36DE" w:rsidRPr="009D1C04" w14:paraId="16D79A58"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0C3199" w14:textId="77777777" w:rsidR="009D36DE" w:rsidRPr="009D1C04" w:rsidRDefault="009D36DE" w:rsidP="00A13D59">
            <w:pPr>
              <w:ind w:firstLine="300"/>
              <w:jc w:val="center"/>
              <w:rPr>
                <w:b/>
                <w:bCs/>
              </w:rPr>
            </w:pPr>
            <w:r w:rsidRPr="009D1C04">
              <w:rPr>
                <w:b/>
                <w:bCs/>
              </w:rPr>
              <w:t>VI. Sabiedrības līdzdalība un komunikācijas aktivitātes</w:t>
            </w:r>
          </w:p>
        </w:tc>
      </w:tr>
      <w:tr w:rsidR="003B60B8" w:rsidRPr="009D1C04" w14:paraId="4DFA7F08"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848DAB0" w14:textId="77777777" w:rsidR="003B60B8" w:rsidRPr="009D1C04" w:rsidRDefault="003B60B8" w:rsidP="00A13D59">
            <w:pPr>
              <w:ind w:firstLine="300"/>
              <w:jc w:val="center"/>
              <w:rPr>
                <w:b/>
                <w:bCs/>
              </w:rPr>
            </w:pPr>
            <w:r w:rsidRPr="009D1C04">
              <w:t>Projekts šo jomu neskar</w:t>
            </w:r>
          </w:p>
        </w:tc>
      </w:tr>
    </w:tbl>
    <w:p w14:paraId="1DE841BB" w14:textId="77777777" w:rsidR="009D36DE" w:rsidRPr="009D1C04" w:rsidRDefault="009D36DE" w:rsidP="00A13D59"/>
    <w:tbl>
      <w:tblPr>
        <w:tblW w:w="5166" w:type="pct"/>
        <w:tblInd w:w="-150" w:type="dxa"/>
        <w:tblCellMar>
          <w:left w:w="10" w:type="dxa"/>
          <w:right w:w="10" w:type="dxa"/>
        </w:tblCellMar>
        <w:tblLook w:val="0000" w:firstRow="0" w:lastRow="0" w:firstColumn="0" w:lastColumn="0" w:noHBand="0" w:noVBand="0"/>
      </w:tblPr>
      <w:tblGrid>
        <w:gridCol w:w="748"/>
        <w:gridCol w:w="2206"/>
        <w:gridCol w:w="6403"/>
      </w:tblGrid>
      <w:tr w:rsidR="009D36DE" w:rsidRPr="009D1C04" w14:paraId="78E65298" w14:textId="77777777" w:rsidTr="001611E9">
        <w:tc>
          <w:tcPr>
            <w:tcW w:w="9356"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22E6505" w14:textId="77777777" w:rsidR="009D36DE" w:rsidRPr="009D1C04" w:rsidRDefault="009D36DE" w:rsidP="00A13D59">
            <w:pPr>
              <w:jc w:val="center"/>
              <w:rPr>
                <w:b/>
                <w:bCs/>
              </w:rPr>
            </w:pPr>
            <w:r w:rsidRPr="009D1C04">
              <w:rPr>
                <w:b/>
                <w:bCs/>
              </w:rPr>
              <w:t>VII. Tiesību akta projekta izpildes nodrošināšana un tās ietekme uz institūcijām</w:t>
            </w:r>
          </w:p>
        </w:tc>
      </w:tr>
      <w:tr w:rsidR="003B60B8" w:rsidRPr="009D1C04" w14:paraId="158CC110"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6FB9312" w14:textId="77777777" w:rsidR="003B60B8" w:rsidRPr="009D1C04" w:rsidRDefault="003B60B8" w:rsidP="00A13D59">
            <w:r w:rsidRPr="009D1C04">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45EB22" w14:textId="77777777" w:rsidR="003B60B8" w:rsidRPr="009D1C04" w:rsidRDefault="003B60B8" w:rsidP="00315988">
            <w:pPr>
              <w:ind w:left="76" w:right="90"/>
            </w:pPr>
            <w:r w:rsidRPr="009D1C04">
              <w:t>Projekta izpildē iesaistītās institūcijas</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5A7023" w14:textId="77777777" w:rsidR="003B60B8" w:rsidRPr="009D1C04" w:rsidRDefault="002D7875" w:rsidP="00A13D59">
            <w:pPr>
              <w:shd w:val="clear" w:color="auto" w:fill="FFFFFF"/>
              <w:ind w:left="125" w:right="113"/>
              <w:jc w:val="both"/>
            </w:pPr>
            <w:r>
              <w:rPr>
                <w:bCs/>
                <w:color w:val="000000"/>
              </w:rPr>
              <w:t xml:space="preserve">Pārresoru koordinācijas centrs, Izglītības un zinātnes ministrija, </w:t>
            </w:r>
            <w:r w:rsidR="00202696">
              <w:rPr>
                <w:bCs/>
                <w:color w:val="000000"/>
              </w:rPr>
              <w:t xml:space="preserve">Valsts izglītības satura centrs, </w:t>
            </w:r>
            <w:r w:rsidR="00A13D59">
              <w:rPr>
                <w:bCs/>
                <w:color w:val="000000"/>
              </w:rPr>
              <w:t xml:space="preserve"> Finanšu ministrija</w:t>
            </w:r>
          </w:p>
        </w:tc>
      </w:tr>
      <w:tr w:rsidR="003B60B8" w:rsidRPr="009D1C04" w14:paraId="4A8BC5D2"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D74E31" w14:textId="77777777" w:rsidR="003B60B8" w:rsidRPr="009D1C04" w:rsidRDefault="003B60B8" w:rsidP="00A13D59">
            <w:r w:rsidRPr="009D1C04">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DF7D4E" w14:textId="77777777" w:rsidR="003B60B8" w:rsidRPr="009D1C04" w:rsidRDefault="003B60B8" w:rsidP="00315988">
            <w:pPr>
              <w:ind w:left="76" w:right="90"/>
            </w:pPr>
            <w:r w:rsidRPr="009D1C04">
              <w:t xml:space="preserve">Projekta izpildes ietekme uz pārvaldes funkcijām un institucionālo struktūru. </w:t>
            </w:r>
          </w:p>
          <w:p w14:paraId="69D6C218" w14:textId="77777777" w:rsidR="003B60B8" w:rsidRPr="009D1C04" w:rsidRDefault="003B60B8" w:rsidP="00315988">
            <w:pPr>
              <w:ind w:left="76" w:right="90"/>
            </w:pPr>
            <w:r w:rsidRPr="009D1C04">
              <w:t>Jaunu institūciju izveide, esošu institūciju likvidācija vai reorganizācija, to ietekme uz institūcijas cilvēkresursiem</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E10BBA" w14:textId="77777777" w:rsidR="003B60B8" w:rsidRPr="009D1C04" w:rsidRDefault="003A1F70" w:rsidP="00A13D59">
            <w:pPr>
              <w:shd w:val="clear" w:color="auto" w:fill="FFFFFF"/>
              <w:ind w:left="125" w:right="113"/>
              <w:jc w:val="both"/>
            </w:pPr>
            <w:r w:rsidRPr="007D3E6E">
              <w:t>Projekts šo jomu neskar</w:t>
            </w:r>
          </w:p>
        </w:tc>
      </w:tr>
      <w:tr w:rsidR="009D36DE" w:rsidRPr="009D1C04" w14:paraId="764D129D"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30EED0" w14:textId="77777777" w:rsidR="009D36DE" w:rsidRPr="009D1C04" w:rsidRDefault="009D36DE" w:rsidP="00A13D59">
            <w:r w:rsidRPr="009D1C04">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46A67C" w14:textId="77777777" w:rsidR="009D36DE" w:rsidRPr="009D1C04" w:rsidRDefault="009D36DE" w:rsidP="00315988">
            <w:pPr>
              <w:ind w:left="76" w:right="90"/>
            </w:pPr>
            <w:r w:rsidRPr="009D1C04">
              <w:t>Cita informācija</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6DC5E2" w14:textId="77777777" w:rsidR="009D36DE" w:rsidRPr="009D1C04" w:rsidRDefault="009D36DE" w:rsidP="00A13D59">
            <w:pPr>
              <w:ind w:firstLine="1"/>
              <w:jc w:val="both"/>
            </w:pPr>
            <w:r w:rsidRPr="009D1C04">
              <w:t>Nav</w:t>
            </w:r>
          </w:p>
        </w:tc>
      </w:tr>
    </w:tbl>
    <w:p w14:paraId="05D014FD" w14:textId="77777777" w:rsidR="009D36DE" w:rsidRDefault="009D36DE" w:rsidP="00874953"/>
    <w:p w14:paraId="1AC1DC71" w14:textId="77777777" w:rsidR="00874953" w:rsidRDefault="00874953" w:rsidP="00874953"/>
    <w:p w14:paraId="1A32AD2D" w14:textId="77777777" w:rsidR="00874953" w:rsidRPr="009D1C04" w:rsidRDefault="00874953" w:rsidP="00874953"/>
    <w:p w14:paraId="252A4DD3" w14:textId="77777777" w:rsidR="00874953" w:rsidRPr="00091F2B" w:rsidRDefault="00874953" w:rsidP="00874953">
      <w:pPr>
        <w:pStyle w:val="naisf"/>
        <w:tabs>
          <w:tab w:val="left" w:pos="6521"/>
          <w:tab w:val="right" w:pos="8820"/>
        </w:tabs>
        <w:spacing w:before="0" w:beforeAutospacing="0" w:after="0" w:afterAutospacing="0"/>
        <w:ind w:firstLine="709"/>
        <w:rPr>
          <w:sz w:val="28"/>
          <w:szCs w:val="28"/>
        </w:rPr>
      </w:pPr>
      <w:r w:rsidRPr="00091F2B">
        <w:rPr>
          <w:sz w:val="28"/>
          <w:szCs w:val="28"/>
        </w:rPr>
        <w:t>Ministru prezidents</w:t>
      </w:r>
      <w:r w:rsidRPr="00091F2B">
        <w:rPr>
          <w:sz w:val="28"/>
          <w:szCs w:val="28"/>
        </w:rPr>
        <w:tab/>
        <w:t xml:space="preserve">A. K. Kariņš </w:t>
      </w:r>
    </w:p>
    <w:p w14:paraId="62F84D26" w14:textId="77777777" w:rsidR="00874953" w:rsidRPr="00091F2B" w:rsidRDefault="00874953" w:rsidP="00874953">
      <w:pPr>
        <w:tabs>
          <w:tab w:val="left" w:pos="6480"/>
          <w:tab w:val="left" w:pos="6840"/>
        </w:tabs>
        <w:rPr>
          <w:sz w:val="28"/>
          <w:szCs w:val="28"/>
        </w:rPr>
      </w:pPr>
    </w:p>
    <w:p w14:paraId="6AB49F2B" w14:textId="77777777" w:rsidR="00874953" w:rsidRPr="00091F2B" w:rsidRDefault="00874953" w:rsidP="00874953">
      <w:pPr>
        <w:tabs>
          <w:tab w:val="left" w:pos="6480"/>
          <w:tab w:val="left" w:pos="6840"/>
        </w:tabs>
        <w:rPr>
          <w:sz w:val="28"/>
          <w:szCs w:val="28"/>
        </w:rPr>
      </w:pPr>
    </w:p>
    <w:p w14:paraId="2E4B11D5" w14:textId="3BEEF896" w:rsidR="00874953" w:rsidRPr="00110FBA" w:rsidRDefault="00874953" w:rsidP="00874953">
      <w:pPr>
        <w:tabs>
          <w:tab w:val="left" w:pos="6480"/>
          <w:tab w:val="left" w:pos="6840"/>
        </w:tabs>
        <w:ind w:firstLine="720"/>
        <w:jc w:val="both"/>
        <w:rPr>
          <w:sz w:val="28"/>
          <w:szCs w:val="28"/>
        </w:rPr>
      </w:pPr>
      <w:r w:rsidRPr="00110FBA">
        <w:rPr>
          <w:sz w:val="28"/>
          <w:szCs w:val="28"/>
        </w:rPr>
        <w:t>V</w:t>
      </w:r>
      <w:r w:rsidR="007A40D1">
        <w:rPr>
          <w:sz w:val="28"/>
          <w:szCs w:val="28"/>
        </w:rPr>
        <w:t>ī</w:t>
      </w:r>
      <w:r w:rsidRPr="00110FBA">
        <w:rPr>
          <w:sz w:val="28"/>
          <w:szCs w:val="28"/>
        </w:rPr>
        <w:t>z</w:t>
      </w:r>
      <w:r w:rsidR="007A40D1">
        <w:rPr>
          <w:sz w:val="28"/>
          <w:szCs w:val="28"/>
        </w:rPr>
        <w:t>a</w:t>
      </w:r>
      <w:r w:rsidRPr="00110FBA">
        <w:rPr>
          <w:sz w:val="28"/>
          <w:szCs w:val="28"/>
        </w:rPr>
        <w:t>:</w:t>
      </w:r>
    </w:p>
    <w:p w14:paraId="10F7F0B9" w14:textId="77777777" w:rsidR="00874953" w:rsidRPr="00110FBA" w:rsidRDefault="00CD5152" w:rsidP="00874953">
      <w:pPr>
        <w:tabs>
          <w:tab w:val="left" w:pos="6521"/>
        </w:tabs>
        <w:ind w:right="-108" w:firstLine="709"/>
        <w:jc w:val="both"/>
        <w:rPr>
          <w:sz w:val="28"/>
          <w:szCs w:val="28"/>
        </w:rPr>
      </w:pPr>
      <w:r w:rsidRPr="00110FBA">
        <w:rPr>
          <w:sz w:val="28"/>
          <w:szCs w:val="28"/>
        </w:rPr>
        <w:t>Pārresoru koordinācijas centra vadītājs</w:t>
      </w:r>
      <w:r w:rsidRPr="00110FBA">
        <w:rPr>
          <w:sz w:val="28"/>
          <w:szCs w:val="28"/>
        </w:rPr>
        <w:tab/>
        <w:t>P.Vilks</w:t>
      </w:r>
    </w:p>
    <w:p w14:paraId="12DAA29B" w14:textId="77777777" w:rsidR="006D49B1" w:rsidRPr="00CD5152" w:rsidRDefault="006D49B1" w:rsidP="00874953">
      <w:pPr>
        <w:rPr>
          <w:lang w:eastAsia="en-US"/>
        </w:rPr>
      </w:pPr>
    </w:p>
    <w:p w14:paraId="689CCD07" w14:textId="77777777" w:rsidR="00874953" w:rsidRPr="00CD5152" w:rsidRDefault="00874953" w:rsidP="00874953">
      <w:pPr>
        <w:rPr>
          <w:lang w:eastAsia="en-US"/>
        </w:rPr>
      </w:pPr>
    </w:p>
    <w:p w14:paraId="627272A3" w14:textId="77777777" w:rsidR="002204E8" w:rsidRPr="00874953" w:rsidRDefault="002204E8" w:rsidP="00874953">
      <w:pPr>
        <w:tabs>
          <w:tab w:val="left" w:pos="1480"/>
          <w:tab w:val="left" w:pos="1951"/>
        </w:tabs>
        <w:rPr>
          <w:sz w:val="22"/>
          <w:szCs w:val="22"/>
          <w:lang w:eastAsia="en-US"/>
        </w:rPr>
      </w:pPr>
    </w:p>
    <w:sectPr w:rsidR="002204E8" w:rsidRPr="00874953" w:rsidSect="00332E30">
      <w:headerReference w:type="default" r:id="rId8"/>
      <w:footerReference w:type="default" r:id="rId9"/>
      <w:footerReference w:type="first" r:id="rId10"/>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0C17A" w14:textId="77777777" w:rsidR="00630659" w:rsidRDefault="00630659" w:rsidP="009A7EE9">
      <w:r>
        <w:separator/>
      </w:r>
    </w:p>
  </w:endnote>
  <w:endnote w:type="continuationSeparator" w:id="0">
    <w:p w14:paraId="6B199210" w14:textId="77777777" w:rsidR="00630659" w:rsidRDefault="00630659"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8F9C" w14:textId="1D50DD40" w:rsidR="00F91C50" w:rsidRPr="00874953" w:rsidRDefault="00874953" w:rsidP="00874953">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91C50">
      <w:rPr>
        <w:noProof/>
        <w:sz w:val="20"/>
        <w:szCs w:val="20"/>
      </w:rPr>
      <w:t>PKC</w:t>
    </w:r>
    <w:r w:rsidR="007A40D1">
      <w:rPr>
        <w:noProof/>
        <w:sz w:val="20"/>
        <w:szCs w:val="20"/>
      </w:rPr>
      <w:t>_a</w:t>
    </w:r>
    <w:r w:rsidR="00255A44">
      <w:rPr>
        <w:noProof/>
        <w:sz w:val="20"/>
        <w:szCs w:val="20"/>
      </w:rPr>
      <w:t>not_</w:t>
    </w:r>
    <w:r w:rsidR="007A40D1">
      <w:rPr>
        <w:noProof/>
        <w:sz w:val="20"/>
        <w:szCs w:val="20"/>
      </w:rPr>
      <w:t>apropr_pardale_</w:t>
    </w:r>
    <w:r w:rsidR="00D058AE">
      <w:rPr>
        <w:noProof/>
        <w:sz w:val="20"/>
        <w:szCs w:val="20"/>
      </w:rPr>
      <w:t>2608</w:t>
    </w:r>
    <w:r w:rsidR="007A40D1">
      <w:rPr>
        <w:noProof/>
        <w:sz w:val="20"/>
        <w:szCs w:val="20"/>
      </w:rPr>
      <w:t>2021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025C" w14:textId="77777777" w:rsidR="00F91C50" w:rsidRPr="003E237F" w:rsidRDefault="00E3759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end"/>
    </w:r>
    <w:r w:rsidR="00F91C50">
      <w:rPr>
        <w:sz w:val="20"/>
        <w:szCs w:val="20"/>
      </w:rPr>
      <w:t>PKC_Anot_</w:t>
    </w:r>
    <w:r w:rsidR="00B2141A">
      <w:rPr>
        <w:sz w:val="20"/>
        <w:szCs w:val="20"/>
      </w:rPr>
      <w:t>1</w:t>
    </w:r>
    <w:r w:rsidR="007C286C">
      <w:rPr>
        <w:sz w:val="20"/>
        <w:szCs w:val="20"/>
      </w:rPr>
      <w:t>7</w:t>
    </w:r>
    <w:r w:rsidR="00F91C50">
      <w:rPr>
        <w:sz w:val="20"/>
        <w:szCs w:val="20"/>
      </w:rPr>
      <w:t>0</w:t>
    </w:r>
    <w:r w:rsidR="00B2141A">
      <w:rPr>
        <w:sz w:val="20"/>
        <w:szCs w:val="20"/>
      </w:rPr>
      <w:t>6</w:t>
    </w:r>
    <w:r w:rsidR="00F91C50">
      <w:rPr>
        <w:sz w:val="20"/>
        <w:szCs w:val="20"/>
      </w:rPr>
      <w:t xml:space="preserve">2021_MK </w:t>
    </w:r>
    <w:proofErr w:type="spellStart"/>
    <w:r w:rsidR="00F91C50">
      <w:rPr>
        <w:sz w:val="20"/>
        <w:szCs w:val="20"/>
      </w:rPr>
      <w:t>rik</w:t>
    </w:r>
    <w:r w:rsidR="007C286C">
      <w:rPr>
        <w:sz w:val="20"/>
        <w:szCs w:val="20"/>
      </w:rPr>
      <w:t>_</w:t>
    </w:r>
    <w:r w:rsidR="00F91C50">
      <w:rPr>
        <w:sz w:val="20"/>
        <w:szCs w:val="20"/>
      </w:rPr>
      <w:t>apropr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30220" w14:textId="77777777" w:rsidR="00630659" w:rsidRDefault="00630659" w:rsidP="009A7EE9">
      <w:r>
        <w:separator/>
      </w:r>
    </w:p>
  </w:footnote>
  <w:footnote w:type="continuationSeparator" w:id="0">
    <w:p w14:paraId="3CCB882A" w14:textId="77777777" w:rsidR="00630659" w:rsidRDefault="00630659" w:rsidP="009A7EE9">
      <w:r>
        <w:continuationSeparator/>
      </w:r>
    </w:p>
  </w:footnote>
  <w:footnote w:id="1">
    <w:p w14:paraId="72CD5EFF" w14:textId="77777777" w:rsidR="00C607D0" w:rsidRPr="00D654D3" w:rsidRDefault="00C607D0" w:rsidP="00C607D0">
      <w:pPr>
        <w:pStyle w:val="FootnoteText"/>
        <w:ind w:left="-851" w:right="-1231" w:hanging="142"/>
        <w:rPr>
          <w:sz w:val="18"/>
          <w:szCs w:val="18"/>
        </w:rPr>
      </w:pPr>
      <w:r w:rsidRPr="00D654D3">
        <w:rPr>
          <w:sz w:val="18"/>
          <w:szCs w:val="18"/>
          <w:vertAlign w:val="superscript"/>
        </w:rPr>
        <w:footnoteRef/>
      </w:r>
      <w:r w:rsidRPr="00D654D3">
        <w:rPr>
          <w:sz w:val="18"/>
          <w:szCs w:val="18"/>
        </w:rPr>
        <w:t xml:space="preserve"> </w:t>
      </w:r>
      <w:hyperlink r:id="rId1" w:history="1">
        <w:r w:rsidRPr="00D654D3">
          <w:rPr>
            <w:rStyle w:val="Hyperlink"/>
            <w:sz w:val="18"/>
            <w:szCs w:val="18"/>
          </w:rPr>
          <w:t>https://www.visc.gov.lv/lv/publikacijas-un-parskati/gadp2019.pdf</w:t>
        </w:r>
      </w:hyperlink>
      <w:r w:rsidRPr="00D654D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6DBB" w14:textId="77777777" w:rsidR="00332E30" w:rsidRDefault="00332E30">
    <w:pPr>
      <w:pStyle w:val="Header"/>
      <w:jc w:val="center"/>
    </w:pPr>
    <w:r>
      <w:fldChar w:fldCharType="begin"/>
    </w:r>
    <w:r>
      <w:instrText xml:space="preserve"> PAGE   \* MERGEFORMAT </w:instrText>
    </w:r>
    <w:r>
      <w:fldChar w:fldCharType="separate"/>
    </w:r>
    <w:r w:rsidR="00994C40">
      <w:rPr>
        <w:noProof/>
      </w:rPr>
      <w:t>7</w:t>
    </w:r>
    <w:r>
      <w:rPr>
        <w:noProof/>
      </w:rPr>
      <w:fldChar w:fldCharType="end"/>
    </w:r>
  </w:p>
  <w:p w14:paraId="3C0355A2"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imes New Roman"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1BCB7BF9"/>
    <w:multiLevelType w:val="hybridMultilevel"/>
    <w:tmpl w:val="84AAD26A"/>
    <w:lvl w:ilvl="0" w:tplc="EA381E8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 w15:restartNumberingAfterBreak="0">
    <w:nsid w:val="2A0D5CA8"/>
    <w:multiLevelType w:val="hybridMultilevel"/>
    <w:tmpl w:val="78969950"/>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5"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15:restartNumberingAfterBreak="0">
    <w:nsid w:val="32884218"/>
    <w:multiLevelType w:val="hybridMultilevel"/>
    <w:tmpl w:val="35FA125A"/>
    <w:lvl w:ilvl="0" w:tplc="3E7ED1E0">
      <w:start w:val="1"/>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7" w15:restartNumberingAfterBreak="0">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8"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9"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4" w15:restartNumberingAfterBreak="0">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5"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12"/>
  </w:num>
  <w:num w:numId="6">
    <w:abstractNumId w:val="16"/>
  </w:num>
  <w:num w:numId="7">
    <w:abstractNumId w:val="10"/>
  </w:num>
  <w:num w:numId="8">
    <w:abstractNumId w:val="17"/>
  </w:num>
  <w:num w:numId="9">
    <w:abstractNumId w:val="15"/>
  </w:num>
  <w:num w:numId="10">
    <w:abstractNumId w:val="14"/>
  </w:num>
  <w:num w:numId="11">
    <w:abstractNumId w:val="7"/>
  </w:num>
  <w:num w:numId="12">
    <w:abstractNumId w:val="4"/>
  </w:num>
  <w:num w:numId="13">
    <w:abstractNumId w:val="2"/>
  </w:num>
  <w:num w:numId="14">
    <w:abstractNumId w:val="13"/>
  </w:num>
  <w:num w:numId="15">
    <w:abstractNumId w:val="9"/>
  </w:num>
  <w:num w:numId="16">
    <w:abstractNumId w:val="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28"/>
    <w:rsid w:val="00003961"/>
    <w:rsid w:val="000044FA"/>
    <w:rsid w:val="00011587"/>
    <w:rsid w:val="00011820"/>
    <w:rsid w:val="0001492C"/>
    <w:rsid w:val="00020DC0"/>
    <w:rsid w:val="00025B05"/>
    <w:rsid w:val="00031A27"/>
    <w:rsid w:val="0005038A"/>
    <w:rsid w:val="00051512"/>
    <w:rsid w:val="000614F5"/>
    <w:rsid w:val="00061813"/>
    <w:rsid w:val="00064D12"/>
    <w:rsid w:val="00064E3F"/>
    <w:rsid w:val="00064F32"/>
    <w:rsid w:val="0007497E"/>
    <w:rsid w:val="000766F8"/>
    <w:rsid w:val="000818D2"/>
    <w:rsid w:val="00085845"/>
    <w:rsid w:val="000916CE"/>
    <w:rsid w:val="00091F2B"/>
    <w:rsid w:val="0009380D"/>
    <w:rsid w:val="00094E3E"/>
    <w:rsid w:val="000A2F3D"/>
    <w:rsid w:val="000A3BB4"/>
    <w:rsid w:val="000A6B9A"/>
    <w:rsid w:val="000B283D"/>
    <w:rsid w:val="000B2CA0"/>
    <w:rsid w:val="000C07B8"/>
    <w:rsid w:val="000C703D"/>
    <w:rsid w:val="000D0EFF"/>
    <w:rsid w:val="000D5F41"/>
    <w:rsid w:val="000E4F21"/>
    <w:rsid w:val="000E5764"/>
    <w:rsid w:val="001072D1"/>
    <w:rsid w:val="00110F94"/>
    <w:rsid w:val="00110FBA"/>
    <w:rsid w:val="00111617"/>
    <w:rsid w:val="00114BC2"/>
    <w:rsid w:val="0012264C"/>
    <w:rsid w:val="00133B71"/>
    <w:rsid w:val="00136F1A"/>
    <w:rsid w:val="00137F65"/>
    <w:rsid w:val="00140526"/>
    <w:rsid w:val="00143795"/>
    <w:rsid w:val="001509E7"/>
    <w:rsid w:val="00152ECC"/>
    <w:rsid w:val="001554B8"/>
    <w:rsid w:val="00156E18"/>
    <w:rsid w:val="00160F3D"/>
    <w:rsid w:val="001611E9"/>
    <w:rsid w:val="00161CE7"/>
    <w:rsid w:val="00162EB9"/>
    <w:rsid w:val="001663DD"/>
    <w:rsid w:val="00166EFD"/>
    <w:rsid w:val="00170CFC"/>
    <w:rsid w:val="00171A81"/>
    <w:rsid w:val="001769F9"/>
    <w:rsid w:val="00183027"/>
    <w:rsid w:val="00183E02"/>
    <w:rsid w:val="00190648"/>
    <w:rsid w:val="00191879"/>
    <w:rsid w:val="0019469A"/>
    <w:rsid w:val="001A5406"/>
    <w:rsid w:val="001B13DD"/>
    <w:rsid w:val="001B419D"/>
    <w:rsid w:val="001B4D01"/>
    <w:rsid w:val="001C0756"/>
    <w:rsid w:val="001C1669"/>
    <w:rsid w:val="001C59ED"/>
    <w:rsid w:val="001D5E23"/>
    <w:rsid w:val="001E133F"/>
    <w:rsid w:val="002011D3"/>
    <w:rsid w:val="00202696"/>
    <w:rsid w:val="00205718"/>
    <w:rsid w:val="0020584E"/>
    <w:rsid w:val="002121FB"/>
    <w:rsid w:val="002125CA"/>
    <w:rsid w:val="002128BD"/>
    <w:rsid w:val="002204E8"/>
    <w:rsid w:val="00221DB5"/>
    <w:rsid w:val="0023038D"/>
    <w:rsid w:val="0024096A"/>
    <w:rsid w:val="002453D3"/>
    <w:rsid w:val="00252804"/>
    <w:rsid w:val="00255A44"/>
    <w:rsid w:val="00261740"/>
    <w:rsid w:val="0026378C"/>
    <w:rsid w:val="0027336A"/>
    <w:rsid w:val="00283E0D"/>
    <w:rsid w:val="00285775"/>
    <w:rsid w:val="002B19A5"/>
    <w:rsid w:val="002B3D2F"/>
    <w:rsid w:val="002B5EE7"/>
    <w:rsid w:val="002C3DC9"/>
    <w:rsid w:val="002C6B6D"/>
    <w:rsid w:val="002D0BF5"/>
    <w:rsid w:val="002D1159"/>
    <w:rsid w:val="002D290A"/>
    <w:rsid w:val="002D3A84"/>
    <w:rsid w:val="002D3E38"/>
    <w:rsid w:val="002D7875"/>
    <w:rsid w:val="002E375F"/>
    <w:rsid w:val="002F1A25"/>
    <w:rsid w:val="002F1F4A"/>
    <w:rsid w:val="002F5428"/>
    <w:rsid w:val="002F6FE7"/>
    <w:rsid w:val="002F748C"/>
    <w:rsid w:val="00301CBB"/>
    <w:rsid w:val="00303690"/>
    <w:rsid w:val="00303A77"/>
    <w:rsid w:val="00304F3B"/>
    <w:rsid w:val="003102C3"/>
    <w:rsid w:val="00315988"/>
    <w:rsid w:val="003159B9"/>
    <w:rsid w:val="00316575"/>
    <w:rsid w:val="00320C6A"/>
    <w:rsid w:val="0032120D"/>
    <w:rsid w:val="0032647A"/>
    <w:rsid w:val="00327C8D"/>
    <w:rsid w:val="00331D96"/>
    <w:rsid w:val="00332E30"/>
    <w:rsid w:val="00333322"/>
    <w:rsid w:val="00335619"/>
    <w:rsid w:val="0033563E"/>
    <w:rsid w:val="003446F9"/>
    <w:rsid w:val="00345A45"/>
    <w:rsid w:val="00351240"/>
    <w:rsid w:val="00352431"/>
    <w:rsid w:val="00354448"/>
    <w:rsid w:val="00361ED8"/>
    <w:rsid w:val="00363CE8"/>
    <w:rsid w:val="00363F9A"/>
    <w:rsid w:val="00364193"/>
    <w:rsid w:val="00370F44"/>
    <w:rsid w:val="003735E2"/>
    <w:rsid w:val="003740D7"/>
    <w:rsid w:val="003810B3"/>
    <w:rsid w:val="00381766"/>
    <w:rsid w:val="003A1F70"/>
    <w:rsid w:val="003A32DC"/>
    <w:rsid w:val="003A3B79"/>
    <w:rsid w:val="003B09B1"/>
    <w:rsid w:val="003B3ADE"/>
    <w:rsid w:val="003B502F"/>
    <w:rsid w:val="003B60B8"/>
    <w:rsid w:val="003C21F6"/>
    <w:rsid w:val="003C6F6D"/>
    <w:rsid w:val="003C7722"/>
    <w:rsid w:val="003D6A45"/>
    <w:rsid w:val="003D6BD2"/>
    <w:rsid w:val="003E237F"/>
    <w:rsid w:val="003E2B3A"/>
    <w:rsid w:val="003E3BD5"/>
    <w:rsid w:val="003F10D1"/>
    <w:rsid w:val="003F1B84"/>
    <w:rsid w:val="003F4BF1"/>
    <w:rsid w:val="003F51B4"/>
    <w:rsid w:val="00403421"/>
    <w:rsid w:val="004071E3"/>
    <w:rsid w:val="00407869"/>
    <w:rsid w:val="00407F74"/>
    <w:rsid w:val="0041136C"/>
    <w:rsid w:val="0041332B"/>
    <w:rsid w:val="004170B3"/>
    <w:rsid w:val="00422A90"/>
    <w:rsid w:val="00422AFA"/>
    <w:rsid w:val="004240D2"/>
    <w:rsid w:val="004407BB"/>
    <w:rsid w:val="004407DB"/>
    <w:rsid w:val="004422AA"/>
    <w:rsid w:val="00445981"/>
    <w:rsid w:val="00445EB9"/>
    <w:rsid w:val="00455577"/>
    <w:rsid w:val="00456E0C"/>
    <w:rsid w:val="00457174"/>
    <w:rsid w:val="00464217"/>
    <w:rsid w:val="0047084C"/>
    <w:rsid w:val="004727DB"/>
    <w:rsid w:val="004744C2"/>
    <w:rsid w:val="00474ED8"/>
    <w:rsid w:val="00480A1B"/>
    <w:rsid w:val="00482307"/>
    <w:rsid w:val="0048561D"/>
    <w:rsid w:val="00486ED9"/>
    <w:rsid w:val="004876F3"/>
    <w:rsid w:val="00493060"/>
    <w:rsid w:val="00493BE8"/>
    <w:rsid w:val="004A13DF"/>
    <w:rsid w:val="004A3AC4"/>
    <w:rsid w:val="004A456A"/>
    <w:rsid w:val="004A7D0E"/>
    <w:rsid w:val="004B0522"/>
    <w:rsid w:val="004B4E72"/>
    <w:rsid w:val="004B59D9"/>
    <w:rsid w:val="004C4D7F"/>
    <w:rsid w:val="004D0A41"/>
    <w:rsid w:val="004D1D9A"/>
    <w:rsid w:val="004E614B"/>
    <w:rsid w:val="004E661C"/>
    <w:rsid w:val="004E6980"/>
    <w:rsid w:val="004E72EB"/>
    <w:rsid w:val="004F3D33"/>
    <w:rsid w:val="004F70B8"/>
    <w:rsid w:val="005057C4"/>
    <w:rsid w:val="00516988"/>
    <w:rsid w:val="005222BD"/>
    <w:rsid w:val="00524414"/>
    <w:rsid w:val="00524926"/>
    <w:rsid w:val="005326E9"/>
    <w:rsid w:val="00532A75"/>
    <w:rsid w:val="005331D5"/>
    <w:rsid w:val="0053409A"/>
    <w:rsid w:val="00536C44"/>
    <w:rsid w:val="005419ED"/>
    <w:rsid w:val="00542B98"/>
    <w:rsid w:val="005437C3"/>
    <w:rsid w:val="00545A7B"/>
    <w:rsid w:val="00562991"/>
    <w:rsid w:val="005648B2"/>
    <w:rsid w:val="00567C3A"/>
    <w:rsid w:val="005717CC"/>
    <w:rsid w:val="005802FC"/>
    <w:rsid w:val="00580CBE"/>
    <w:rsid w:val="005839BF"/>
    <w:rsid w:val="00583D19"/>
    <w:rsid w:val="00585EED"/>
    <w:rsid w:val="005B0615"/>
    <w:rsid w:val="005B08DC"/>
    <w:rsid w:val="005B7346"/>
    <w:rsid w:val="005C4DD7"/>
    <w:rsid w:val="005C5BDA"/>
    <w:rsid w:val="005D2988"/>
    <w:rsid w:val="005D32B1"/>
    <w:rsid w:val="005D489A"/>
    <w:rsid w:val="005D7715"/>
    <w:rsid w:val="005E0012"/>
    <w:rsid w:val="005E0AAC"/>
    <w:rsid w:val="005E435A"/>
    <w:rsid w:val="005E6150"/>
    <w:rsid w:val="00603455"/>
    <w:rsid w:val="00611862"/>
    <w:rsid w:val="00612D73"/>
    <w:rsid w:val="00615766"/>
    <w:rsid w:val="00623C57"/>
    <w:rsid w:val="006267BF"/>
    <w:rsid w:val="00630442"/>
    <w:rsid w:val="00630659"/>
    <w:rsid w:val="00632159"/>
    <w:rsid w:val="00632E11"/>
    <w:rsid w:val="006353B9"/>
    <w:rsid w:val="006379D5"/>
    <w:rsid w:val="00641D60"/>
    <w:rsid w:val="00645290"/>
    <w:rsid w:val="0065034A"/>
    <w:rsid w:val="00652E48"/>
    <w:rsid w:val="0065380E"/>
    <w:rsid w:val="00664DE2"/>
    <w:rsid w:val="00666039"/>
    <w:rsid w:val="00670643"/>
    <w:rsid w:val="00682F9A"/>
    <w:rsid w:val="00683A6E"/>
    <w:rsid w:val="00683B10"/>
    <w:rsid w:val="00684B77"/>
    <w:rsid w:val="0068729C"/>
    <w:rsid w:val="00692096"/>
    <w:rsid w:val="00693E8E"/>
    <w:rsid w:val="006955EA"/>
    <w:rsid w:val="006A6235"/>
    <w:rsid w:val="006B3BBA"/>
    <w:rsid w:val="006B61BD"/>
    <w:rsid w:val="006C25A9"/>
    <w:rsid w:val="006C79A1"/>
    <w:rsid w:val="006D0F34"/>
    <w:rsid w:val="006D245F"/>
    <w:rsid w:val="006D497B"/>
    <w:rsid w:val="006D49B1"/>
    <w:rsid w:val="006E12D2"/>
    <w:rsid w:val="006F2B5A"/>
    <w:rsid w:val="006F4715"/>
    <w:rsid w:val="006F62A5"/>
    <w:rsid w:val="0070316C"/>
    <w:rsid w:val="00705A8F"/>
    <w:rsid w:val="0071285B"/>
    <w:rsid w:val="00713EF9"/>
    <w:rsid w:val="00725640"/>
    <w:rsid w:val="00751999"/>
    <w:rsid w:val="007538FA"/>
    <w:rsid w:val="00754E7D"/>
    <w:rsid w:val="00763F04"/>
    <w:rsid w:val="0076428F"/>
    <w:rsid w:val="00764807"/>
    <w:rsid w:val="00770F72"/>
    <w:rsid w:val="007733C9"/>
    <w:rsid w:val="00776B5A"/>
    <w:rsid w:val="00777791"/>
    <w:rsid w:val="00784421"/>
    <w:rsid w:val="00790DC9"/>
    <w:rsid w:val="00792495"/>
    <w:rsid w:val="00793B6F"/>
    <w:rsid w:val="00796134"/>
    <w:rsid w:val="007A038C"/>
    <w:rsid w:val="007A1D9F"/>
    <w:rsid w:val="007A40D1"/>
    <w:rsid w:val="007A7036"/>
    <w:rsid w:val="007B1E7D"/>
    <w:rsid w:val="007B1F06"/>
    <w:rsid w:val="007B4EEF"/>
    <w:rsid w:val="007B6C93"/>
    <w:rsid w:val="007C286C"/>
    <w:rsid w:val="007C300C"/>
    <w:rsid w:val="007D693E"/>
    <w:rsid w:val="007E0FA9"/>
    <w:rsid w:val="007E157D"/>
    <w:rsid w:val="007E492A"/>
    <w:rsid w:val="007E4C02"/>
    <w:rsid w:val="007F18B8"/>
    <w:rsid w:val="007F3F24"/>
    <w:rsid w:val="00811E68"/>
    <w:rsid w:val="00811EAA"/>
    <w:rsid w:val="00814BB4"/>
    <w:rsid w:val="00820E9B"/>
    <w:rsid w:val="008278B4"/>
    <w:rsid w:val="008346FF"/>
    <w:rsid w:val="00836717"/>
    <w:rsid w:val="008412CC"/>
    <w:rsid w:val="0084176A"/>
    <w:rsid w:val="00843A8D"/>
    <w:rsid w:val="0084746C"/>
    <w:rsid w:val="00853AC5"/>
    <w:rsid w:val="00857FA9"/>
    <w:rsid w:val="0086037C"/>
    <w:rsid w:val="00860930"/>
    <w:rsid w:val="00860AA4"/>
    <w:rsid w:val="0086231B"/>
    <w:rsid w:val="00866EC2"/>
    <w:rsid w:val="00866FAC"/>
    <w:rsid w:val="00870008"/>
    <w:rsid w:val="00871282"/>
    <w:rsid w:val="00874953"/>
    <w:rsid w:val="00875E3E"/>
    <w:rsid w:val="0088215D"/>
    <w:rsid w:val="00887E46"/>
    <w:rsid w:val="008927D8"/>
    <w:rsid w:val="0089667F"/>
    <w:rsid w:val="008A0DA6"/>
    <w:rsid w:val="008A3323"/>
    <w:rsid w:val="008B46B2"/>
    <w:rsid w:val="008B5E27"/>
    <w:rsid w:val="008B6834"/>
    <w:rsid w:val="008C0091"/>
    <w:rsid w:val="008C153E"/>
    <w:rsid w:val="008C4C8E"/>
    <w:rsid w:val="008C538B"/>
    <w:rsid w:val="008C54BF"/>
    <w:rsid w:val="008D575B"/>
    <w:rsid w:val="008D6352"/>
    <w:rsid w:val="008D6E7D"/>
    <w:rsid w:val="008E0870"/>
    <w:rsid w:val="008E13F2"/>
    <w:rsid w:val="008E3A5B"/>
    <w:rsid w:val="008E3C19"/>
    <w:rsid w:val="008F0A2E"/>
    <w:rsid w:val="008F55B5"/>
    <w:rsid w:val="008F67C8"/>
    <w:rsid w:val="008F6918"/>
    <w:rsid w:val="00905312"/>
    <w:rsid w:val="009057D3"/>
    <w:rsid w:val="00911181"/>
    <w:rsid w:val="00916266"/>
    <w:rsid w:val="0091691A"/>
    <w:rsid w:val="009226DC"/>
    <w:rsid w:val="009228D2"/>
    <w:rsid w:val="00923946"/>
    <w:rsid w:val="00930BF9"/>
    <w:rsid w:val="00932481"/>
    <w:rsid w:val="00936066"/>
    <w:rsid w:val="00941A1A"/>
    <w:rsid w:val="0094483B"/>
    <w:rsid w:val="00945363"/>
    <w:rsid w:val="00945B73"/>
    <w:rsid w:val="009501D1"/>
    <w:rsid w:val="00962079"/>
    <w:rsid w:val="00971FFD"/>
    <w:rsid w:val="0097484D"/>
    <w:rsid w:val="009757FD"/>
    <w:rsid w:val="00977221"/>
    <w:rsid w:val="009807A5"/>
    <w:rsid w:val="00982034"/>
    <w:rsid w:val="00982261"/>
    <w:rsid w:val="009873B8"/>
    <w:rsid w:val="00992CC4"/>
    <w:rsid w:val="00992E3D"/>
    <w:rsid w:val="0099499C"/>
    <w:rsid w:val="00994C40"/>
    <w:rsid w:val="00996A8E"/>
    <w:rsid w:val="00997653"/>
    <w:rsid w:val="00997DE8"/>
    <w:rsid w:val="009A1520"/>
    <w:rsid w:val="009A48FE"/>
    <w:rsid w:val="009A4A62"/>
    <w:rsid w:val="009A7EE9"/>
    <w:rsid w:val="009B3B24"/>
    <w:rsid w:val="009C6D89"/>
    <w:rsid w:val="009D1C04"/>
    <w:rsid w:val="009D2E37"/>
    <w:rsid w:val="009D36DE"/>
    <w:rsid w:val="009D6BD4"/>
    <w:rsid w:val="009D6DC8"/>
    <w:rsid w:val="009E0CB1"/>
    <w:rsid w:val="009E1890"/>
    <w:rsid w:val="009E4130"/>
    <w:rsid w:val="009E5A67"/>
    <w:rsid w:val="009E6F9D"/>
    <w:rsid w:val="009E7875"/>
    <w:rsid w:val="009F065F"/>
    <w:rsid w:val="00A0018F"/>
    <w:rsid w:val="00A11E5A"/>
    <w:rsid w:val="00A12EFD"/>
    <w:rsid w:val="00A13D59"/>
    <w:rsid w:val="00A23985"/>
    <w:rsid w:val="00A24344"/>
    <w:rsid w:val="00A27AC7"/>
    <w:rsid w:val="00A300C9"/>
    <w:rsid w:val="00A310DC"/>
    <w:rsid w:val="00A37ADF"/>
    <w:rsid w:val="00A45F70"/>
    <w:rsid w:val="00A511BA"/>
    <w:rsid w:val="00A541A8"/>
    <w:rsid w:val="00A5756A"/>
    <w:rsid w:val="00A605A5"/>
    <w:rsid w:val="00A610D7"/>
    <w:rsid w:val="00A6237C"/>
    <w:rsid w:val="00A77AB6"/>
    <w:rsid w:val="00A80C22"/>
    <w:rsid w:val="00A80F0B"/>
    <w:rsid w:val="00A8127B"/>
    <w:rsid w:val="00A829B7"/>
    <w:rsid w:val="00A85919"/>
    <w:rsid w:val="00A868C3"/>
    <w:rsid w:val="00A874B5"/>
    <w:rsid w:val="00A914D2"/>
    <w:rsid w:val="00A93CF7"/>
    <w:rsid w:val="00A95B87"/>
    <w:rsid w:val="00A97350"/>
    <w:rsid w:val="00A97367"/>
    <w:rsid w:val="00AA1528"/>
    <w:rsid w:val="00AA4A17"/>
    <w:rsid w:val="00AA5033"/>
    <w:rsid w:val="00AA7ACA"/>
    <w:rsid w:val="00AB45E9"/>
    <w:rsid w:val="00AB7DDF"/>
    <w:rsid w:val="00AC14B6"/>
    <w:rsid w:val="00AC3F0C"/>
    <w:rsid w:val="00AC7C0E"/>
    <w:rsid w:val="00AD2335"/>
    <w:rsid w:val="00AD3413"/>
    <w:rsid w:val="00AD6E8B"/>
    <w:rsid w:val="00AD7200"/>
    <w:rsid w:val="00AD7755"/>
    <w:rsid w:val="00AE17A5"/>
    <w:rsid w:val="00AE56BA"/>
    <w:rsid w:val="00AE7DAC"/>
    <w:rsid w:val="00AF62AE"/>
    <w:rsid w:val="00B03683"/>
    <w:rsid w:val="00B127B6"/>
    <w:rsid w:val="00B1292F"/>
    <w:rsid w:val="00B14C2E"/>
    <w:rsid w:val="00B15D30"/>
    <w:rsid w:val="00B17BAC"/>
    <w:rsid w:val="00B2141A"/>
    <w:rsid w:val="00B25285"/>
    <w:rsid w:val="00B26771"/>
    <w:rsid w:val="00B27138"/>
    <w:rsid w:val="00B2761E"/>
    <w:rsid w:val="00B2791A"/>
    <w:rsid w:val="00B32D11"/>
    <w:rsid w:val="00B344E5"/>
    <w:rsid w:val="00B3568E"/>
    <w:rsid w:val="00B37017"/>
    <w:rsid w:val="00B447FA"/>
    <w:rsid w:val="00B47322"/>
    <w:rsid w:val="00B4749B"/>
    <w:rsid w:val="00B5094F"/>
    <w:rsid w:val="00B50A1F"/>
    <w:rsid w:val="00B52F16"/>
    <w:rsid w:val="00B61A29"/>
    <w:rsid w:val="00B6282C"/>
    <w:rsid w:val="00B64477"/>
    <w:rsid w:val="00B65ECC"/>
    <w:rsid w:val="00B66D73"/>
    <w:rsid w:val="00B672D4"/>
    <w:rsid w:val="00B70AD7"/>
    <w:rsid w:val="00B71A99"/>
    <w:rsid w:val="00B7663C"/>
    <w:rsid w:val="00B80688"/>
    <w:rsid w:val="00B87AF4"/>
    <w:rsid w:val="00B87BE2"/>
    <w:rsid w:val="00BA0247"/>
    <w:rsid w:val="00BA091C"/>
    <w:rsid w:val="00BA0D84"/>
    <w:rsid w:val="00BA10D2"/>
    <w:rsid w:val="00BA4D20"/>
    <w:rsid w:val="00BA7EB5"/>
    <w:rsid w:val="00BB2AB5"/>
    <w:rsid w:val="00BB2AD6"/>
    <w:rsid w:val="00BB603C"/>
    <w:rsid w:val="00BB6B5E"/>
    <w:rsid w:val="00BD03C9"/>
    <w:rsid w:val="00BD2338"/>
    <w:rsid w:val="00BD4180"/>
    <w:rsid w:val="00BD642D"/>
    <w:rsid w:val="00BD7B24"/>
    <w:rsid w:val="00BE1183"/>
    <w:rsid w:val="00BE6099"/>
    <w:rsid w:val="00BF0C19"/>
    <w:rsid w:val="00BF18C9"/>
    <w:rsid w:val="00BF1D41"/>
    <w:rsid w:val="00BF7635"/>
    <w:rsid w:val="00C074A6"/>
    <w:rsid w:val="00C13638"/>
    <w:rsid w:val="00C2372D"/>
    <w:rsid w:val="00C24DBA"/>
    <w:rsid w:val="00C35923"/>
    <w:rsid w:val="00C36718"/>
    <w:rsid w:val="00C41B93"/>
    <w:rsid w:val="00C422B2"/>
    <w:rsid w:val="00C437F7"/>
    <w:rsid w:val="00C44880"/>
    <w:rsid w:val="00C46D72"/>
    <w:rsid w:val="00C47FFC"/>
    <w:rsid w:val="00C5317E"/>
    <w:rsid w:val="00C57036"/>
    <w:rsid w:val="00C607D0"/>
    <w:rsid w:val="00C621A0"/>
    <w:rsid w:val="00C63899"/>
    <w:rsid w:val="00C64112"/>
    <w:rsid w:val="00C656FF"/>
    <w:rsid w:val="00C65820"/>
    <w:rsid w:val="00C66B75"/>
    <w:rsid w:val="00C70334"/>
    <w:rsid w:val="00C71CD1"/>
    <w:rsid w:val="00C7283B"/>
    <w:rsid w:val="00C73478"/>
    <w:rsid w:val="00C85ED7"/>
    <w:rsid w:val="00C93BA6"/>
    <w:rsid w:val="00C94740"/>
    <w:rsid w:val="00C96A2B"/>
    <w:rsid w:val="00CA1D83"/>
    <w:rsid w:val="00CA40C3"/>
    <w:rsid w:val="00CB2E04"/>
    <w:rsid w:val="00CC0712"/>
    <w:rsid w:val="00CC1E07"/>
    <w:rsid w:val="00CC3ACE"/>
    <w:rsid w:val="00CC4D9B"/>
    <w:rsid w:val="00CC55FA"/>
    <w:rsid w:val="00CD5152"/>
    <w:rsid w:val="00CD726C"/>
    <w:rsid w:val="00CE332B"/>
    <w:rsid w:val="00CE395A"/>
    <w:rsid w:val="00CE430D"/>
    <w:rsid w:val="00CE4E09"/>
    <w:rsid w:val="00CF1350"/>
    <w:rsid w:val="00CF2F7B"/>
    <w:rsid w:val="00CF6797"/>
    <w:rsid w:val="00CF6DF6"/>
    <w:rsid w:val="00D001BD"/>
    <w:rsid w:val="00D058AE"/>
    <w:rsid w:val="00D15040"/>
    <w:rsid w:val="00D25421"/>
    <w:rsid w:val="00D309B0"/>
    <w:rsid w:val="00D312A6"/>
    <w:rsid w:val="00D32954"/>
    <w:rsid w:val="00D3668B"/>
    <w:rsid w:val="00D41F3E"/>
    <w:rsid w:val="00D42E07"/>
    <w:rsid w:val="00D43AB3"/>
    <w:rsid w:val="00D444BA"/>
    <w:rsid w:val="00D501BC"/>
    <w:rsid w:val="00D54B2D"/>
    <w:rsid w:val="00D57F31"/>
    <w:rsid w:val="00D6079A"/>
    <w:rsid w:val="00D65809"/>
    <w:rsid w:val="00D676DA"/>
    <w:rsid w:val="00D80FF6"/>
    <w:rsid w:val="00D826BD"/>
    <w:rsid w:val="00D82EC1"/>
    <w:rsid w:val="00D84D37"/>
    <w:rsid w:val="00D9234C"/>
    <w:rsid w:val="00D9355E"/>
    <w:rsid w:val="00D93D5C"/>
    <w:rsid w:val="00D94EC3"/>
    <w:rsid w:val="00D97850"/>
    <w:rsid w:val="00DA451A"/>
    <w:rsid w:val="00DB1865"/>
    <w:rsid w:val="00DB37C4"/>
    <w:rsid w:val="00DB5A7F"/>
    <w:rsid w:val="00DB6322"/>
    <w:rsid w:val="00DB64DC"/>
    <w:rsid w:val="00DB7B48"/>
    <w:rsid w:val="00DC2494"/>
    <w:rsid w:val="00DC37EA"/>
    <w:rsid w:val="00DC67AE"/>
    <w:rsid w:val="00DC7876"/>
    <w:rsid w:val="00DE06C1"/>
    <w:rsid w:val="00DE1003"/>
    <w:rsid w:val="00DE3336"/>
    <w:rsid w:val="00DF7062"/>
    <w:rsid w:val="00DF7DE7"/>
    <w:rsid w:val="00E046CD"/>
    <w:rsid w:val="00E06C5A"/>
    <w:rsid w:val="00E0769A"/>
    <w:rsid w:val="00E16501"/>
    <w:rsid w:val="00E212FD"/>
    <w:rsid w:val="00E218B9"/>
    <w:rsid w:val="00E23E6A"/>
    <w:rsid w:val="00E315C4"/>
    <w:rsid w:val="00E31657"/>
    <w:rsid w:val="00E33DB6"/>
    <w:rsid w:val="00E34E40"/>
    <w:rsid w:val="00E3629D"/>
    <w:rsid w:val="00E366AD"/>
    <w:rsid w:val="00E37597"/>
    <w:rsid w:val="00E4066C"/>
    <w:rsid w:val="00E416EE"/>
    <w:rsid w:val="00E458CF"/>
    <w:rsid w:val="00E47E33"/>
    <w:rsid w:val="00E50E39"/>
    <w:rsid w:val="00E622DA"/>
    <w:rsid w:val="00E6509E"/>
    <w:rsid w:val="00E73EF8"/>
    <w:rsid w:val="00E812F0"/>
    <w:rsid w:val="00E83006"/>
    <w:rsid w:val="00E8499A"/>
    <w:rsid w:val="00E87600"/>
    <w:rsid w:val="00E903EE"/>
    <w:rsid w:val="00E90427"/>
    <w:rsid w:val="00E9063D"/>
    <w:rsid w:val="00E92F82"/>
    <w:rsid w:val="00E9372F"/>
    <w:rsid w:val="00EA5D90"/>
    <w:rsid w:val="00EA673A"/>
    <w:rsid w:val="00EB402F"/>
    <w:rsid w:val="00EB7284"/>
    <w:rsid w:val="00EC5F52"/>
    <w:rsid w:val="00ED0497"/>
    <w:rsid w:val="00ED59B9"/>
    <w:rsid w:val="00ED62E9"/>
    <w:rsid w:val="00EE3ADF"/>
    <w:rsid w:val="00EE4F3E"/>
    <w:rsid w:val="00EE4FC4"/>
    <w:rsid w:val="00EF1444"/>
    <w:rsid w:val="00EF37BD"/>
    <w:rsid w:val="00EF3BDC"/>
    <w:rsid w:val="00F0049A"/>
    <w:rsid w:val="00F03BC3"/>
    <w:rsid w:val="00F10C52"/>
    <w:rsid w:val="00F14DB0"/>
    <w:rsid w:val="00F14F02"/>
    <w:rsid w:val="00F154FE"/>
    <w:rsid w:val="00F21AC1"/>
    <w:rsid w:val="00F21B6D"/>
    <w:rsid w:val="00F270FF"/>
    <w:rsid w:val="00F27A50"/>
    <w:rsid w:val="00F32B28"/>
    <w:rsid w:val="00F405EC"/>
    <w:rsid w:val="00F418CA"/>
    <w:rsid w:val="00F4668D"/>
    <w:rsid w:val="00F46C31"/>
    <w:rsid w:val="00F5290E"/>
    <w:rsid w:val="00F529F2"/>
    <w:rsid w:val="00F5651C"/>
    <w:rsid w:val="00F625EC"/>
    <w:rsid w:val="00F6324C"/>
    <w:rsid w:val="00F72B01"/>
    <w:rsid w:val="00F81063"/>
    <w:rsid w:val="00F91C50"/>
    <w:rsid w:val="00F920C2"/>
    <w:rsid w:val="00F95876"/>
    <w:rsid w:val="00F9767F"/>
    <w:rsid w:val="00FA0AC6"/>
    <w:rsid w:val="00FA5824"/>
    <w:rsid w:val="00FA753E"/>
    <w:rsid w:val="00FB0AD6"/>
    <w:rsid w:val="00FB18B0"/>
    <w:rsid w:val="00FB41DD"/>
    <w:rsid w:val="00FB72F9"/>
    <w:rsid w:val="00FC19DE"/>
    <w:rsid w:val="00FC2EA2"/>
    <w:rsid w:val="00FC73BD"/>
    <w:rsid w:val="00FC79B2"/>
    <w:rsid w:val="00FD23EA"/>
    <w:rsid w:val="00FD4884"/>
    <w:rsid w:val="00FD6AD3"/>
    <w:rsid w:val="00FE2CC2"/>
    <w:rsid w:val="00FE2E6D"/>
    <w:rsid w:val="00FE6AF4"/>
    <w:rsid w:val="00FF5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AE505"/>
  <w15:chartTrackingRefBased/>
  <w15:docId w15:val="{BCDAF523-E8B1-49EC-959B-9A572516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28"/>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Calibri Light" w:hAnsi="Calibri Light"/>
      <w:color w:val="2E74B5"/>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link w:val="Footer"/>
    <w:rsid w:val="00F32B28"/>
    <w:rPr>
      <w:rFonts w:ascii="Times New Roman" w:eastAsia="Times New Roman" w:hAnsi="Times New Roman" w:cs="Times New Roman"/>
      <w:sz w:val="24"/>
      <w:szCs w:val="24"/>
      <w:lang w:eastAsia="lv-LV"/>
    </w:rPr>
  </w:style>
  <w:style w:type="paragraph" w:styleId="ListParagraph">
    <w:name w:val="List Paragraph"/>
    <w:aliases w:val="2,Strip,H&amp;P List Paragraph,Saraksta rindkopa,Saraksta rindkopa1,Akapit z listą BS,Bullet 1,Bullet Points,Dot pt,F5 List Paragraph,IFCL - List Paragraph,Indicator Text,List Paragraph Char Char Char,List Paragraph1,List Paragraph12"/>
    <w:basedOn w:val="Normal"/>
    <w:link w:val="ListParagraphChar"/>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link w:val="BodyText"/>
    <w:rsid w:val="009A7EE9"/>
    <w:rPr>
      <w:rFonts w:ascii="Times New Roman" w:eastAsia="Times New Roman" w:hAnsi="Times New Roman" w:cs="Times New Roman"/>
      <w:sz w:val="28"/>
      <w:szCs w:val="24"/>
    </w:rPr>
  </w:style>
  <w:style w:type="character" w:styleId="Hyperlink">
    <w:name w:val="Hyperlink"/>
    <w:uiPriority w:val="99"/>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link w:val="Heading2"/>
    <w:uiPriority w:val="9"/>
    <w:semiHidden/>
    <w:rsid w:val="009D36DE"/>
    <w:rPr>
      <w:rFonts w:ascii="Calibri Light" w:eastAsia="Times New Roman" w:hAnsi="Calibri Light" w:cs="Times New Roman"/>
      <w:color w:val="2E74B5"/>
      <w:sz w:val="26"/>
      <w:szCs w:val="26"/>
      <w:lang w:eastAsia="lv-LV"/>
    </w:rPr>
  </w:style>
  <w:style w:type="paragraph" w:styleId="NoSpacing">
    <w:name w:val="No Spacing"/>
    <w:uiPriority w:val="1"/>
    <w:qFormat/>
    <w:rsid w:val="009D36DE"/>
    <w:pPr>
      <w:suppressAutoHyphens/>
      <w:autoSpaceDN w:val="0"/>
      <w:textAlignment w:val="baseline"/>
    </w:pPr>
    <w:rPr>
      <w:sz w:val="22"/>
      <w:szCs w:val="22"/>
      <w:lang w:eastAsia="en-US"/>
    </w:rPr>
  </w:style>
  <w:style w:type="table" w:styleId="TableGridLight">
    <w:name w:val="Grid Table Light"/>
    <w:basedOn w:val="TableNormal"/>
    <w:uiPriority w:val="40"/>
    <w:rsid w:val="0035243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064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pPr>
    <w:rPr>
      <w:rFonts w:ascii="EUAlbertina" w:hAnsi="EUAlbertina" w:cs="EUAlbertina"/>
      <w:color w:val="000000"/>
      <w:sz w:val="24"/>
      <w:szCs w:val="24"/>
      <w:lang w:eastAsia="en-US"/>
    </w:rPr>
  </w:style>
  <w:style w:type="character" w:styleId="CommentReference">
    <w:name w:val="annotation reference"/>
    <w:uiPriority w:val="99"/>
    <w:semiHidden/>
    <w:unhideWhenUsed/>
    <w:rsid w:val="00D9355E"/>
    <w:rPr>
      <w:sz w:val="16"/>
      <w:szCs w:val="16"/>
    </w:rPr>
  </w:style>
  <w:style w:type="paragraph" w:styleId="CommentText">
    <w:name w:val="annotation text"/>
    <w:basedOn w:val="Normal"/>
    <w:link w:val="CommentTextChar"/>
    <w:uiPriority w:val="99"/>
    <w:semiHidden/>
    <w:unhideWhenUsed/>
    <w:rsid w:val="00D9355E"/>
    <w:rPr>
      <w:sz w:val="20"/>
      <w:szCs w:val="20"/>
    </w:rPr>
  </w:style>
  <w:style w:type="character" w:customStyle="1" w:styleId="CommentTextChar">
    <w:name w:val="Comment Text Char"/>
    <w:link w:val="CommentText"/>
    <w:uiPriority w:val="99"/>
    <w:semiHidden/>
    <w:rsid w:val="00D9355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9355E"/>
    <w:rPr>
      <w:b/>
      <w:bCs/>
    </w:rPr>
  </w:style>
  <w:style w:type="character" w:customStyle="1" w:styleId="CommentSubjectChar">
    <w:name w:val="Comment Subject Char"/>
    <w:link w:val="CommentSubject"/>
    <w:uiPriority w:val="99"/>
    <w:semiHidden/>
    <w:rsid w:val="00D9355E"/>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B47322"/>
    <w:rPr>
      <w:rFonts w:eastAsia="Calibri"/>
      <w:lang w:val="en-US" w:eastAsia="en-US"/>
    </w:rPr>
  </w:style>
  <w:style w:type="character" w:customStyle="1" w:styleId="ListParagraphChar">
    <w:name w:val="List Paragraph Char"/>
    <w:aliases w:val="2 Char,Strip Char,H&amp;P List Paragraph Char,Saraksta rindkopa Char,Saraksta rindkopa1 Char,Akapit z listą BS Char,Bullet 1 Char,Bullet Points Char,Dot pt Char,F5 List Paragraph Char,IFCL - List Paragraph Char,Indicator Text Char"/>
    <w:link w:val="ListParagraph"/>
    <w:uiPriority w:val="34"/>
    <w:qFormat/>
    <w:locked/>
    <w:rsid w:val="00C074A6"/>
    <w:rPr>
      <w:rFonts w:ascii="Times New Roman" w:eastAsia="Times New Roman" w:hAnsi="Times New Roman" w:cs="Times New Roman"/>
      <w:sz w:val="24"/>
      <w:szCs w:val="24"/>
      <w:lang w:eastAsia="lv-LV"/>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FE2E6D"/>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link w:val="FootnoteText"/>
    <w:uiPriority w:val="99"/>
    <w:rsid w:val="00FE2E6D"/>
    <w:rPr>
      <w:rFonts w:ascii="Times New Roman" w:eastAsia="Times New Roman" w:hAnsi="Times New Roman" w:cs="Times New Roman"/>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link w:val="Char2"/>
    <w:uiPriority w:val="99"/>
    <w:unhideWhenUsed/>
    <w:qFormat/>
    <w:rsid w:val="00FE2E6D"/>
    <w:rPr>
      <w:vertAlign w:val="superscript"/>
    </w:rPr>
  </w:style>
  <w:style w:type="paragraph" w:customStyle="1" w:styleId="Char2">
    <w:name w:val="Char2"/>
    <w:aliases w:val="Char Char Char Char"/>
    <w:basedOn w:val="Normal"/>
    <w:next w:val="Normal"/>
    <w:link w:val="FootnoteReference"/>
    <w:uiPriority w:val="99"/>
    <w:rsid w:val="00FE2E6D"/>
    <w:pPr>
      <w:spacing w:after="160" w:line="240" w:lineRule="exact"/>
      <w:jc w:val="both"/>
      <w:textAlignment w:val="baseline"/>
    </w:pPr>
    <w:rPr>
      <w:rFonts w:ascii="Calibri" w:eastAsia="Calibri" w:hAnsi="Calibr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25059764">
      <w:bodyDiv w:val="1"/>
      <w:marLeft w:val="0"/>
      <w:marRight w:val="0"/>
      <w:marTop w:val="0"/>
      <w:marBottom w:val="0"/>
      <w:divBdr>
        <w:top w:val="none" w:sz="0" w:space="0" w:color="auto"/>
        <w:left w:val="none" w:sz="0" w:space="0" w:color="auto"/>
        <w:bottom w:val="none" w:sz="0" w:space="0" w:color="auto"/>
        <w:right w:val="none" w:sz="0" w:space="0" w:color="auto"/>
      </w:divBdr>
    </w:div>
    <w:div w:id="757940385">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069571675">
      <w:bodyDiv w:val="1"/>
      <w:marLeft w:val="0"/>
      <w:marRight w:val="0"/>
      <w:marTop w:val="0"/>
      <w:marBottom w:val="0"/>
      <w:divBdr>
        <w:top w:val="none" w:sz="0" w:space="0" w:color="auto"/>
        <w:left w:val="none" w:sz="0" w:space="0" w:color="auto"/>
        <w:bottom w:val="none" w:sz="0" w:space="0" w:color="auto"/>
        <w:right w:val="none" w:sz="0" w:space="0" w:color="auto"/>
      </w:divBdr>
    </w:div>
    <w:div w:id="1069813662">
      <w:bodyDiv w:val="1"/>
      <w:marLeft w:val="0"/>
      <w:marRight w:val="0"/>
      <w:marTop w:val="0"/>
      <w:marBottom w:val="0"/>
      <w:divBdr>
        <w:top w:val="none" w:sz="0" w:space="0" w:color="auto"/>
        <w:left w:val="none" w:sz="0" w:space="0" w:color="auto"/>
        <w:bottom w:val="none" w:sz="0" w:space="0" w:color="auto"/>
        <w:right w:val="none" w:sz="0" w:space="0" w:color="auto"/>
      </w:divBdr>
    </w:div>
    <w:div w:id="1249845728">
      <w:bodyDiv w:val="1"/>
      <w:marLeft w:val="0"/>
      <w:marRight w:val="0"/>
      <w:marTop w:val="0"/>
      <w:marBottom w:val="0"/>
      <w:divBdr>
        <w:top w:val="none" w:sz="0" w:space="0" w:color="auto"/>
        <w:left w:val="none" w:sz="0" w:space="0" w:color="auto"/>
        <w:bottom w:val="none" w:sz="0" w:space="0" w:color="auto"/>
        <w:right w:val="none" w:sz="0" w:space="0" w:color="auto"/>
      </w:divBdr>
    </w:div>
    <w:div w:id="1350795054">
      <w:bodyDiv w:val="1"/>
      <w:marLeft w:val="0"/>
      <w:marRight w:val="0"/>
      <w:marTop w:val="0"/>
      <w:marBottom w:val="0"/>
      <w:divBdr>
        <w:top w:val="none" w:sz="0" w:space="0" w:color="auto"/>
        <w:left w:val="none" w:sz="0" w:space="0" w:color="auto"/>
        <w:bottom w:val="none" w:sz="0" w:space="0" w:color="auto"/>
        <w:right w:val="none" w:sz="0" w:space="0" w:color="auto"/>
      </w:divBdr>
    </w:div>
    <w:div w:id="1353914636">
      <w:bodyDiv w:val="1"/>
      <w:marLeft w:val="0"/>
      <w:marRight w:val="0"/>
      <w:marTop w:val="0"/>
      <w:marBottom w:val="0"/>
      <w:divBdr>
        <w:top w:val="none" w:sz="0" w:space="0" w:color="auto"/>
        <w:left w:val="none" w:sz="0" w:space="0" w:color="auto"/>
        <w:bottom w:val="none" w:sz="0" w:space="0" w:color="auto"/>
        <w:right w:val="none" w:sz="0" w:space="0" w:color="auto"/>
      </w:divBdr>
    </w:div>
    <w:div w:id="1838841549">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isc.gov.lv/lv/publikacijas-un-parskati/gadp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6284D-3AF7-4870-B1FB-14373E6C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1662</Words>
  <Characters>12385</Characters>
  <Application>Microsoft Office Word</Application>
  <DocSecurity>0</DocSecurity>
  <Lines>442</Lines>
  <Paragraphs>222</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Finanšu ministrija</Company>
  <LinksUpToDate>false</LinksUpToDate>
  <CharactersWithSpaces>13825</CharactersWithSpaces>
  <SharedDoc>false</SharedDoc>
  <HLinks>
    <vt:vector size="6" baseType="variant">
      <vt:variant>
        <vt:i4>720927</vt:i4>
      </vt:variant>
      <vt:variant>
        <vt:i4>0</vt:i4>
      </vt:variant>
      <vt:variant>
        <vt:i4>0</vt:i4>
      </vt:variant>
      <vt:variant>
        <vt:i4>5</vt:i4>
      </vt:variant>
      <vt:variant>
        <vt:lpwstr>https://www.visc.gov.lv/lv/publikacijas-un-parskati/gadp2019.pdf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Olita Augustovska</dc:creator>
  <cp:keywords/>
  <dc:description>zane.adijane@fm.gov.lv; 67095437</dc:description>
  <cp:lastModifiedBy>Dace Valte-Rancane</cp:lastModifiedBy>
  <cp:revision>7</cp:revision>
  <cp:lastPrinted>2020-08-13T09:48:00Z</cp:lastPrinted>
  <dcterms:created xsi:type="dcterms:W3CDTF">2021-08-25T16:11:00Z</dcterms:created>
  <dcterms:modified xsi:type="dcterms:W3CDTF">2021-08-26T11:33:00Z</dcterms:modified>
</cp:coreProperties>
</file>