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C29EC" w14:textId="54341626" w:rsidR="00FE56B2" w:rsidRPr="00166790" w:rsidRDefault="00FE56B2" w:rsidP="00FE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rīkojuma projekta </w:t>
      </w:r>
      <w:r w:rsidRPr="001202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lv-LV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Patentu valdes 2022. gada budžeta </w:t>
      </w:r>
      <w:r w:rsidRPr="001667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apstiprināšanu</w:t>
      </w:r>
      <w:r w:rsidRPr="001202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lv-LV"/>
        </w:rPr>
        <w:t>"</w:t>
      </w:r>
      <w:r w:rsidRPr="001667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</w:p>
    <w:p w14:paraId="20971899" w14:textId="77777777" w:rsidR="00120287" w:rsidRPr="008441D6" w:rsidRDefault="00120287" w:rsidP="00844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1"/>
        <w:gridCol w:w="5944"/>
      </w:tblGrid>
      <w:tr w:rsidR="003C6569" w:rsidRPr="008441D6" w14:paraId="66147EAC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FBCA3" w14:textId="77777777" w:rsidR="00655F2C" w:rsidRPr="008441D6" w:rsidRDefault="00E5323B" w:rsidP="008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3C6569" w:rsidRPr="008441D6" w14:paraId="42EBD3B9" w14:textId="77777777" w:rsidTr="00B227EB">
        <w:trPr>
          <w:tblCellSpacing w:w="15" w:type="dxa"/>
        </w:trPr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C74EF" w14:textId="77777777" w:rsidR="00E5323B" w:rsidRPr="008441D6" w:rsidRDefault="00E5323B" w:rsidP="0084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ED69A" w14:textId="389D46F9" w:rsidR="00E5323B" w:rsidRPr="008441D6" w:rsidRDefault="00051BDF" w:rsidP="007110C0">
            <w:pPr>
              <w:spacing w:after="0" w:line="240" w:lineRule="auto"/>
              <w:ind w:firstLine="411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6C262AC2" w14:textId="77777777" w:rsidR="00E5323B" w:rsidRPr="008441D6" w:rsidRDefault="00E5323B" w:rsidP="008441D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8441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1962"/>
        <w:gridCol w:w="6510"/>
      </w:tblGrid>
      <w:tr w:rsidR="003C6569" w:rsidRPr="008441D6" w14:paraId="238A9AC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34A6B" w14:textId="77777777" w:rsidR="00655F2C" w:rsidRPr="008441D6" w:rsidRDefault="00E5323B" w:rsidP="008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3C6569" w:rsidRPr="008441D6" w14:paraId="615DC7AC" w14:textId="77777777" w:rsidTr="00FE56B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F9437" w14:textId="77777777" w:rsidR="00655F2C" w:rsidRPr="008441D6" w:rsidRDefault="00E5323B" w:rsidP="00844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5BB00" w14:textId="77777777" w:rsidR="00E5323B" w:rsidRPr="008441D6" w:rsidRDefault="00E5323B" w:rsidP="00844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B5DE4" w14:textId="1FD53EC3" w:rsidR="00E5323B" w:rsidRPr="002D6D65" w:rsidRDefault="00FE56B2" w:rsidP="00C02D69">
            <w:pPr>
              <w:pStyle w:val="ListParagraph"/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56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Projekts izstrādāts, pamatojoties uz</w:t>
            </w:r>
            <w:r w:rsidR="005003C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003C3" w:rsidRPr="005003C3">
              <w:rPr>
                <w:rFonts w:ascii="Times New Roman" w:hAnsi="Times New Roman"/>
                <w:sz w:val="24"/>
                <w:szCs w:val="24"/>
              </w:rPr>
              <w:t>Likuma par budžetu un finanšu vadību</w:t>
            </w:r>
            <w:r w:rsidRPr="005003C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003C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(turpmāk – </w:t>
            </w:r>
            <w:r w:rsidRPr="00FE56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LBFV</w:t>
            </w:r>
            <w:r w:rsidR="005003C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FE56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41.</w:t>
            </w:r>
            <w:r w:rsidR="00AB6D5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E56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panta 1.</w:t>
            </w:r>
            <w:r w:rsidRPr="0074663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AB6D5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E56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daļu, kas no</w:t>
            </w:r>
            <w:r w:rsidR="00AB6D5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teic</w:t>
            </w:r>
            <w:r w:rsidRPr="00FE56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ka budžeta nefinansētu iestāžu nākamā gada budžeta projektus apstiprināšanai Ministru kabinetā iesniedz ministrijas (pārraudzības institūcijas) līdz kārtējā gada 1.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E56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septembrim, un Ministru kabinets tos apstiprina līdz kārtējā gada 15.</w:t>
            </w:r>
            <w:r w:rsidR="00AB6D5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E56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septembrim.</w:t>
            </w:r>
          </w:p>
        </w:tc>
      </w:tr>
      <w:tr w:rsidR="00FE56B2" w:rsidRPr="008441D6" w14:paraId="6FB4FAE3" w14:textId="77777777" w:rsidTr="00FE56B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1F523" w14:textId="77777777" w:rsidR="00FE56B2" w:rsidRPr="008441D6" w:rsidRDefault="00FE56B2" w:rsidP="00FE56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83010" w14:textId="13293F61" w:rsidR="00FE56B2" w:rsidRDefault="00FE56B2" w:rsidP="00FE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C23A6ED" w14:textId="77777777" w:rsidR="00FE56B2" w:rsidRPr="0090026B" w:rsidRDefault="00FE56B2" w:rsidP="00FE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F15E81A" w14:textId="77777777" w:rsidR="00FE56B2" w:rsidRPr="0090026B" w:rsidRDefault="00FE56B2" w:rsidP="00FE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1F3769" w14:textId="77777777" w:rsidR="00FE56B2" w:rsidRPr="0090026B" w:rsidRDefault="00FE56B2" w:rsidP="00FE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CD87E1" w14:textId="77777777" w:rsidR="00FE56B2" w:rsidRPr="0090026B" w:rsidRDefault="00FE56B2" w:rsidP="00FE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E55FA2E" w14:textId="77777777" w:rsidR="00FE56B2" w:rsidRPr="0090026B" w:rsidRDefault="00FE56B2" w:rsidP="00FE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EE335F" w14:textId="77777777" w:rsidR="00FE56B2" w:rsidRPr="0090026B" w:rsidRDefault="00FE56B2" w:rsidP="00FE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C31CEC2" w14:textId="77777777" w:rsidR="00FE56B2" w:rsidRPr="0090026B" w:rsidRDefault="00FE56B2" w:rsidP="00FE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241A35" w14:textId="77777777" w:rsidR="00FE56B2" w:rsidRPr="0090026B" w:rsidRDefault="00FE56B2" w:rsidP="00FE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DB51FD" w14:textId="77777777" w:rsidR="00FE56B2" w:rsidRPr="0090026B" w:rsidRDefault="00FE56B2" w:rsidP="00FE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AF8AEE" w14:textId="77777777" w:rsidR="00FE56B2" w:rsidRPr="0090026B" w:rsidRDefault="00FE56B2" w:rsidP="00FE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61A581" w14:textId="77777777" w:rsidR="00FE56B2" w:rsidRPr="0090026B" w:rsidRDefault="00FE56B2" w:rsidP="00FE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52A9AB" w14:textId="77777777" w:rsidR="00FE56B2" w:rsidRPr="0090026B" w:rsidRDefault="00FE56B2" w:rsidP="00FE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3183D31" w14:textId="77777777" w:rsidR="00FE56B2" w:rsidRPr="0090026B" w:rsidRDefault="00FE56B2" w:rsidP="00FE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AB09A2" w14:textId="77777777" w:rsidR="00FE56B2" w:rsidRPr="0090026B" w:rsidRDefault="00FE56B2" w:rsidP="00FE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46A07EF" w14:textId="77777777" w:rsidR="00FE56B2" w:rsidRPr="0090026B" w:rsidRDefault="00FE56B2" w:rsidP="00FE5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0713405" w14:textId="1F9D664B" w:rsidR="00FE56B2" w:rsidRPr="0090026B" w:rsidRDefault="00FE56B2" w:rsidP="00FE56B2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7555A3" w14:textId="662912D1" w:rsidR="00FE56B2" w:rsidRDefault="00FE56B2" w:rsidP="00FE56B2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4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Saskaņā ar </w:t>
            </w:r>
            <w:r w:rsidRPr="0044742B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2015. gada 15. decembra noteikumu Nr. 720 </w:t>
            </w:r>
            <w:r w:rsidR="00896377" w:rsidRPr="00896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44742B">
              <w:rPr>
                <w:rFonts w:ascii="Times New Roman" w:hAnsi="Times New Roman" w:cs="Times New Roman"/>
                <w:sz w:val="24"/>
                <w:szCs w:val="24"/>
              </w:rPr>
              <w:t>Patentu valdes nolikums</w:t>
            </w:r>
            <w:r w:rsidR="00896377" w:rsidRPr="00896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44742B">
              <w:rPr>
                <w:rFonts w:ascii="Times New Roman" w:hAnsi="Times New Roman" w:cs="Times New Roman"/>
                <w:sz w:val="24"/>
                <w:szCs w:val="24"/>
              </w:rPr>
              <w:t xml:space="preserve"> 12. punktu Patentu valdes darbību finansē no pašu ieņēmumiem par sniegtajiem</w:t>
            </w:r>
            <w:r w:rsidRPr="0087141F">
              <w:rPr>
                <w:rFonts w:ascii="Times New Roman" w:hAnsi="Times New Roman" w:cs="Times New Roman"/>
                <w:sz w:val="24"/>
                <w:szCs w:val="24"/>
              </w:rPr>
              <w:t xml:space="preserve"> maksas pakalpojumiem, citiem pašu ieņēmumiem, starptautisko organizāciju finanšu atskaitījumiem, ārvalstu finanšu palīdzības, ziedojumiem, dāvinājumiem un atsevišķu valsts pārvaldes uzdevumu veikšanai piešķirtas dotācijas no vispārējiem ieņēmumiem.</w:t>
            </w:r>
          </w:p>
          <w:p w14:paraId="6BC72756" w14:textId="77777777" w:rsidR="00FE56B2" w:rsidRDefault="00FE56B2" w:rsidP="00FE56B2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28A096" w14:textId="52D57B88" w:rsidR="00FE56B2" w:rsidRPr="00076DA1" w:rsidRDefault="00FE56B2" w:rsidP="00FE56B2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Šobrīd Patentu valdes 2021. gada budžetu nosaka Ministru kabineta 2020. gada 29.</w:t>
            </w:r>
            <w:r w:rsidR="00AB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76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septembra rīkojums Nr. 570 </w:t>
            </w:r>
            <w:r w:rsidR="00896377" w:rsidRPr="00896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076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Patentu valdes 2021. gada budžeta apstiprināšanu</w:t>
            </w:r>
            <w:r w:rsidR="00896377" w:rsidRPr="00896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076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64417EF" w14:textId="77777777" w:rsidR="00FE56B2" w:rsidRDefault="00FE56B2" w:rsidP="00FE56B2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F9EB9" w14:textId="62F0EF30" w:rsidR="00FE56B2" w:rsidRPr="004978AE" w:rsidRDefault="00FE56B2" w:rsidP="00FE56B2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8AE">
              <w:rPr>
                <w:rFonts w:ascii="Times New Roman" w:hAnsi="Times New Roman" w:cs="Times New Roman"/>
                <w:sz w:val="24"/>
                <w:szCs w:val="24"/>
              </w:rPr>
              <w:t>Atbilstoši LBFV 41. panta 1.</w:t>
            </w:r>
            <w:r w:rsidRPr="004978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978AE">
              <w:rPr>
                <w:rFonts w:ascii="Times New Roman" w:hAnsi="Times New Roman" w:cs="Times New Roman"/>
                <w:sz w:val="24"/>
                <w:szCs w:val="24"/>
              </w:rPr>
              <w:t xml:space="preserve"> daļai izstrādātais </w:t>
            </w:r>
            <w:r w:rsidR="00AB6D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978AE">
              <w:rPr>
                <w:rFonts w:ascii="Times New Roman" w:hAnsi="Times New Roman" w:cs="Times New Roman"/>
                <w:sz w:val="24"/>
                <w:szCs w:val="24"/>
              </w:rPr>
              <w:t>rojekts paredz, apstiprin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āt</w:t>
            </w:r>
            <w:r w:rsidRPr="004978AE">
              <w:rPr>
                <w:rFonts w:ascii="Times New Roman" w:hAnsi="Times New Roman" w:cs="Times New Roman"/>
                <w:sz w:val="24"/>
                <w:szCs w:val="24"/>
              </w:rPr>
              <w:t xml:space="preserve"> Patentu valdes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78AE">
              <w:rPr>
                <w:rFonts w:ascii="Times New Roman" w:hAnsi="Times New Roman" w:cs="Times New Roman"/>
                <w:sz w:val="24"/>
                <w:szCs w:val="24"/>
              </w:rPr>
              <w:t>. gada budžeta ieņēmum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4978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7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7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78AE">
              <w:rPr>
                <w:rFonts w:ascii="Times New Roman" w:hAnsi="Times New Roman" w:cs="Times New Roman"/>
                <w:sz w:val="24"/>
                <w:szCs w:val="24"/>
              </w:rPr>
              <w:t>534 </w:t>
            </w:r>
            <w:r w:rsidRPr="004978A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4978AE">
              <w:rPr>
                <w:rFonts w:ascii="Times New Roman" w:hAnsi="Times New Roman" w:cs="Times New Roman"/>
                <w:sz w:val="24"/>
                <w:szCs w:val="24"/>
              </w:rPr>
              <w:t xml:space="preserve"> apmērā un izdevum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4978A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7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7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78AE">
              <w:rPr>
                <w:rFonts w:ascii="Times New Roman" w:hAnsi="Times New Roman" w:cs="Times New Roman"/>
                <w:sz w:val="24"/>
                <w:szCs w:val="24"/>
              </w:rPr>
              <w:t>213 </w:t>
            </w:r>
            <w:r w:rsidRPr="004978A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4978AE">
              <w:rPr>
                <w:rFonts w:ascii="Times New Roman" w:hAnsi="Times New Roman" w:cs="Times New Roman"/>
                <w:sz w:val="24"/>
                <w:szCs w:val="24"/>
              </w:rPr>
              <w:t xml:space="preserve"> apmērā, tai skaitā izdevumu finansēšanai novirzot maksas pakalpojumu un citu pašu ieņēmumu naudas līdzekļu atlikumu uz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78AE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bookmarkStart w:id="0" w:name="_GoBack"/>
            <w:bookmarkEnd w:id="0"/>
            <w:r w:rsidRPr="004978AE">
              <w:rPr>
                <w:rFonts w:ascii="Times New Roman" w:hAnsi="Times New Roman" w:cs="Times New Roman"/>
                <w:sz w:val="24"/>
                <w:szCs w:val="24"/>
              </w:rPr>
              <w:t>gada 1. janvāri                       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78AE">
              <w:rPr>
                <w:rFonts w:ascii="Times New Roman" w:hAnsi="Times New Roman" w:cs="Times New Roman"/>
                <w:sz w:val="24"/>
                <w:szCs w:val="24"/>
              </w:rPr>
              <w:t>679 </w:t>
            </w:r>
            <w:r w:rsidRPr="004978AE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4978AE">
              <w:rPr>
                <w:rFonts w:ascii="Times New Roman" w:hAnsi="Times New Roman" w:cs="Times New Roman"/>
                <w:sz w:val="24"/>
                <w:szCs w:val="24"/>
              </w:rPr>
              <w:t xml:space="preserve"> apmērā.</w:t>
            </w:r>
          </w:p>
          <w:p w14:paraId="39090E84" w14:textId="77777777" w:rsidR="00FE56B2" w:rsidRPr="004978AE" w:rsidRDefault="00FE56B2" w:rsidP="00FE5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E9E05" w14:textId="77777777" w:rsidR="00FE56B2" w:rsidRDefault="00FE56B2" w:rsidP="00FE56B2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90">
              <w:rPr>
                <w:rFonts w:ascii="Times New Roman" w:hAnsi="Times New Roman" w:cs="Times New Roman"/>
                <w:sz w:val="24"/>
                <w:szCs w:val="24"/>
              </w:rPr>
              <w:t>Patentu valde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66790">
              <w:rPr>
                <w:rFonts w:ascii="Times New Roman" w:hAnsi="Times New Roman" w:cs="Times New Roman"/>
                <w:sz w:val="24"/>
                <w:szCs w:val="24"/>
              </w:rPr>
              <w:t>. gadā plāno:</w:t>
            </w:r>
          </w:p>
          <w:p w14:paraId="3380E4E8" w14:textId="77777777" w:rsidR="00FE56B2" w:rsidRPr="00166790" w:rsidRDefault="00FE56B2" w:rsidP="00FE56B2">
            <w:pPr>
              <w:pStyle w:val="NoSpacing"/>
              <w:numPr>
                <w:ilvl w:val="0"/>
                <w:numId w:val="5"/>
              </w:numPr>
              <w:jc w:val="both"/>
            </w:pPr>
            <w:r w:rsidRPr="00166790">
              <w:t>Resursus izdevumu segšanai 3 </w:t>
            </w:r>
            <w:r>
              <w:t>748</w:t>
            </w:r>
            <w:r w:rsidRPr="00166790">
              <w:t> </w:t>
            </w:r>
            <w:r>
              <w:t>534</w:t>
            </w:r>
            <w:r w:rsidRPr="00166790">
              <w:t> </w:t>
            </w:r>
            <w:r w:rsidRPr="00166790">
              <w:rPr>
                <w:i/>
              </w:rPr>
              <w:t xml:space="preserve">euro </w:t>
            </w:r>
            <w:r w:rsidRPr="00166790">
              <w:t>apmērā, t.sk. ieņēmumus no sniegtajiem maksas pakalpojumiem 3 </w:t>
            </w:r>
            <w:r>
              <w:t>298 885</w:t>
            </w:r>
            <w:r w:rsidRPr="00166790">
              <w:t> </w:t>
            </w:r>
            <w:r w:rsidRPr="00166790">
              <w:rPr>
                <w:i/>
              </w:rPr>
              <w:t>euro</w:t>
            </w:r>
            <w:r w:rsidRPr="004257CF">
              <w:rPr>
                <w:iCs/>
              </w:rPr>
              <w:t xml:space="preserve"> </w:t>
            </w:r>
            <w:r w:rsidRPr="00166790">
              <w:t xml:space="preserve">apmērā, ieņēmumus starptautiskās sadarbības ietvaros </w:t>
            </w:r>
            <w:r>
              <w:t>449 649</w:t>
            </w:r>
            <w:r w:rsidRPr="00166790">
              <w:rPr>
                <w:i/>
              </w:rPr>
              <w:t xml:space="preserve"> euro </w:t>
            </w:r>
            <w:r w:rsidRPr="00166790">
              <w:t>apmērā.</w:t>
            </w:r>
          </w:p>
          <w:p w14:paraId="72DA6FDF" w14:textId="77777777" w:rsidR="00FE56B2" w:rsidRPr="00166790" w:rsidRDefault="00FE56B2" w:rsidP="00FE56B2">
            <w:pPr>
              <w:pStyle w:val="NoSpacing"/>
              <w:numPr>
                <w:ilvl w:val="0"/>
                <w:numId w:val="5"/>
              </w:numPr>
              <w:ind w:left="714" w:hanging="357"/>
              <w:jc w:val="both"/>
            </w:pPr>
            <w:r w:rsidRPr="00166790">
              <w:t xml:space="preserve">Izdevumus </w:t>
            </w:r>
            <w:r>
              <w:t>4 266 213</w:t>
            </w:r>
            <w:r w:rsidRPr="00166790">
              <w:t> </w:t>
            </w:r>
            <w:r w:rsidRPr="00166790">
              <w:rPr>
                <w:i/>
              </w:rPr>
              <w:t>euro</w:t>
            </w:r>
            <w:r w:rsidRPr="004257CF">
              <w:rPr>
                <w:iCs/>
              </w:rPr>
              <w:t xml:space="preserve"> </w:t>
            </w:r>
            <w:r w:rsidRPr="00166790">
              <w:t>apmērā, t.sk. atlīdzības izdevumus 1</w:t>
            </w:r>
            <w:r>
              <w:t> 623 654</w:t>
            </w:r>
            <w:r w:rsidRPr="00166790">
              <w:t> </w:t>
            </w:r>
            <w:r w:rsidRPr="00166790">
              <w:rPr>
                <w:i/>
              </w:rPr>
              <w:t>euro</w:t>
            </w:r>
            <w:r w:rsidRPr="004257CF">
              <w:rPr>
                <w:iCs/>
              </w:rPr>
              <w:t xml:space="preserve"> </w:t>
            </w:r>
            <w:r w:rsidRPr="00166790">
              <w:t>apmērā, preču un pakalpojumu izdevumus 1</w:t>
            </w:r>
            <w:r>
              <w:t> 212 629</w:t>
            </w:r>
            <w:r w:rsidRPr="00166790">
              <w:t> </w:t>
            </w:r>
            <w:r w:rsidRPr="00166790">
              <w:rPr>
                <w:i/>
              </w:rPr>
              <w:t>euro</w:t>
            </w:r>
            <w:r w:rsidRPr="00166790">
              <w:t xml:space="preserve"> apmērā, izdevumus kārtējiem maksājumiem Eiropas Savienības budžetā un starptautiskai sadarbībai 1 </w:t>
            </w:r>
            <w:r>
              <w:t>153</w:t>
            </w:r>
            <w:r w:rsidRPr="00166790">
              <w:t> </w:t>
            </w:r>
            <w:r>
              <w:t>930</w:t>
            </w:r>
            <w:r w:rsidRPr="00166790">
              <w:t> </w:t>
            </w:r>
            <w:r w:rsidRPr="00166790">
              <w:rPr>
                <w:i/>
              </w:rPr>
              <w:t>euro</w:t>
            </w:r>
            <w:r w:rsidRPr="00166790">
              <w:t xml:space="preserve"> apmērā, uzturēšanas izdevumu transfertus </w:t>
            </w:r>
            <w:r>
              <w:t>25</w:t>
            </w:r>
            <w:r w:rsidRPr="00166790">
              <w:t>0 000 </w:t>
            </w:r>
            <w:r w:rsidRPr="00166790">
              <w:rPr>
                <w:i/>
              </w:rPr>
              <w:t>euro</w:t>
            </w:r>
            <w:r w:rsidRPr="00166790">
              <w:t xml:space="preserve"> apmērā un kapitālos izdevumus </w:t>
            </w:r>
            <w:r>
              <w:t>26 </w:t>
            </w:r>
            <w:r w:rsidRPr="00166790">
              <w:t>000 </w:t>
            </w:r>
            <w:r w:rsidRPr="00166790">
              <w:rPr>
                <w:i/>
              </w:rPr>
              <w:t>euro</w:t>
            </w:r>
            <w:r w:rsidRPr="00166790">
              <w:t xml:space="preserve"> apmērā.</w:t>
            </w:r>
          </w:p>
          <w:p w14:paraId="07FB0792" w14:textId="77777777" w:rsidR="00FE56B2" w:rsidRDefault="00FE56B2" w:rsidP="00FE56B2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9A17F" w14:textId="5014FC06" w:rsidR="00FE56B2" w:rsidRDefault="00FE56B2" w:rsidP="00FE56B2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90">
              <w:rPr>
                <w:rFonts w:ascii="Times New Roman" w:hAnsi="Times New Roman" w:cs="Times New Roman"/>
                <w:sz w:val="24"/>
                <w:szCs w:val="24"/>
              </w:rPr>
              <w:t>Salīdzinājumā ar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66790">
              <w:rPr>
                <w:rFonts w:ascii="Times New Roman" w:hAnsi="Times New Roman" w:cs="Times New Roman"/>
                <w:sz w:val="24"/>
                <w:szCs w:val="24"/>
              </w:rPr>
              <w:t xml:space="preserve">. gadu, </w:t>
            </w:r>
            <w:r w:rsidR="00AB6D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66790">
              <w:rPr>
                <w:rFonts w:ascii="Times New Roman" w:hAnsi="Times New Roman" w:cs="Times New Roman"/>
                <w:sz w:val="24"/>
                <w:szCs w:val="24"/>
              </w:rPr>
              <w:t>rojektā paredzētas izmaiņas:</w:t>
            </w:r>
          </w:p>
          <w:p w14:paraId="5E35481F" w14:textId="5EF3F31A" w:rsidR="00FE56B2" w:rsidRPr="008908B2" w:rsidRDefault="00FE56B2" w:rsidP="00FE56B2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Preču un pakalpojumu izdevum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908B2">
              <w:rPr>
                <w:rFonts w:ascii="Times New Roman" w:hAnsi="Times New Roman" w:cs="Times New Roman"/>
                <w:sz w:val="24"/>
                <w:szCs w:val="24"/>
              </w:rPr>
              <w:t xml:space="preserve"> palielinā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jums</w:t>
            </w:r>
            <w:r w:rsidRPr="008908B2">
              <w:rPr>
                <w:rFonts w:ascii="Times New Roman" w:hAnsi="Times New Roman" w:cs="Times New Roman"/>
                <w:sz w:val="24"/>
                <w:szCs w:val="24"/>
              </w:rPr>
              <w:t xml:space="preserve"> par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08B2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Pr="008908B2">
              <w:rPr>
                <w:rFonts w:ascii="Times New Roman" w:hAnsi="Times New Roman" w:cs="Times New Roman"/>
                <w:i/>
                <w:sz w:val="24"/>
                <w:szCs w:val="24"/>
              </w:rPr>
              <w:t> euro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08B2">
              <w:rPr>
                <w:rFonts w:ascii="Times New Roman" w:hAnsi="Times New Roman" w:cs="Times New Roman"/>
                <w:sz w:val="24"/>
                <w:szCs w:val="24"/>
              </w:rPr>
              <w:t xml:space="preserve">galvenokārt saistīts ar jaunas grāmatas izdošanu un grāmatas </w:t>
            </w:r>
            <w:r w:rsidR="00896377" w:rsidRPr="00896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8908B2">
              <w:rPr>
                <w:rFonts w:ascii="Times New Roman" w:hAnsi="Times New Roman" w:cs="Times New Roman"/>
                <w:sz w:val="24"/>
                <w:szCs w:val="24"/>
              </w:rPr>
              <w:t>Ceļš uz izcilību. Latvijas izgudrotāji 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08B2">
              <w:rPr>
                <w:rFonts w:ascii="Times New Roman" w:hAnsi="Times New Roman" w:cs="Times New Roman"/>
                <w:sz w:val="24"/>
                <w:szCs w:val="24"/>
              </w:rPr>
              <w:t>ulē</w:t>
            </w:r>
            <w:r w:rsidR="00896377" w:rsidRPr="008963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890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8B2">
              <w:rPr>
                <w:rFonts w:ascii="Times New Roman" w:hAnsi="Times New Roman" w:cs="Times New Roman"/>
                <w:sz w:val="24"/>
                <w:szCs w:val="24"/>
              </w:rPr>
              <w:t>papildtirāžu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Pr="008908B2">
              <w:rPr>
                <w:rFonts w:ascii="Times New Roman" w:hAnsi="Times New Roman" w:cs="Times New Roman"/>
                <w:sz w:val="24"/>
                <w:szCs w:val="24"/>
              </w:rPr>
              <w:t>ā arī palielināti izdevumi par datortehnikas un serveru apkalpošanu un administrēšanu, Doclogix lietvedības programmatūras papildinājumiem, iestādes biznesa sistēmu uzlabojumiem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8908B2">
              <w:rPr>
                <w:rFonts w:ascii="Times New Roman" w:hAnsi="Times New Roman" w:cs="Times New Roman"/>
                <w:sz w:val="24"/>
                <w:szCs w:val="24"/>
              </w:rPr>
              <w:t xml:space="preserve"> papildinājumiem.</w:t>
            </w:r>
          </w:p>
          <w:p w14:paraId="3D1CB5F0" w14:textId="77777777" w:rsidR="00FE56B2" w:rsidRDefault="00FE56B2" w:rsidP="00FE5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C8884" w14:textId="77777777" w:rsidR="00FE56B2" w:rsidRDefault="00FE56B2" w:rsidP="00FE56B2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90">
              <w:rPr>
                <w:rFonts w:ascii="Times New Roman" w:hAnsi="Times New Roman" w:cs="Times New Roman"/>
                <w:sz w:val="24"/>
                <w:szCs w:val="24"/>
              </w:rPr>
              <w:t xml:space="preserve">Starptautiskās sadarbības izdevumi Latvijas maksājuma daļas veikšanai Eiropas patentu iestādei palielinās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7 330 </w:t>
            </w:r>
            <w:r w:rsidRPr="00166790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166790">
              <w:rPr>
                <w:rFonts w:ascii="Times New Roman" w:hAnsi="Times New Roman" w:cs="Times New Roman"/>
                <w:sz w:val="24"/>
                <w:szCs w:val="24"/>
              </w:rPr>
              <w:t>, jo</w:t>
            </w:r>
            <w:r w:rsidRPr="00B94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C9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katru gadu pieaug </w:t>
            </w:r>
            <w:r w:rsidRPr="00B94C9D">
              <w:rPr>
                <w:rFonts w:ascii="Times New Roman" w:hAnsi="Times New Roman"/>
                <w:sz w:val="24"/>
                <w:szCs w:val="24"/>
              </w:rPr>
              <w:t>Eiropas patentu ikgadējās uzturēšanas gada maksas</w:t>
            </w:r>
            <w:r>
              <w:rPr>
                <w:rFonts w:ascii="Times New Roman" w:hAnsi="Times New Roman"/>
                <w:sz w:val="24"/>
                <w:szCs w:val="24"/>
              </w:rPr>
              <w:t>, p</w:t>
            </w:r>
            <w:r w:rsidRPr="00B94C9D">
              <w:rPr>
                <w:rFonts w:ascii="Times New Roman" w:hAnsi="Times New Roman"/>
                <w:sz w:val="24"/>
                <w:szCs w:val="24"/>
              </w:rPr>
              <w:t>amatojoties uz 1973. gada 5. oktobra Konvencijas par Eiropas patentu piešķiršanu 39. panta pirmo daļu un Eiropas Patentu organizācijas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94C9D">
              <w:rPr>
                <w:rFonts w:ascii="Times New Roman" w:hAnsi="Times New Roman"/>
                <w:sz w:val="24"/>
                <w:szCs w:val="24"/>
              </w:rPr>
              <w:t xml:space="preserve">(EPO) Administratīvās padomes 1984. gada 8. jūnija lēmumu, kas noteic, </w:t>
            </w:r>
            <w:r>
              <w:rPr>
                <w:rFonts w:ascii="Times New Roman" w:hAnsi="Times New Roman"/>
                <w:sz w:val="24"/>
                <w:szCs w:val="24"/>
              </w:rPr>
              <w:t>ka Eiropas Patentu iestādei (EPI</w:t>
            </w:r>
            <w:r w:rsidRPr="00B94C9D">
              <w:rPr>
                <w:rFonts w:ascii="Times New Roman" w:hAnsi="Times New Roman"/>
                <w:sz w:val="24"/>
                <w:szCs w:val="24"/>
              </w:rPr>
              <w:t>) pārskaitāmi 50 % no Eiropas patentu ik</w:t>
            </w:r>
            <w:r>
              <w:rPr>
                <w:rFonts w:ascii="Times New Roman" w:hAnsi="Times New Roman"/>
                <w:sz w:val="24"/>
                <w:szCs w:val="24"/>
              </w:rPr>
              <w:t>gadējās uzturēšanas gada maksām.</w:t>
            </w:r>
          </w:p>
          <w:p w14:paraId="718DD8A3" w14:textId="77777777" w:rsidR="00FE56B2" w:rsidRPr="00166790" w:rsidRDefault="00FE56B2" w:rsidP="00FE5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CD741" w14:textId="5015481F" w:rsidR="00FE56B2" w:rsidRPr="00166790" w:rsidRDefault="00FE56B2" w:rsidP="00FE56B2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90">
              <w:rPr>
                <w:rFonts w:ascii="Times New Roman" w:hAnsi="Times New Roman" w:cs="Times New Roman"/>
                <w:sz w:val="24"/>
                <w:szCs w:val="24"/>
              </w:rPr>
              <w:t xml:space="preserve">Kapitālie izdevumi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samazināti</w:t>
            </w:r>
            <w:r w:rsidRPr="00166790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  <w:r w:rsidRPr="001667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6790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2021. gadā veikts pēdējais maksājums par</w:t>
            </w:r>
            <w:r w:rsidRPr="0016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66790">
              <w:rPr>
                <w:rFonts w:ascii="Times New Roman" w:hAnsi="Times New Roman" w:cs="Times New Roman"/>
                <w:sz w:val="24"/>
                <w:szCs w:val="24"/>
              </w:rPr>
              <w:t>atentu informācijas sistēmas izstrādi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kas nodota ekspluatācijā 2020. gadā. 2022.</w:t>
            </w:r>
            <w:r w:rsidR="00AB6D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gadā plānota jaunas datortehnikas iegāde.</w:t>
            </w:r>
          </w:p>
          <w:p w14:paraId="0C9AC424" w14:textId="77777777" w:rsidR="00FE56B2" w:rsidRPr="00166790" w:rsidRDefault="00FE56B2" w:rsidP="00FE5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33F4B" w14:textId="77777777" w:rsidR="00FE56B2" w:rsidRDefault="00FE56B2" w:rsidP="00FE56B2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90">
              <w:rPr>
                <w:rFonts w:ascii="Times New Roman" w:hAnsi="Times New Roman" w:cs="Times New Roman"/>
                <w:sz w:val="24"/>
                <w:szCs w:val="24"/>
              </w:rPr>
              <w:t>Projekts paredz, ka saskaņā ar LBFV 6.</w:t>
            </w:r>
            <w:r w:rsidRPr="001667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66790">
              <w:rPr>
                <w:rFonts w:ascii="Times New Roman" w:hAnsi="Times New Roman" w:cs="Times New Roman"/>
                <w:sz w:val="24"/>
                <w:szCs w:val="24"/>
              </w:rPr>
              <w:t xml:space="preserve"> panta piekto daļu Patentu valde kā budžeta nefinansētā iestāde kārtējā gada līdzekļu atlikumu, </w:t>
            </w:r>
            <w:r w:rsidRPr="00166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kas </w:t>
            </w:r>
            <w:r w:rsidRPr="00166790">
              <w:rPr>
                <w:rFonts w:ascii="Times New Roman" w:hAnsi="Times New Roman" w:cs="Times New Roman"/>
                <w:sz w:val="24"/>
                <w:szCs w:val="24"/>
              </w:rPr>
              <w:t>radies no ieņēmumiem par sniegtajiem maksas pakalpojumiem un citiem pašu ieņēmumiem, izmantos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6790">
              <w:rPr>
                <w:rFonts w:ascii="Times New Roman" w:hAnsi="Times New Roman" w:cs="Times New Roman"/>
                <w:sz w:val="24"/>
                <w:szCs w:val="24"/>
              </w:rPr>
              <w:t xml:space="preserve">. gadā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67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6790">
              <w:rPr>
                <w:rFonts w:ascii="Times New Roman" w:hAnsi="Times New Roman" w:cs="Times New Roman"/>
                <w:sz w:val="24"/>
                <w:szCs w:val="24"/>
              </w:rPr>
              <w:t>apmērā šādu pasākumu nodrošināšanai:</w:t>
            </w:r>
          </w:p>
          <w:p w14:paraId="027FEC27" w14:textId="4DD22588" w:rsidR="00FE56B2" w:rsidRDefault="00FE56B2" w:rsidP="00FE56B2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Pr="001C4F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Pr="001C4F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4F0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C4F0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963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nformācijas tehnoloģiju pakalpojumiem, lai nodrošinātu </w:t>
            </w:r>
            <w:r w:rsidRPr="008908B2">
              <w:rPr>
                <w:rFonts w:ascii="Times New Roman" w:hAnsi="Times New Roman" w:cs="Times New Roman"/>
                <w:sz w:val="24"/>
                <w:szCs w:val="24"/>
              </w:rPr>
              <w:t>datortehnikas un serveru apkalpošanu un administrēšanu, Doclogix lietvedības programmatūras papildinājumiem, iestādes biznesa sistēmu uzlabojumiem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8908B2">
              <w:rPr>
                <w:rFonts w:ascii="Times New Roman" w:hAnsi="Times New Roman" w:cs="Times New Roman"/>
                <w:sz w:val="24"/>
                <w:szCs w:val="24"/>
              </w:rPr>
              <w:t xml:space="preserve"> papildinājumiem.</w:t>
            </w:r>
          </w:p>
          <w:p w14:paraId="009347B9" w14:textId="6526C5C5" w:rsidR="00FE56B2" w:rsidRPr="00BE7321" w:rsidRDefault="00FE56B2" w:rsidP="00FE56B2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21">
              <w:rPr>
                <w:rFonts w:ascii="Times New Roman" w:hAnsi="Times New Roman" w:cs="Times New Roman"/>
                <w:sz w:val="24"/>
                <w:szCs w:val="24"/>
              </w:rPr>
              <w:t>113 122 </w:t>
            </w:r>
            <w:proofErr w:type="spellStart"/>
            <w:r w:rsidRPr="00BE7321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BE73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963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atentmeklējumiem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E95A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turpin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</w:t>
            </w:r>
            <w:r w:rsidRPr="00E95A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 pilotprojektu, kas nodrošina nacionālā patenta pieteicējiem iespēju saņemt bezmaksas </w:t>
            </w:r>
            <w:proofErr w:type="spellStart"/>
            <w:r w:rsidRPr="00E95A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patentmeklējumu</w:t>
            </w:r>
            <w:proofErr w:type="spellEnd"/>
            <w:r w:rsidRPr="00E95A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un eksperta atzinumu par attiecīgā izgudrojuma patentspēju no vadošās institūcijas pasaulē Eiropas Patentu iestādes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5A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(EPI), nodrošināt atbalstu Patentu kooperācijas līgumu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5A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(PCT) pieteikumu iesniegšanai, atmaksājot samaksāto maksu par starptautiskā pieteikuma iesniegšanu, sniegt atbalstu Eiropas patentu pieteikumu iesniegšanai, atmaksājot samaksāto maksu par patenta pieteikuma ekspertīzi atbilstoši Eiropas Patentu iestādes cenrādim.</w:t>
            </w:r>
          </w:p>
          <w:p w14:paraId="2D33367D" w14:textId="77777777" w:rsidR="00FE56B2" w:rsidRPr="001C4F08" w:rsidRDefault="00FE56B2" w:rsidP="00FE56B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8">
              <w:rPr>
                <w:rFonts w:ascii="Times New Roman" w:hAnsi="Times New Roman" w:cs="Times New Roman"/>
                <w:sz w:val="24"/>
                <w:szCs w:val="24"/>
              </w:rPr>
              <w:t>250 000 </w:t>
            </w:r>
            <w:r w:rsidRPr="001C4F0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8B5381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C4F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F08">
              <w:rPr>
                <w:rFonts w:ascii="Times New Roman" w:hAnsi="Times New Roman" w:cs="Times New Roman"/>
                <w:sz w:val="24"/>
                <w:szCs w:val="24"/>
              </w:rPr>
              <w:t>budžeta iestāžu uzturēšanas transferti, lai galvenokārt nodrošinātu ar Patentu valdes darbību saistītās centralizētās infrastruktūras daļēju uzturēšanu.</w:t>
            </w:r>
          </w:p>
          <w:p w14:paraId="34BA7205" w14:textId="20BE1F51" w:rsidR="00FE56B2" w:rsidRPr="00F72C49" w:rsidRDefault="00FE56B2" w:rsidP="00FE56B2">
            <w:pPr>
              <w:tabs>
                <w:tab w:val="left" w:pos="3870"/>
              </w:tabs>
              <w:spacing w:after="0" w:line="240" w:lineRule="auto"/>
              <w:ind w:firstLine="3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4F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4FE8">
              <w:rPr>
                <w:rFonts w:ascii="Times New Roman" w:hAnsi="Times New Roman" w:cs="Times New Roman"/>
                <w:sz w:val="24"/>
                <w:szCs w:val="24"/>
              </w:rPr>
              <w:t xml:space="preserve">. gada Patentu valdes budžetā Rūpnieciskā īpašuma apelācijas padomes darbības nodrošināšanai paredzēts novirzīt </w:t>
            </w:r>
            <w:r w:rsidRPr="00600F42">
              <w:rPr>
                <w:rFonts w:ascii="Times New Roman" w:hAnsi="Times New Roman" w:cs="Times New Roman"/>
                <w:sz w:val="24"/>
                <w:szCs w:val="24"/>
              </w:rPr>
              <w:t>125 392 </w:t>
            </w:r>
            <w:r w:rsidRPr="00774F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r w:rsidRPr="00774FE8">
              <w:rPr>
                <w:rFonts w:ascii="Times New Roman" w:hAnsi="Times New Roman" w:cs="Times New Roman"/>
                <w:sz w:val="24"/>
                <w:szCs w:val="24"/>
              </w:rPr>
              <w:t> (atlīdzība).</w:t>
            </w:r>
          </w:p>
        </w:tc>
      </w:tr>
      <w:tr w:rsidR="00FE56B2" w:rsidRPr="008441D6" w14:paraId="08BE2AA5" w14:textId="77777777" w:rsidTr="00FE56B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9D057" w14:textId="77777777" w:rsidR="00FE56B2" w:rsidRPr="008441D6" w:rsidRDefault="00FE56B2" w:rsidP="00FE56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A4AD5" w14:textId="77777777" w:rsidR="00FE56B2" w:rsidRPr="008441D6" w:rsidRDefault="00FE56B2" w:rsidP="00FE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5B42E" w14:textId="27E9436F" w:rsidR="00FE56B2" w:rsidRPr="008441D6" w:rsidRDefault="00FE56B2" w:rsidP="00FE56B2">
            <w:pPr>
              <w:spacing w:after="0" w:line="240" w:lineRule="auto"/>
              <w:ind w:firstLine="367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Tieslietu ministrija un </w:t>
            </w:r>
            <w:r w:rsidRPr="00844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Patentu valde.</w:t>
            </w:r>
          </w:p>
        </w:tc>
      </w:tr>
      <w:tr w:rsidR="00FE56B2" w:rsidRPr="008441D6" w14:paraId="62BC81DE" w14:textId="77777777" w:rsidTr="00FE56B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6BF02" w14:textId="77777777" w:rsidR="00FE56B2" w:rsidRPr="008441D6" w:rsidRDefault="00FE56B2" w:rsidP="00FE56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A52A5" w14:textId="77777777" w:rsidR="00FE56B2" w:rsidRPr="008441D6" w:rsidRDefault="00FE56B2" w:rsidP="00FE5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15025" w14:textId="448C7343" w:rsidR="00FE56B2" w:rsidRPr="008441D6" w:rsidRDefault="00FE56B2" w:rsidP="00FE56B2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56B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Projekta īstenošanu Patentu valde nodrošinās no ieņēmumiem par maksas pakalpojumiem un citiem pašu ieņēmumiem.</w:t>
            </w:r>
          </w:p>
        </w:tc>
      </w:tr>
    </w:tbl>
    <w:p w14:paraId="74CF072C" w14:textId="77777777" w:rsidR="00E5323B" w:rsidRPr="008441D6" w:rsidRDefault="00E5323B" w:rsidP="008441D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8441D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C6569" w:rsidRPr="008441D6" w14:paraId="222ED21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327E8" w14:textId="1F8AEF40" w:rsidR="00FE56B2" w:rsidRPr="008441D6" w:rsidRDefault="00FE56B2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66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E56B2" w:rsidRPr="008441D6" w14:paraId="2455F389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F9E3B" w14:textId="181049E3" w:rsidR="00FE56B2" w:rsidRPr="008441D6" w:rsidRDefault="00FE56B2" w:rsidP="00FE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10B9FDC" w14:textId="6289F38B" w:rsidR="00635199" w:rsidRPr="008441D6" w:rsidRDefault="00635199" w:rsidP="008441D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C6569" w:rsidRPr="008441D6" w14:paraId="066BC3B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684A8" w14:textId="77777777" w:rsidR="00655F2C" w:rsidRPr="008441D6" w:rsidRDefault="00E5323B" w:rsidP="008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95EEB" w:rsidRPr="008441D6" w14:paraId="15C3C4EF" w14:textId="77777777" w:rsidTr="00A95EEB">
        <w:trPr>
          <w:trHeight w:val="90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06DDE" w14:textId="3246EC8C" w:rsidR="00A95EEB" w:rsidRPr="008441D6" w:rsidRDefault="009F51CD" w:rsidP="008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</w:t>
            </w:r>
            <w:r w:rsidR="00A95EEB" w:rsidRPr="008441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1266D2FA" w14:textId="44728048" w:rsidR="00E5323B" w:rsidRPr="008441D6" w:rsidRDefault="00E5323B" w:rsidP="008441D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499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46"/>
      </w:tblGrid>
      <w:tr w:rsidR="00A350D1" w:rsidRPr="008441D6" w14:paraId="7AEA5B67" w14:textId="77777777" w:rsidTr="00A350D1">
        <w:trPr>
          <w:trHeight w:val="2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8FFC4" w14:textId="3811BEE8" w:rsidR="00A350D1" w:rsidRPr="008441D6" w:rsidRDefault="00A350D1" w:rsidP="00A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IV</w:t>
            </w:r>
            <w:r w:rsidRPr="008441D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. Tiesību akta projekta ietekme uz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spēkā esošo tiesību normu sistēmu</w:t>
            </w:r>
          </w:p>
        </w:tc>
      </w:tr>
      <w:tr w:rsidR="00A350D1" w:rsidRPr="008441D6" w14:paraId="162A7093" w14:textId="77777777" w:rsidTr="00A350D1">
        <w:trPr>
          <w:trHeight w:val="26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AB2A4" w14:textId="752D7BBC" w:rsidR="00A350D1" w:rsidRPr="008441D6" w:rsidRDefault="00A350D1" w:rsidP="00A3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5582AFB" w14:textId="7C871764" w:rsidR="00E5323B" w:rsidRPr="008441D6" w:rsidRDefault="00E5323B" w:rsidP="008441D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C6569" w:rsidRPr="008441D6" w14:paraId="6C89875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5CEC1" w14:textId="77777777" w:rsidR="00655F2C" w:rsidRPr="008441D6" w:rsidRDefault="00E5323B" w:rsidP="008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D5CD2" w:rsidRPr="008441D6" w14:paraId="426DBC30" w14:textId="77777777" w:rsidTr="005D5CD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89F8C" w14:textId="09D35003" w:rsidR="005D5CD2" w:rsidRPr="008441D6" w:rsidRDefault="009F51CD" w:rsidP="008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</w:t>
            </w:r>
            <w:r w:rsidR="005D5CD2" w:rsidRPr="00844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6F3ABCA3" w14:textId="39E3A45B" w:rsidR="00C45CCA" w:rsidRPr="008441D6" w:rsidRDefault="00C45CCA" w:rsidP="008441D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45CCA" w:rsidRPr="008441D6" w14:paraId="7B48D590" w14:textId="77777777" w:rsidTr="00E53D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3B5F9" w14:textId="77777777" w:rsidR="00C45CCA" w:rsidRPr="008441D6" w:rsidRDefault="00C45CCA" w:rsidP="008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896377" w:rsidRPr="008441D6" w14:paraId="40374A69" w14:textId="77777777" w:rsidTr="00E53D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8D52F" w14:textId="23EF050B" w:rsidR="00896377" w:rsidRPr="008441D6" w:rsidRDefault="00896377" w:rsidP="008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DA07EFB" w14:textId="77777777" w:rsidR="00C45CCA" w:rsidRPr="008441D6" w:rsidRDefault="00C45CCA" w:rsidP="008441D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C6569" w:rsidRPr="008441D6" w14:paraId="53A7B6A4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BC029" w14:textId="77777777" w:rsidR="00655F2C" w:rsidRPr="008441D6" w:rsidRDefault="00E5323B" w:rsidP="008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F5279" w:rsidRPr="008441D6" w14:paraId="73A9CE54" w14:textId="77777777" w:rsidTr="006F527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691EF" w14:textId="77777777" w:rsidR="006F5279" w:rsidRPr="008441D6" w:rsidRDefault="006F5279" w:rsidP="00844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96E4A" w14:textId="77777777" w:rsidR="006F5279" w:rsidRPr="008441D6" w:rsidRDefault="006F5279" w:rsidP="00844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8FF60" w14:textId="737C0ABC" w:rsidR="006F5279" w:rsidRPr="008441D6" w:rsidRDefault="006F647C" w:rsidP="007110C0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Patentu valde</w:t>
            </w:r>
            <w:r w:rsidR="006F5279" w:rsidRPr="00844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6F5279" w:rsidRPr="008441D6" w14:paraId="3C303A46" w14:textId="77777777" w:rsidTr="006F527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D5F28" w14:textId="77777777" w:rsidR="006F5279" w:rsidRPr="008441D6" w:rsidRDefault="006F5279" w:rsidP="00844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85813" w14:textId="77777777" w:rsidR="006F5279" w:rsidRPr="008441D6" w:rsidRDefault="006F5279" w:rsidP="00844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8441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7A2E0" w14:textId="7D760583" w:rsidR="006F5279" w:rsidRPr="008441D6" w:rsidRDefault="00896377" w:rsidP="007110C0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 neietekmēs Patentu valdes funkciju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1667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apjomu vai institucionālo struktūru.</w:t>
            </w:r>
          </w:p>
        </w:tc>
      </w:tr>
      <w:tr w:rsidR="006F5279" w:rsidRPr="008441D6" w14:paraId="523B1DBA" w14:textId="77777777" w:rsidTr="006F527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87389" w14:textId="77777777" w:rsidR="006F5279" w:rsidRPr="008441D6" w:rsidRDefault="006F5279" w:rsidP="00844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51C06" w14:textId="77777777" w:rsidR="006F5279" w:rsidRPr="008441D6" w:rsidRDefault="006F5279" w:rsidP="008441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0D011" w14:textId="77777777" w:rsidR="006F5279" w:rsidRPr="008441D6" w:rsidRDefault="006F5279" w:rsidP="007110C0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44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40F044A8" w14:textId="4E5966CD" w:rsidR="00C25B49" w:rsidRPr="008441D6" w:rsidRDefault="00C25B49" w:rsidP="008441D6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6C9AD6C" w14:textId="77777777" w:rsidR="00E22383" w:rsidRPr="008441D6" w:rsidRDefault="00E22383" w:rsidP="008441D6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946DCFB" w14:textId="77777777" w:rsidR="000A37DA" w:rsidRPr="000A37DA" w:rsidRDefault="000A37DA" w:rsidP="000A37D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7DA">
        <w:rPr>
          <w:rFonts w:ascii="Times New Roman" w:hAnsi="Times New Roman" w:cs="Times New Roman"/>
          <w:color w:val="000000" w:themeColor="text1"/>
          <w:sz w:val="24"/>
          <w:szCs w:val="24"/>
        </w:rPr>
        <w:t>Iesniedzējs:</w:t>
      </w:r>
    </w:p>
    <w:p w14:paraId="6350DE8D" w14:textId="5A1A6B7C" w:rsidR="00E22383" w:rsidRDefault="000A37DA" w:rsidP="00997B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7DA">
        <w:rPr>
          <w:rFonts w:ascii="Times New Roman" w:hAnsi="Times New Roman" w:cs="Times New Roman"/>
          <w:color w:val="000000" w:themeColor="text1"/>
          <w:sz w:val="24"/>
          <w:szCs w:val="24"/>
        </w:rPr>
        <w:t>Tieslietu ministrijas valsts sekretārs</w:t>
      </w:r>
      <w:r w:rsidR="007110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6D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6D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6D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6D5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A37D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B6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aivis </w:t>
      </w:r>
      <w:r w:rsidRPr="000A37DA">
        <w:rPr>
          <w:rFonts w:ascii="Times New Roman" w:hAnsi="Times New Roman" w:cs="Times New Roman"/>
          <w:color w:val="000000" w:themeColor="text1"/>
          <w:sz w:val="24"/>
          <w:szCs w:val="24"/>
        </w:rPr>
        <w:t>Kronbergs</w:t>
      </w:r>
    </w:p>
    <w:p w14:paraId="208DDA3F" w14:textId="614FACA5" w:rsidR="000A37DA" w:rsidRDefault="000A37DA" w:rsidP="000A37D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9F1374" w14:textId="7DD1ECA0" w:rsidR="000A37DA" w:rsidRDefault="000A37DA" w:rsidP="000A37D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910E65" w14:textId="42ABB023" w:rsidR="00894C55" w:rsidRPr="008441D6" w:rsidRDefault="008963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Bojāre</w:t>
      </w:r>
      <w:r w:rsidR="00D133F8" w:rsidRPr="008441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A37DA">
        <w:rPr>
          <w:rFonts w:ascii="Times New Roman" w:hAnsi="Times New Roman" w:cs="Times New Roman"/>
          <w:color w:val="000000" w:themeColor="text1"/>
          <w:sz w:val="20"/>
          <w:szCs w:val="20"/>
        </w:rPr>
        <w:t>6709963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</w:p>
    <w:p w14:paraId="48E21035" w14:textId="472C410C" w:rsidR="00894C55" w:rsidRPr="008441D6" w:rsidRDefault="008963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Diana.bojare</w:t>
      </w:r>
      <w:r w:rsidR="00894C55" w:rsidRPr="008441D6">
        <w:rPr>
          <w:rFonts w:ascii="Times New Roman" w:hAnsi="Times New Roman" w:cs="Times New Roman"/>
          <w:color w:val="000000" w:themeColor="text1"/>
          <w:sz w:val="20"/>
          <w:szCs w:val="20"/>
        </w:rPr>
        <w:t>@</w:t>
      </w:r>
      <w:r w:rsidR="004E72B4" w:rsidRPr="008441D6">
        <w:rPr>
          <w:rFonts w:ascii="Times New Roman" w:hAnsi="Times New Roman" w:cs="Times New Roman"/>
          <w:color w:val="000000" w:themeColor="text1"/>
          <w:sz w:val="20"/>
          <w:szCs w:val="20"/>
        </w:rPr>
        <w:t>lrpv</w:t>
      </w:r>
      <w:r w:rsidR="00894C55" w:rsidRPr="008441D6">
        <w:rPr>
          <w:rFonts w:ascii="Times New Roman" w:hAnsi="Times New Roman" w:cs="Times New Roman"/>
          <w:color w:val="000000" w:themeColor="text1"/>
          <w:sz w:val="20"/>
          <w:szCs w:val="20"/>
        </w:rPr>
        <w:t>.gov.lv</w:t>
      </w:r>
    </w:p>
    <w:sectPr w:rsidR="00894C55" w:rsidRPr="008441D6" w:rsidSect="0014621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AC31D" w14:textId="77777777" w:rsidR="00A2567B" w:rsidRDefault="00A2567B" w:rsidP="00894C55">
      <w:pPr>
        <w:spacing w:after="0" w:line="240" w:lineRule="auto"/>
      </w:pPr>
      <w:r>
        <w:separator/>
      </w:r>
    </w:p>
  </w:endnote>
  <w:endnote w:type="continuationSeparator" w:id="0">
    <w:p w14:paraId="2455CD77" w14:textId="77777777" w:rsidR="00A2567B" w:rsidRDefault="00A2567B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6B930" w14:textId="0DDA9F30" w:rsidR="00E53D71" w:rsidRPr="00AF1B53" w:rsidRDefault="00F700D6" w:rsidP="00AF1B5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7D2D43" wp14:editId="5B5369A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20146d681c76c2e00ae343f" descr="{&quot;HashCode&quot;:-110316685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B392FD" w14:textId="4E3795F8" w:rsidR="00F700D6" w:rsidRPr="00F700D6" w:rsidRDefault="00F700D6" w:rsidP="00F700D6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7D2D43" id="_x0000_t202" coordsize="21600,21600" o:spt="202" path="m,l,21600r21600,l21600,xe">
              <v:stroke joinstyle="miter"/>
              <v:path gradientshapeok="t" o:connecttype="rect"/>
            </v:shapetype>
            <v:shape id="MSIPCMd20146d681c76c2e00ae343f" o:spid="_x0000_s1026" type="#_x0000_t202" alt="{&quot;HashCode&quot;:-110316685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" o:allowincell="f" filled="f" stroked="f" strokeweight=".5pt">
              <v:textbox inset=",0,20pt,0">
                <w:txbxContent>
                  <w:p w14:paraId="75B392FD" w14:textId="4E3795F8" w:rsidR="00F700D6" w:rsidRPr="00F700D6" w:rsidRDefault="00F700D6" w:rsidP="00F700D6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F1B53" w:rsidRPr="0014621D">
      <w:rPr>
        <w:rFonts w:ascii="Times New Roman" w:hAnsi="Times New Roman" w:cs="Times New Roman"/>
        <w:sz w:val="20"/>
        <w:szCs w:val="20"/>
      </w:rPr>
      <w:fldChar w:fldCharType="begin"/>
    </w:r>
    <w:r w:rsidR="00AF1B53" w:rsidRPr="0014621D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="00AF1B53" w:rsidRPr="0014621D">
      <w:rPr>
        <w:rFonts w:ascii="Times New Roman" w:hAnsi="Times New Roman" w:cs="Times New Roman"/>
        <w:sz w:val="20"/>
        <w:szCs w:val="20"/>
      </w:rPr>
      <w:fldChar w:fldCharType="separate"/>
    </w:r>
    <w:r w:rsidR="008100A4">
      <w:rPr>
        <w:rFonts w:ascii="Times New Roman" w:hAnsi="Times New Roman" w:cs="Times New Roman"/>
        <w:noProof/>
        <w:sz w:val="20"/>
        <w:szCs w:val="20"/>
      </w:rPr>
      <w:t>TMAnot_</w:t>
    </w:r>
    <w:r w:rsidR="00CF26A2">
      <w:rPr>
        <w:rFonts w:ascii="Times New Roman" w:hAnsi="Times New Roman" w:cs="Times New Roman"/>
        <w:noProof/>
        <w:sz w:val="20"/>
        <w:szCs w:val="20"/>
      </w:rPr>
      <w:t>31</w:t>
    </w:r>
    <w:r w:rsidR="008100A4">
      <w:rPr>
        <w:rFonts w:ascii="Times New Roman" w:hAnsi="Times New Roman" w:cs="Times New Roman"/>
        <w:noProof/>
        <w:sz w:val="20"/>
        <w:szCs w:val="20"/>
      </w:rPr>
      <w:t>0</w:t>
    </w:r>
    <w:r w:rsidR="00153137">
      <w:rPr>
        <w:rFonts w:ascii="Times New Roman" w:hAnsi="Times New Roman" w:cs="Times New Roman"/>
        <w:noProof/>
        <w:sz w:val="20"/>
        <w:szCs w:val="20"/>
      </w:rPr>
      <w:t>8</w:t>
    </w:r>
    <w:r w:rsidR="008100A4">
      <w:rPr>
        <w:rFonts w:ascii="Times New Roman" w:hAnsi="Times New Roman" w:cs="Times New Roman"/>
        <w:noProof/>
        <w:sz w:val="20"/>
        <w:szCs w:val="20"/>
      </w:rPr>
      <w:t>21_</w:t>
    </w:r>
    <w:r w:rsidR="00CF26A2">
      <w:rPr>
        <w:rFonts w:ascii="Times New Roman" w:hAnsi="Times New Roman" w:cs="Times New Roman"/>
        <w:noProof/>
        <w:sz w:val="20"/>
        <w:szCs w:val="20"/>
      </w:rPr>
      <w:t>PV_budzets</w:t>
    </w:r>
    <w:r w:rsidR="00AF1B53" w:rsidRPr="0014621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C7ECB" w14:textId="02AF0CCC" w:rsidR="00E53D71" w:rsidRPr="0014621D" w:rsidRDefault="00F700D6" w:rsidP="0014621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lv-LV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A52DEB8" wp14:editId="2D0C27B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5564b08b1cf3491ad8d2c94" descr="{&quot;HashCode&quot;:-110316685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CF9544" w14:textId="45812622" w:rsidR="00F700D6" w:rsidRPr="00F700D6" w:rsidRDefault="00F700D6" w:rsidP="00F700D6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A52DEB8" id="_x0000_t202" coordsize="21600,21600" o:spt="202" path="m,l,21600r21600,l21600,xe">
              <v:stroke joinstyle="miter"/>
              <v:path gradientshapeok="t" o:connecttype="rect"/>
            </v:shapetype>
            <v:shape id="MSIPCM85564b08b1cf3491ad8d2c94" o:spid="_x0000_s1027" type="#_x0000_t202" alt="{&quot;HashCode&quot;:-110316685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" o:allowincell="f" filled="f" stroked="f" strokeweight=".5pt">
              <v:textbox inset=",0,20pt,0">
                <w:txbxContent>
                  <w:p w14:paraId="03CF9544" w14:textId="45812622" w:rsidR="00F700D6" w:rsidRPr="00F700D6" w:rsidRDefault="00F700D6" w:rsidP="00F700D6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53D71" w:rsidRPr="0014621D">
      <w:rPr>
        <w:rFonts w:ascii="Times New Roman" w:hAnsi="Times New Roman" w:cs="Times New Roman"/>
        <w:sz w:val="20"/>
        <w:szCs w:val="20"/>
      </w:rPr>
      <w:fldChar w:fldCharType="begin"/>
    </w:r>
    <w:r w:rsidR="00E53D71" w:rsidRPr="0014621D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="00E53D71" w:rsidRPr="0014621D">
      <w:rPr>
        <w:rFonts w:ascii="Times New Roman" w:hAnsi="Times New Roman" w:cs="Times New Roman"/>
        <w:sz w:val="20"/>
        <w:szCs w:val="20"/>
      </w:rPr>
      <w:fldChar w:fldCharType="separate"/>
    </w:r>
    <w:r w:rsidR="008100A4">
      <w:rPr>
        <w:rFonts w:ascii="Times New Roman" w:hAnsi="Times New Roman" w:cs="Times New Roman"/>
        <w:noProof/>
        <w:sz w:val="20"/>
        <w:szCs w:val="20"/>
      </w:rPr>
      <w:t>TMAnot_</w:t>
    </w:r>
    <w:r w:rsidR="00CF26A2">
      <w:rPr>
        <w:rFonts w:ascii="Times New Roman" w:hAnsi="Times New Roman" w:cs="Times New Roman"/>
        <w:noProof/>
        <w:sz w:val="20"/>
        <w:szCs w:val="20"/>
      </w:rPr>
      <w:t>31</w:t>
    </w:r>
    <w:r w:rsidR="008100A4">
      <w:rPr>
        <w:rFonts w:ascii="Times New Roman" w:hAnsi="Times New Roman" w:cs="Times New Roman"/>
        <w:noProof/>
        <w:sz w:val="20"/>
        <w:szCs w:val="20"/>
      </w:rPr>
      <w:t>0</w:t>
    </w:r>
    <w:r w:rsidR="00153137">
      <w:rPr>
        <w:rFonts w:ascii="Times New Roman" w:hAnsi="Times New Roman" w:cs="Times New Roman"/>
        <w:noProof/>
        <w:sz w:val="20"/>
        <w:szCs w:val="20"/>
      </w:rPr>
      <w:t>8</w:t>
    </w:r>
    <w:r w:rsidR="008100A4">
      <w:rPr>
        <w:rFonts w:ascii="Times New Roman" w:hAnsi="Times New Roman" w:cs="Times New Roman"/>
        <w:noProof/>
        <w:sz w:val="20"/>
        <w:szCs w:val="20"/>
      </w:rPr>
      <w:t>21_</w:t>
    </w:r>
    <w:r w:rsidR="00CF26A2">
      <w:rPr>
        <w:rFonts w:ascii="Times New Roman" w:hAnsi="Times New Roman" w:cs="Times New Roman"/>
        <w:noProof/>
        <w:sz w:val="20"/>
        <w:szCs w:val="20"/>
      </w:rPr>
      <w:t>PV_budzets</w:t>
    </w:r>
    <w:r w:rsidR="00E53D71" w:rsidRPr="0014621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8165F" w14:textId="77777777" w:rsidR="00A2567B" w:rsidRDefault="00A2567B" w:rsidP="00894C55">
      <w:pPr>
        <w:spacing w:after="0" w:line="240" w:lineRule="auto"/>
      </w:pPr>
      <w:r>
        <w:separator/>
      </w:r>
    </w:p>
  </w:footnote>
  <w:footnote w:type="continuationSeparator" w:id="0">
    <w:p w14:paraId="2E156C4B" w14:textId="77777777" w:rsidR="00A2567B" w:rsidRDefault="00A2567B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E38B20F" w14:textId="6E8E92D8" w:rsidR="00E53D71" w:rsidRPr="00C25B49" w:rsidRDefault="00E53D71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CF26A2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C18"/>
    <w:multiLevelType w:val="hybridMultilevel"/>
    <w:tmpl w:val="2D86F5AE"/>
    <w:lvl w:ilvl="0" w:tplc="F9608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3F9F"/>
    <w:multiLevelType w:val="hybridMultilevel"/>
    <w:tmpl w:val="19D2CDD0"/>
    <w:lvl w:ilvl="0" w:tplc="F1502D6E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6637D"/>
    <w:multiLevelType w:val="hybridMultilevel"/>
    <w:tmpl w:val="8564C54E"/>
    <w:lvl w:ilvl="0" w:tplc="05FC12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B5FE2"/>
    <w:multiLevelType w:val="hybridMultilevel"/>
    <w:tmpl w:val="27B247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61F98"/>
    <w:multiLevelType w:val="hybridMultilevel"/>
    <w:tmpl w:val="43EE6F6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4C1D1C"/>
    <w:multiLevelType w:val="hybridMultilevel"/>
    <w:tmpl w:val="2D86F5AE"/>
    <w:lvl w:ilvl="0" w:tplc="F9608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MLAwNjcwtjS0MDBX0lEKTi0uzszPAykwtKwFACUebcktAAAA"/>
  </w:docVars>
  <w:rsids>
    <w:rsidRoot w:val="00894C55"/>
    <w:rsid w:val="00000659"/>
    <w:rsid w:val="00005FDC"/>
    <w:rsid w:val="00010065"/>
    <w:rsid w:val="00027895"/>
    <w:rsid w:val="000315D4"/>
    <w:rsid w:val="00032DDB"/>
    <w:rsid w:val="000342BC"/>
    <w:rsid w:val="00040A2A"/>
    <w:rsid w:val="0004163E"/>
    <w:rsid w:val="000451F2"/>
    <w:rsid w:val="00045AA7"/>
    <w:rsid w:val="00051BDF"/>
    <w:rsid w:val="00051F09"/>
    <w:rsid w:val="000667C0"/>
    <w:rsid w:val="00066954"/>
    <w:rsid w:val="00066B4B"/>
    <w:rsid w:val="00073A28"/>
    <w:rsid w:val="0007454A"/>
    <w:rsid w:val="000752A0"/>
    <w:rsid w:val="00075C1C"/>
    <w:rsid w:val="0008225B"/>
    <w:rsid w:val="0008403E"/>
    <w:rsid w:val="0008493D"/>
    <w:rsid w:val="0009141D"/>
    <w:rsid w:val="00095F31"/>
    <w:rsid w:val="000A37DA"/>
    <w:rsid w:val="000B3699"/>
    <w:rsid w:val="000B5A94"/>
    <w:rsid w:val="000D7CD7"/>
    <w:rsid w:val="000E4539"/>
    <w:rsid w:val="000F37DC"/>
    <w:rsid w:val="000F3CB7"/>
    <w:rsid w:val="000F3D12"/>
    <w:rsid w:val="000F5088"/>
    <w:rsid w:val="0010106F"/>
    <w:rsid w:val="00106F02"/>
    <w:rsid w:val="0011605A"/>
    <w:rsid w:val="00120287"/>
    <w:rsid w:val="00121F56"/>
    <w:rsid w:val="00122E8F"/>
    <w:rsid w:val="00124A52"/>
    <w:rsid w:val="00126FE2"/>
    <w:rsid w:val="001308E6"/>
    <w:rsid w:val="00134436"/>
    <w:rsid w:val="0013785D"/>
    <w:rsid w:val="001447C8"/>
    <w:rsid w:val="001457B9"/>
    <w:rsid w:val="0014621D"/>
    <w:rsid w:val="00153137"/>
    <w:rsid w:val="00161CB3"/>
    <w:rsid w:val="001663FC"/>
    <w:rsid w:val="001742A0"/>
    <w:rsid w:val="00175213"/>
    <w:rsid w:val="001903FB"/>
    <w:rsid w:val="001912F4"/>
    <w:rsid w:val="0019144A"/>
    <w:rsid w:val="001952A6"/>
    <w:rsid w:val="001977F9"/>
    <w:rsid w:val="001A5BE6"/>
    <w:rsid w:val="001A73EB"/>
    <w:rsid w:val="001B0290"/>
    <w:rsid w:val="001D3891"/>
    <w:rsid w:val="001D6973"/>
    <w:rsid w:val="002026DA"/>
    <w:rsid w:val="002145DD"/>
    <w:rsid w:val="002201B5"/>
    <w:rsid w:val="002231F7"/>
    <w:rsid w:val="002307D3"/>
    <w:rsid w:val="00233C5A"/>
    <w:rsid w:val="00235AC9"/>
    <w:rsid w:val="00241D05"/>
    <w:rsid w:val="00243426"/>
    <w:rsid w:val="002539CD"/>
    <w:rsid w:val="00256C8A"/>
    <w:rsid w:val="00271829"/>
    <w:rsid w:val="00273B86"/>
    <w:rsid w:val="00273C0C"/>
    <w:rsid w:val="00276836"/>
    <w:rsid w:val="0028098F"/>
    <w:rsid w:val="00285B24"/>
    <w:rsid w:val="002873E5"/>
    <w:rsid w:val="002A0EBB"/>
    <w:rsid w:val="002A1BD3"/>
    <w:rsid w:val="002D6D65"/>
    <w:rsid w:val="002E1C05"/>
    <w:rsid w:val="002E5364"/>
    <w:rsid w:val="002E5AE4"/>
    <w:rsid w:val="002F1F1E"/>
    <w:rsid w:val="002F64A1"/>
    <w:rsid w:val="003060C7"/>
    <w:rsid w:val="00306A7F"/>
    <w:rsid w:val="00311566"/>
    <w:rsid w:val="00312938"/>
    <w:rsid w:val="00314951"/>
    <w:rsid w:val="003157AA"/>
    <w:rsid w:val="003162A9"/>
    <w:rsid w:val="00320F79"/>
    <w:rsid w:val="003229CF"/>
    <w:rsid w:val="00325E86"/>
    <w:rsid w:val="0033170C"/>
    <w:rsid w:val="00331A47"/>
    <w:rsid w:val="00332121"/>
    <w:rsid w:val="003337C8"/>
    <w:rsid w:val="003368B1"/>
    <w:rsid w:val="00336B09"/>
    <w:rsid w:val="00341D03"/>
    <w:rsid w:val="00345359"/>
    <w:rsid w:val="00346145"/>
    <w:rsid w:val="00346B09"/>
    <w:rsid w:val="003552F4"/>
    <w:rsid w:val="00356A8B"/>
    <w:rsid w:val="00357CBE"/>
    <w:rsid w:val="00357E0D"/>
    <w:rsid w:val="00361215"/>
    <w:rsid w:val="003620DD"/>
    <w:rsid w:val="003749FF"/>
    <w:rsid w:val="003756A4"/>
    <w:rsid w:val="00377BDD"/>
    <w:rsid w:val="00380CAF"/>
    <w:rsid w:val="0038272F"/>
    <w:rsid w:val="00384C46"/>
    <w:rsid w:val="00385E5A"/>
    <w:rsid w:val="003912A6"/>
    <w:rsid w:val="00391FC2"/>
    <w:rsid w:val="003A3591"/>
    <w:rsid w:val="003A4AA4"/>
    <w:rsid w:val="003B0BF9"/>
    <w:rsid w:val="003B4531"/>
    <w:rsid w:val="003B5E09"/>
    <w:rsid w:val="003B6708"/>
    <w:rsid w:val="003C194F"/>
    <w:rsid w:val="003C6569"/>
    <w:rsid w:val="003D0F46"/>
    <w:rsid w:val="003D48ED"/>
    <w:rsid w:val="003E0791"/>
    <w:rsid w:val="003E411E"/>
    <w:rsid w:val="003F10A9"/>
    <w:rsid w:val="003F17AF"/>
    <w:rsid w:val="003F1C1B"/>
    <w:rsid w:val="003F28AC"/>
    <w:rsid w:val="003F71A4"/>
    <w:rsid w:val="004020B4"/>
    <w:rsid w:val="00402844"/>
    <w:rsid w:val="0041232C"/>
    <w:rsid w:val="0042422E"/>
    <w:rsid w:val="004454FE"/>
    <w:rsid w:val="00451223"/>
    <w:rsid w:val="0045204E"/>
    <w:rsid w:val="00456B6B"/>
    <w:rsid w:val="00456E40"/>
    <w:rsid w:val="004626DB"/>
    <w:rsid w:val="00465FF0"/>
    <w:rsid w:val="00471436"/>
    <w:rsid w:val="00471F27"/>
    <w:rsid w:val="00476E04"/>
    <w:rsid w:val="00477B56"/>
    <w:rsid w:val="004818F0"/>
    <w:rsid w:val="00485CB1"/>
    <w:rsid w:val="00485D5E"/>
    <w:rsid w:val="00486B5C"/>
    <w:rsid w:val="004969AE"/>
    <w:rsid w:val="00497113"/>
    <w:rsid w:val="004A088E"/>
    <w:rsid w:val="004B0452"/>
    <w:rsid w:val="004B2266"/>
    <w:rsid w:val="004B2D7F"/>
    <w:rsid w:val="004B301A"/>
    <w:rsid w:val="004B5F78"/>
    <w:rsid w:val="004C35CF"/>
    <w:rsid w:val="004C6758"/>
    <w:rsid w:val="004C7E1D"/>
    <w:rsid w:val="004E06F8"/>
    <w:rsid w:val="004E1596"/>
    <w:rsid w:val="004E60C2"/>
    <w:rsid w:val="004E72B4"/>
    <w:rsid w:val="004F0206"/>
    <w:rsid w:val="004F1A98"/>
    <w:rsid w:val="004F2123"/>
    <w:rsid w:val="005003C3"/>
    <w:rsid w:val="00500C4C"/>
    <w:rsid w:val="0050178F"/>
    <w:rsid w:val="005052F6"/>
    <w:rsid w:val="0050782F"/>
    <w:rsid w:val="0051332B"/>
    <w:rsid w:val="005163B6"/>
    <w:rsid w:val="005261BE"/>
    <w:rsid w:val="00526462"/>
    <w:rsid w:val="00534464"/>
    <w:rsid w:val="00535661"/>
    <w:rsid w:val="00544352"/>
    <w:rsid w:val="00550724"/>
    <w:rsid w:val="00557DD5"/>
    <w:rsid w:val="0056486E"/>
    <w:rsid w:val="00567DEA"/>
    <w:rsid w:val="00576B82"/>
    <w:rsid w:val="00581E20"/>
    <w:rsid w:val="00582371"/>
    <w:rsid w:val="00584980"/>
    <w:rsid w:val="00585A2D"/>
    <w:rsid w:val="0058665B"/>
    <w:rsid w:val="0059365F"/>
    <w:rsid w:val="00597B3A"/>
    <w:rsid w:val="005A7582"/>
    <w:rsid w:val="005B2F3D"/>
    <w:rsid w:val="005B39BC"/>
    <w:rsid w:val="005B4023"/>
    <w:rsid w:val="005B5B1B"/>
    <w:rsid w:val="005B6DE3"/>
    <w:rsid w:val="005B74A9"/>
    <w:rsid w:val="005B7668"/>
    <w:rsid w:val="005C6F65"/>
    <w:rsid w:val="005C7893"/>
    <w:rsid w:val="005D2906"/>
    <w:rsid w:val="005D5CD2"/>
    <w:rsid w:val="005D5F73"/>
    <w:rsid w:val="005D6339"/>
    <w:rsid w:val="005E4B99"/>
    <w:rsid w:val="005E572E"/>
    <w:rsid w:val="005E7807"/>
    <w:rsid w:val="005F02CE"/>
    <w:rsid w:val="00600ACD"/>
    <w:rsid w:val="006030D2"/>
    <w:rsid w:val="006035D0"/>
    <w:rsid w:val="00604A0F"/>
    <w:rsid w:val="00607869"/>
    <w:rsid w:val="00611B0F"/>
    <w:rsid w:val="00617BF6"/>
    <w:rsid w:val="00635199"/>
    <w:rsid w:val="00640AF5"/>
    <w:rsid w:val="00640DDA"/>
    <w:rsid w:val="0064259A"/>
    <w:rsid w:val="00650152"/>
    <w:rsid w:val="00651D28"/>
    <w:rsid w:val="00655F2C"/>
    <w:rsid w:val="00670699"/>
    <w:rsid w:val="0067183E"/>
    <w:rsid w:val="006806F8"/>
    <w:rsid w:val="00681DC7"/>
    <w:rsid w:val="006838C8"/>
    <w:rsid w:val="006841B2"/>
    <w:rsid w:val="00686E77"/>
    <w:rsid w:val="00694BDA"/>
    <w:rsid w:val="0069731A"/>
    <w:rsid w:val="006A030B"/>
    <w:rsid w:val="006A0AFD"/>
    <w:rsid w:val="006A1CC1"/>
    <w:rsid w:val="006A1CFD"/>
    <w:rsid w:val="006A6D18"/>
    <w:rsid w:val="006C2EC5"/>
    <w:rsid w:val="006C35AE"/>
    <w:rsid w:val="006C4100"/>
    <w:rsid w:val="006C6823"/>
    <w:rsid w:val="006D3187"/>
    <w:rsid w:val="006D3E8A"/>
    <w:rsid w:val="006D419D"/>
    <w:rsid w:val="006D47D2"/>
    <w:rsid w:val="006E1081"/>
    <w:rsid w:val="006E4930"/>
    <w:rsid w:val="006E517B"/>
    <w:rsid w:val="006E6E60"/>
    <w:rsid w:val="006E6EF7"/>
    <w:rsid w:val="006E7B36"/>
    <w:rsid w:val="006F1B2A"/>
    <w:rsid w:val="006F3194"/>
    <w:rsid w:val="006F5279"/>
    <w:rsid w:val="006F647C"/>
    <w:rsid w:val="007003C0"/>
    <w:rsid w:val="007076D2"/>
    <w:rsid w:val="0071025C"/>
    <w:rsid w:val="007110C0"/>
    <w:rsid w:val="00720585"/>
    <w:rsid w:val="00720788"/>
    <w:rsid w:val="00720F79"/>
    <w:rsid w:val="00743348"/>
    <w:rsid w:val="00744660"/>
    <w:rsid w:val="0074663A"/>
    <w:rsid w:val="007472A2"/>
    <w:rsid w:val="007504F2"/>
    <w:rsid w:val="00756251"/>
    <w:rsid w:val="007563C9"/>
    <w:rsid w:val="00760FF2"/>
    <w:rsid w:val="00762BD5"/>
    <w:rsid w:val="00771680"/>
    <w:rsid w:val="007716F1"/>
    <w:rsid w:val="00773AF6"/>
    <w:rsid w:val="0078665A"/>
    <w:rsid w:val="00793241"/>
    <w:rsid w:val="00795F71"/>
    <w:rsid w:val="007A240C"/>
    <w:rsid w:val="007A3175"/>
    <w:rsid w:val="007B15E2"/>
    <w:rsid w:val="007B549D"/>
    <w:rsid w:val="007B7DAB"/>
    <w:rsid w:val="007C31D1"/>
    <w:rsid w:val="007C5839"/>
    <w:rsid w:val="007D75B3"/>
    <w:rsid w:val="007D75BD"/>
    <w:rsid w:val="007E0A3C"/>
    <w:rsid w:val="007E0E2D"/>
    <w:rsid w:val="007E1E7D"/>
    <w:rsid w:val="007E5E90"/>
    <w:rsid w:val="007E5F7A"/>
    <w:rsid w:val="007E664A"/>
    <w:rsid w:val="007E73AB"/>
    <w:rsid w:val="007F1029"/>
    <w:rsid w:val="007F1DF6"/>
    <w:rsid w:val="007F716C"/>
    <w:rsid w:val="00801C94"/>
    <w:rsid w:val="00802A91"/>
    <w:rsid w:val="008037CF"/>
    <w:rsid w:val="00804354"/>
    <w:rsid w:val="008100A4"/>
    <w:rsid w:val="00813FEB"/>
    <w:rsid w:val="00816C11"/>
    <w:rsid w:val="00824F33"/>
    <w:rsid w:val="008260A7"/>
    <w:rsid w:val="008326E5"/>
    <w:rsid w:val="00834D90"/>
    <w:rsid w:val="008377EB"/>
    <w:rsid w:val="00840316"/>
    <w:rsid w:val="008441D6"/>
    <w:rsid w:val="008520DE"/>
    <w:rsid w:val="00853342"/>
    <w:rsid w:val="00853547"/>
    <w:rsid w:val="0086214D"/>
    <w:rsid w:val="00864DDF"/>
    <w:rsid w:val="008655A0"/>
    <w:rsid w:val="00867FE8"/>
    <w:rsid w:val="00874B7C"/>
    <w:rsid w:val="008810F5"/>
    <w:rsid w:val="008847A4"/>
    <w:rsid w:val="00884A3B"/>
    <w:rsid w:val="00884B58"/>
    <w:rsid w:val="008862AC"/>
    <w:rsid w:val="0089045E"/>
    <w:rsid w:val="00893E7F"/>
    <w:rsid w:val="00894C55"/>
    <w:rsid w:val="00896377"/>
    <w:rsid w:val="008A027B"/>
    <w:rsid w:val="008A2C4B"/>
    <w:rsid w:val="008A49C4"/>
    <w:rsid w:val="008A58B6"/>
    <w:rsid w:val="008A6F33"/>
    <w:rsid w:val="008B34B1"/>
    <w:rsid w:val="008B3A40"/>
    <w:rsid w:val="008D338E"/>
    <w:rsid w:val="008D6F5E"/>
    <w:rsid w:val="008E142D"/>
    <w:rsid w:val="008F013A"/>
    <w:rsid w:val="008F2DD7"/>
    <w:rsid w:val="008F4771"/>
    <w:rsid w:val="0090026B"/>
    <w:rsid w:val="00910665"/>
    <w:rsid w:val="00915717"/>
    <w:rsid w:val="0091720D"/>
    <w:rsid w:val="00926D0A"/>
    <w:rsid w:val="009406D6"/>
    <w:rsid w:val="009473D3"/>
    <w:rsid w:val="00954434"/>
    <w:rsid w:val="00955CAA"/>
    <w:rsid w:val="00961685"/>
    <w:rsid w:val="00963CF7"/>
    <w:rsid w:val="00965C9F"/>
    <w:rsid w:val="00983EB2"/>
    <w:rsid w:val="009863C4"/>
    <w:rsid w:val="00986F85"/>
    <w:rsid w:val="00987A6D"/>
    <w:rsid w:val="00987FEB"/>
    <w:rsid w:val="00995DB4"/>
    <w:rsid w:val="00997B7A"/>
    <w:rsid w:val="009A2654"/>
    <w:rsid w:val="009B4C25"/>
    <w:rsid w:val="009B56C1"/>
    <w:rsid w:val="009C1698"/>
    <w:rsid w:val="009C52DB"/>
    <w:rsid w:val="009C7DCA"/>
    <w:rsid w:val="009D42E7"/>
    <w:rsid w:val="009D4584"/>
    <w:rsid w:val="009D658A"/>
    <w:rsid w:val="009E33FE"/>
    <w:rsid w:val="009F2D61"/>
    <w:rsid w:val="009F51CD"/>
    <w:rsid w:val="00A10FC3"/>
    <w:rsid w:val="00A16475"/>
    <w:rsid w:val="00A2429C"/>
    <w:rsid w:val="00A2567B"/>
    <w:rsid w:val="00A33DEE"/>
    <w:rsid w:val="00A34948"/>
    <w:rsid w:val="00A350D1"/>
    <w:rsid w:val="00A44E04"/>
    <w:rsid w:val="00A6073E"/>
    <w:rsid w:val="00A607F6"/>
    <w:rsid w:val="00A61F1F"/>
    <w:rsid w:val="00A776AB"/>
    <w:rsid w:val="00A87242"/>
    <w:rsid w:val="00A91A18"/>
    <w:rsid w:val="00A92408"/>
    <w:rsid w:val="00A94893"/>
    <w:rsid w:val="00A95EEB"/>
    <w:rsid w:val="00AA1C3A"/>
    <w:rsid w:val="00AA3C86"/>
    <w:rsid w:val="00AB2AEC"/>
    <w:rsid w:val="00AB2F36"/>
    <w:rsid w:val="00AB464D"/>
    <w:rsid w:val="00AB6D52"/>
    <w:rsid w:val="00AC1095"/>
    <w:rsid w:val="00AD4200"/>
    <w:rsid w:val="00AD476D"/>
    <w:rsid w:val="00AD4A17"/>
    <w:rsid w:val="00AD716E"/>
    <w:rsid w:val="00AE504A"/>
    <w:rsid w:val="00AE5567"/>
    <w:rsid w:val="00AE66BF"/>
    <w:rsid w:val="00AF1239"/>
    <w:rsid w:val="00AF1B53"/>
    <w:rsid w:val="00AF2968"/>
    <w:rsid w:val="00B1193D"/>
    <w:rsid w:val="00B11FE7"/>
    <w:rsid w:val="00B16480"/>
    <w:rsid w:val="00B2165C"/>
    <w:rsid w:val="00B227EB"/>
    <w:rsid w:val="00B321B5"/>
    <w:rsid w:val="00B33FD3"/>
    <w:rsid w:val="00B35F83"/>
    <w:rsid w:val="00B469F5"/>
    <w:rsid w:val="00B477BE"/>
    <w:rsid w:val="00B5029A"/>
    <w:rsid w:val="00B51D2C"/>
    <w:rsid w:val="00B5305E"/>
    <w:rsid w:val="00B55214"/>
    <w:rsid w:val="00B62521"/>
    <w:rsid w:val="00B71A06"/>
    <w:rsid w:val="00B7248D"/>
    <w:rsid w:val="00B74EB7"/>
    <w:rsid w:val="00B8292C"/>
    <w:rsid w:val="00B84EC3"/>
    <w:rsid w:val="00B8691B"/>
    <w:rsid w:val="00B9048C"/>
    <w:rsid w:val="00B908E9"/>
    <w:rsid w:val="00B9472F"/>
    <w:rsid w:val="00B966AE"/>
    <w:rsid w:val="00BA1468"/>
    <w:rsid w:val="00BA1BCC"/>
    <w:rsid w:val="00BA20AA"/>
    <w:rsid w:val="00BA4FB2"/>
    <w:rsid w:val="00BB3112"/>
    <w:rsid w:val="00BB3290"/>
    <w:rsid w:val="00BB3370"/>
    <w:rsid w:val="00BB71B9"/>
    <w:rsid w:val="00BC1D44"/>
    <w:rsid w:val="00BC3517"/>
    <w:rsid w:val="00BD4425"/>
    <w:rsid w:val="00BD65D9"/>
    <w:rsid w:val="00BE73F8"/>
    <w:rsid w:val="00C00A80"/>
    <w:rsid w:val="00C02917"/>
    <w:rsid w:val="00C02D69"/>
    <w:rsid w:val="00C03932"/>
    <w:rsid w:val="00C25B49"/>
    <w:rsid w:val="00C32947"/>
    <w:rsid w:val="00C34583"/>
    <w:rsid w:val="00C345D0"/>
    <w:rsid w:val="00C34D6A"/>
    <w:rsid w:val="00C35CD4"/>
    <w:rsid w:val="00C40A38"/>
    <w:rsid w:val="00C41774"/>
    <w:rsid w:val="00C41A21"/>
    <w:rsid w:val="00C42C03"/>
    <w:rsid w:val="00C45CCA"/>
    <w:rsid w:val="00C465B5"/>
    <w:rsid w:val="00C46DDF"/>
    <w:rsid w:val="00C65EF3"/>
    <w:rsid w:val="00C70D27"/>
    <w:rsid w:val="00C839DC"/>
    <w:rsid w:val="00C8512F"/>
    <w:rsid w:val="00C86356"/>
    <w:rsid w:val="00C94479"/>
    <w:rsid w:val="00C9618C"/>
    <w:rsid w:val="00C97AD2"/>
    <w:rsid w:val="00CA397D"/>
    <w:rsid w:val="00CA4A2A"/>
    <w:rsid w:val="00CB0799"/>
    <w:rsid w:val="00CB4466"/>
    <w:rsid w:val="00CB7976"/>
    <w:rsid w:val="00CB7D79"/>
    <w:rsid w:val="00CC0D2D"/>
    <w:rsid w:val="00CC5785"/>
    <w:rsid w:val="00CE1BC1"/>
    <w:rsid w:val="00CE5657"/>
    <w:rsid w:val="00CE6B58"/>
    <w:rsid w:val="00CF26A2"/>
    <w:rsid w:val="00CF6ABF"/>
    <w:rsid w:val="00CF78E7"/>
    <w:rsid w:val="00D10718"/>
    <w:rsid w:val="00D132BC"/>
    <w:rsid w:val="00D133F8"/>
    <w:rsid w:val="00D14A3E"/>
    <w:rsid w:val="00D1599E"/>
    <w:rsid w:val="00D17A69"/>
    <w:rsid w:val="00D17F34"/>
    <w:rsid w:val="00D20EED"/>
    <w:rsid w:val="00D22A59"/>
    <w:rsid w:val="00D22BB3"/>
    <w:rsid w:val="00D27553"/>
    <w:rsid w:val="00D27BBE"/>
    <w:rsid w:val="00D339AA"/>
    <w:rsid w:val="00D37EA4"/>
    <w:rsid w:val="00D41ABD"/>
    <w:rsid w:val="00D41D60"/>
    <w:rsid w:val="00D45164"/>
    <w:rsid w:val="00D5198E"/>
    <w:rsid w:val="00D57222"/>
    <w:rsid w:val="00D61EBD"/>
    <w:rsid w:val="00D701BB"/>
    <w:rsid w:val="00D71A51"/>
    <w:rsid w:val="00D76442"/>
    <w:rsid w:val="00D77B59"/>
    <w:rsid w:val="00D82B5D"/>
    <w:rsid w:val="00D87C38"/>
    <w:rsid w:val="00D931DC"/>
    <w:rsid w:val="00D9745F"/>
    <w:rsid w:val="00DA0493"/>
    <w:rsid w:val="00DA1819"/>
    <w:rsid w:val="00DB57F2"/>
    <w:rsid w:val="00DC368A"/>
    <w:rsid w:val="00DC52F7"/>
    <w:rsid w:val="00DD0051"/>
    <w:rsid w:val="00DD1860"/>
    <w:rsid w:val="00DD4BEF"/>
    <w:rsid w:val="00DD5D09"/>
    <w:rsid w:val="00DE339B"/>
    <w:rsid w:val="00DE5833"/>
    <w:rsid w:val="00DF098F"/>
    <w:rsid w:val="00DF3646"/>
    <w:rsid w:val="00DF619E"/>
    <w:rsid w:val="00E02363"/>
    <w:rsid w:val="00E03D32"/>
    <w:rsid w:val="00E10BA0"/>
    <w:rsid w:val="00E1554E"/>
    <w:rsid w:val="00E22383"/>
    <w:rsid w:val="00E3570D"/>
    <w:rsid w:val="00E3716B"/>
    <w:rsid w:val="00E37DD2"/>
    <w:rsid w:val="00E446B8"/>
    <w:rsid w:val="00E46F39"/>
    <w:rsid w:val="00E474FD"/>
    <w:rsid w:val="00E5323B"/>
    <w:rsid w:val="00E53D71"/>
    <w:rsid w:val="00E53FEA"/>
    <w:rsid w:val="00E56019"/>
    <w:rsid w:val="00E565DF"/>
    <w:rsid w:val="00E56EF5"/>
    <w:rsid w:val="00E618BE"/>
    <w:rsid w:val="00E646D2"/>
    <w:rsid w:val="00E659B3"/>
    <w:rsid w:val="00E71633"/>
    <w:rsid w:val="00E71DC1"/>
    <w:rsid w:val="00E7364B"/>
    <w:rsid w:val="00E76C4B"/>
    <w:rsid w:val="00E80D01"/>
    <w:rsid w:val="00E81BBE"/>
    <w:rsid w:val="00E82D74"/>
    <w:rsid w:val="00E85BD5"/>
    <w:rsid w:val="00E86303"/>
    <w:rsid w:val="00E86398"/>
    <w:rsid w:val="00E8749E"/>
    <w:rsid w:val="00E90C01"/>
    <w:rsid w:val="00E90CA6"/>
    <w:rsid w:val="00E97236"/>
    <w:rsid w:val="00EA0A35"/>
    <w:rsid w:val="00EA486E"/>
    <w:rsid w:val="00EA7E88"/>
    <w:rsid w:val="00EB308D"/>
    <w:rsid w:val="00EB4A26"/>
    <w:rsid w:val="00EC1EBA"/>
    <w:rsid w:val="00EE160D"/>
    <w:rsid w:val="00EE4B53"/>
    <w:rsid w:val="00EF1490"/>
    <w:rsid w:val="00EF45AF"/>
    <w:rsid w:val="00F023FD"/>
    <w:rsid w:val="00F12068"/>
    <w:rsid w:val="00F17662"/>
    <w:rsid w:val="00F21319"/>
    <w:rsid w:val="00F22A0D"/>
    <w:rsid w:val="00F23CD0"/>
    <w:rsid w:val="00F24423"/>
    <w:rsid w:val="00F248F7"/>
    <w:rsid w:val="00F263A9"/>
    <w:rsid w:val="00F330E1"/>
    <w:rsid w:val="00F34F6A"/>
    <w:rsid w:val="00F4685D"/>
    <w:rsid w:val="00F539BB"/>
    <w:rsid w:val="00F57B0C"/>
    <w:rsid w:val="00F63A9C"/>
    <w:rsid w:val="00F66BEF"/>
    <w:rsid w:val="00F700D6"/>
    <w:rsid w:val="00F71CFE"/>
    <w:rsid w:val="00F72C49"/>
    <w:rsid w:val="00F75367"/>
    <w:rsid w:val="00F7727C"/>
    <w:rsid w:val="00F77423"/>
    <w:rsid w:val="00F77BB0"/>
    <w:rsid w:val="00F83552"/>
    <w:rsid w:val="00F8472D"/>
    <w:rsid w:val="00F90511"/>
    <w:rsid w:val="00F90911"/>
    <w:rsid w:val="00F95037"/>
    <w:rsid w:val="00F9713C"/>
    <w:rsid w:val="00F97A90"/>
    <w:rsid w:val="00FA6AEC"/>
    <w:rsid w:val="00FB0D98"/>
    <w:rsid w:val="00FB72CE"/>
    <w:rsid w:val="00FC5D83"/>
    <w:rsid w:val="00FD34A4"/>
    <w:rsid w:val="00FD3698"/>
    <w:rsid w:val="00FD6DA6"/>
    <w:rsid w:val="00FD772D"/>
    <w:rsid w:val="00FE060A"/>
    <w:rsid w:val="00FE09C4"/>
    <w:rsid w:val="00FE219E"/>
    <w:rsid w:val="00FE56B2"/>
    <w:rsid w:val="00FE59AC"/>
    <w:rsid w:val="00FF0514"/>
    <w:rsid w:val="00FF2959"/>
    <w:rsid w:val="00FF4786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818CA5"/>
  <w15:docId w15:val="{03D4CAD9-50B9-6940-AEF2-566A9D43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A17"/>
    <w:pPr>
      <w:ind w:left="720"/>
      <w:contextualSpacing/>
    </w:pPr>
  </w:style>
  <w:style w:type="paragraph" w:customStyle="1" w:styleId="naisf">
    <w:name w:val="naisf"/>
    <w:basedOn w:val="Normal"/>
    <w:rsid w:val="0031293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486B5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otnoteReference">
    <w:name w:val="footnote reference"/>
    <w:semiHidden/>
    <w:rsid w:val="00F12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0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0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C4C"/>
    <w:rPr>
      <w:b/>
      <w:bCs/>
      <w:sz w:val="20"/>
      <w:szCs w:val="20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45CCA"/>
    <w:rPr>
      <w:color w:val="605E5C"/>
      <w:shd w:val="clear" w:color="auto" w:fill="E1DFDD"/>
    </w:rPr>
  </w:style>
  <w:style w:type="paragraph" w:customStyle="1" w:styleId="Default">
    <w:name w:val="Default"/>
    <w:rsid w:val="005A758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tv213">
    <w:name w:val="tv213"/>
    <w:basedOn w:val="Normal"/>
    <w:rsid w:val="00F9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60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3CD0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E53FE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D45164"/>
    <w:pPr>
      <w:spacing w:after="0" w:line="240" w:lineRule="auto"/>
      <w:jc w:val="both"/>
    </w:pPr>
    <w:rPr>
      <w:rFonts w:ascii="Times New Roman" w:eastAsia="Times New Roman" w:hAnsi="Times New Roman" w:cs="Times New Roman"/>
      <w:iCs/>
      <w:color w:val="000000" w:themeColor="text1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D45164"/>
    <w:rPr>
      <w:rFonts w:ascii="Times New Roman" w:eastAsia="Times New Roman" w:hAnsi="Times New Roman" w:cs="Times New Roman"/>
      <w:iCs/>
      <w:color w:val="000000" w:themeColor="text1"/>
      <w:sz w:val="24"/>
      <w:szCs w:val="24"/>
      <w:lang w:eastAsia="lv-LV"/>
    </w:rPr>
  </w:style>
  <w:style w:type="paragraph" w:styleId="NoSpacing">
    <w:name w:val="No Spacing"/>
    <w:link w:val="NoSpacingChar"/>
    <w:uiPriority w:val="1"/>
    <w:qFormat/>
    <w:rsid w:val="00FE5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E56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95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92A1-3BEF-4C6A-92FE-C9104A71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4049</Words>
  <Characters>2309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projekta "Par Patentu valdes 2022. gada budžeta apstiprināšanu" sākotnējās ietekmes novērtējuma ziņojums (anotācija)</vt:lpstr>
      <vt:lpstr>Ministru kabineta noteikumu projekta "Grozījumi Ministru kabineta 2008. gada 1. aprīļa noteikumos Nr. 224 "Patentu un patentu pieteikumu noteikumi"" sākotnējās ietekmes novērtējuma ziņojums (anotācija)</vt:lpstr>
    </vt:vector>
  </TitlesOfParts>
  <Manager> </Manager>
  <Company>Tieslietu ministrija (Latvijas Republikas Patentu valde)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Patentu valdes 2022. gada budžeta apstiprināšanu" sākotnējās ietekmes novērtējuma ziņojums (anotācija)</dc:title>
  <dc:subject>Anotācija</dc:subject>
  <dc:creator>Diāna Bojāre</dc:creator>
  <dc:description>67099632, Diana.bojare@lrpv.gov.lv_x000d_
</dc:description>
  <cp:lastModifiedBy>Kintija Rubene</cp:lastModifiedBy>
  <cp:revision>11</cp:revision>
  <cp:lastPrinted>2020-02-19T10:51:00Z</cp:lastPrinted>
  <dcterms:created xsi:type="dcterms:W3CDTF">2021-08-23T06:14:00Z</dcterms:created>
  <dcterms:modified xsi:type="dcterms:W3CDTF">2021-08-31T07:02:00Z</dcterms:modified>
</cp:coreProperties>
</file>