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4A2AD5BB" w14:textId="7C708DBE"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896ACB">
        <w:rPr>
          <w:rFonts w:ascii="Times New Roman" w:eastAsia="Times New Roman" w:hAnsi="Times New Roman" w:cs="Times New Roman"/>
          <w:b/>
          <w:sz w:val="24"/>
          <w:szCs w:val="24"/>
          <w:lang w:eastAsia="lv-LV"/>
        </w:rPr>
        <w:t>s</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7370"/>
      </w:tblGrid>
      <w:tr w:rsidR="000E2322" w:rsidRPr="00AE4EFC" w14:paraId="3A6EBCB3" w14:textId="77777777" w:rsidTr="00470FB8">
        <w:tc>
          <w:tcPr>
            <w:tcW w:w="949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470FB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0A7AB3EF" w14:textId="75B782E7" w:rsidR="00313A9C" w:rsidRPr="00C2181D" w:rsidRDefault="009C7320" w:rsidP="00F1226C">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Kopsavilkums nav aizpildāms saskaņā ar Ministru kabineta 2009. gada 15. decembra instrukcijas Nr. 19 “</w:t>
            </w:r>
            <w:r w:rsidRPr="00EA3AB6">
              <w:rPr>
                <w:rFonts w:ascii="Times New Roman" w:eastAsia="Times New Roman" w:hAnsi="Times New Roman" w:cs="Times New Roman"/>
                <w:sz w:val="24"/>
                <w:szCs w:val="24"/>
                <w:lang w:eastAsia="lv-LV"/>
              </w:rPr>
              <w:t>Tiesību akta projekta sākotnējās ietekmes izvērtēšanas kārtība</w:t>
            </w:r>
            <w:r>
              <w:rPr>
                <w:rFonts w:ascii="Times New Roman" w:eastAsia="Times New Roman" w:hAnsi="Times New Roman" w:cs="Times New Roman"/>
                <w:sz w:val="24"/>
                <w:szCs w:val="24"/>
                <w:lang w:eastAsia="lv-LV"/>
              </w:rPr>
              <w:t>” 5.</w:t>
            </w:r>
            <w:r>
              <w:rPr>
                <w:rFonts w:ascii="Times New Roman" w:eastAsia="Times New Roman" w:hAnsi="Times New Roman" w:cs="Times New Roman"/>
                <w:sz w:val="24"/>
                <w:szCs w:val="24"/>
                <w:vertAlign w:val="superscript"/>
                <w:lang w:eastAsia="lv-LV"/>
              </w:rPr>
              <w:t>1 </w:t>
            </w:r>
            <w:r>
              <w:rPr>
                <w:rFonts w:ascii="Times New Roman" w:eastAsia="Times New Roman" w:hAnsi="Times New Roman" w:cs="Times New Roman"/>
                <w:sz w:val="24"/>
                <w:szCs w:val="24"/>
                <w:lang w:eastAsia="lv-LV"/>
              </w:rPr>
              <w:t>punktu.</w:t>
            </w: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0"/>
        <w:gridCol w:w="1793"/>
        <w:gridCol w:w="7299"/>
      </w:tblGrid>
      <w:tr w:rsidR="000E2322" w:rsidRPr="00AE4EFC" w14:paraId="6CBE8600" w14:textId="77777777" w:rsidTr="00EF77FE">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EF77FE">
        <w:trPr>
          <w:trHeight w:val="1144"/>
        </w:trPr>
        <w:tc>
          <w:tcPr>
            <w:tcW w:w="211"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944" w:type="pct"/>
            <w:tcBorders>
              <w:top w:val="single" w:sz="4" w:space="0" w:color="auto"/>
              <w:left w:val="single" w:sz="4" w:space="0" w:color="auto"/>
              <w:bottom w:val="single" w:sz="4" w:space="0" w:color="auto"/>
              <w:right w:val="single" w:sz="4" w:space="0" w:color="auto"/>
            </w:tcBorders>
            <w:hideMark/>
          </w:tcPr>
          <w:p w14:paraId="5C8769C8" w14:textId="7BF226EF" w:rsidR="00154080" w:rsidRPr="00495F72" w:rsidRDefault="0007278B" w:rsidP="00495F72">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tc>
        <w:tc>
          <w:tcPr>
            <w:tcW w:w="3845" w:type="pct"/>
            <w:tcBorders>
              <w:top w:val="single" w:sz="4" w:space="0" w:color="auto"/>
              <w:left w:val="single" w:sz="4" w:space="0" w:color="auto"/>
              <w:bottom w:val="single" w:sz="4" w:space="0" w:color="auto"/>
              <w:right w:val="single" w:sz="4" w:space="0" w:color="auto"/>
            </w:tcBorders>
          </w:tcPr>
          <w:p w14:paraId="53DFA315" w14:textId="38DCCACF" w:rsidR="004A5535" w:rsidRDefault="00011EC1" w:rsidP="000D383D">
            <w:pPr>
              <w:pStyle w:val="NoSpacing"/>
              <w:jc w:val="both"/>
              <w:rPr>
                <w:rFonts w:ascii="Times New Roman" w:hAnsi="Times New Roman"/>
                <w:sz w:val="24"/>
                <w:szCs w:val="24"/>
              </w:rPr>
            </w:pPr>
            <w:r w:rsidRPr="00B23552">
              <w:rPr>
                <w:rFonts w:ascii="Times New Roman" w:hAnsi="Times New Roman"/>
                <w:sz w:val="24"/>
                <w:szCs w:val="24"/>
              </w:rPr>
              <w:t xml:space="preserve">Izdoti saskaņā ar </w:t>
            </w:r>
            <w:r w:rsidR="000D383D" w:rsidRPr="000D383D">
              <w:rPr>
                <w:rFonts w:ascii="Times New Roman" w:hAnsi="Times New Roman"/>
                <w:sz w:val="24"/>
                <w:szCs w:val="24"/>
              </w:rPr>
              <w:t>Epidemioloģiskās drošības likuma</w:t>
            </w:r>
            <w:r w:rsidR="00495F72">
              <w:rPr>
                <w:rFonts w:ascii="Times New Roman" w:hAnsi="Times New Roman"/>
                <w:sz w:val="24"/>
                <w:szCs w:val="24"/>
              </w:rPr>
              <w:t xml:space="preserve"> </w:t>
            </w:r>
            <w:r w:rsidR="000D383D" w:rsidRPr="000D383D">
              <w:rPr>
                <w:rFonts w:ascii="Times New Roman" w:hAnsi="Times New Roman"/>
                <w:sz w:val="24"/>
                <w:szCs w:val="24"/>
              </w:rPr>
              <w:t>3.</w:t>
            </w:r>
            <w:r w:rsidR="00495F72">
              <w:rPr>
                <w:rFonts w:ascii="Times New Roman" w:hAnsi="Times New Roman"/>
                <w:sz w:val="24"/>
                <w:szCs w:val="24"/>
              </w:rPr>
              <w:t> </w:t>
            </w:r>
            <w:r w:rsidR="000D383D" w:rsidRPr="000D383D">
              <w:rPr>
                <w:rFonts w:ascii="Times New Roman" w:hAnsi="Times New Roman"/>
                <w:sz w:val="24"/>
                <w:szCs w:val="24"/>
              </w:rPr>
              <w:t>panta otro daļu, 14.</w:t>
            </w:r>
            <w:r w:rsidR="00495F72">
              <w:rPr>
                <w:rFonts w:ascii="Times New Roman" w:hAnsi="Times New Roman"/>
                <w:sz w:val="24"/>
                <w:szCs w:val="24"/>
              </w:rPr>
              <w:t> </w:t>
            </w:r>
            <w:r w:rsidR="000D383D" w:rsidRPr="000D383D">
              <w:rPr>
                <w:rFonts w:ascii="Times New Roman" w:hAnsi="Times New Roman"/>
                <w:sz w:val="24"/>
                <w:szCs w:val="24"/>
              </w:rPr>
              <w:t>panta pirmās daļas 5.</w:t>
            </w:r>
            <w:r w:rsidR="00495F72">
              <w:rPr>
                <w:rFonts w:ascii="Times New Roman" w:hAnsi="Times New Roman"/>
                <w:sz w:val="24"/>
                <w:szCs w:val="24"/>
              </w:rPr>
              <w:t> </w:t>
            </w:r>
            <w:r w:rsidR="000D383D" w:rsidRPr="000D383D">
              <w:rPr>
                <w:rFonts w:ascii="Times New Roman" w:hAnsi="Times New Roman"/>
                <w:sz w:val="24"/>
                <w:szCs w:val="24"/>
              </w:rPr>
              <w:t>punktu,</w:t>
            </w:r>
            <w:r w:rsidR="00495F72">
              <w:rPr>
                <w:rFonts w:ascii="Times New Roman" w:hAnsi="Times New Roman"/>
                <w:sz w:val="24"/>
                <w:szCs w:val="24"/>
              </w:rPr>
              <w:t xml:space="preserve"> </w:t>
            </w:r>
            <w:r w:rsidR="000D383D" w:rsidRPr="000D383D">
              <w:rPr>
                <w:rFonts w:ascii="Times New Roman" w:hAnsi="Times New Roman"/>
                <w:sz w:val="24"/>
                <w:szCs w:val="24"/>
              </w:rPr>
              <w:t>19.</w:t>
            </w:r>
            <w:r w:rsidR="00495F72">
              <w:rPr>
                <w:rFonts w:ascii="Times New Roman" w:hAnsi="Times New Roman"/>
                <w:sz w:val="24"/>
                <w:szCs w:val="24"/>
              </w:rPr>
              <w:t> </w:t>
            </w:r>
            <w:r w:rsidR="000D383D" w:rsidRPr="000D383D">
              <w:rPr>
                <w:rFonts w:ascii="Times New Roman" w:hAnsi="Times New Roman"/>
                <w:sz w:val="24"/>
                <w:szCs w:val="24"/>
              </w:rPr>
              <w:t>panta pirmo un 2.</w:t>
            </w:r>
            <w:r w:rsidR="000D383D" w:rsidRPr="00F23000">
              <w:rPr>
                <w:rFonts w:ascii="Times New Roman" w:hAnsi="Times New Roman"/>
                <w:sz w:val="24"/>
                <w:szCs w:val="24"/>
                <w:vertAlign w:val="superscript"/>
              </w:rPr>
              <w:t>1</w:t>
            </w:r>
            <w:r w:rsidR="00F23000" w:rsidRPr="00F23000">
              <w:rPr>
                <w:rFonts w:ascii="Times New Roman" w:hAnsi="Times New Roman"/>
                <w:sz w:val="24"/>
                <w:szCs w:val="24"/>
                <w:vertAlign w:val="superscript"/>
              </w:rPr>
              <w:t> </w:t>
            </w:r>
            <w:r w:rsidR="000D383D" w:rsidRPr="000D383D">
              <w:rPr>
                <w:rFonts w:ascii="Times New Roman" w:hAnsi="Times New Roman"/>
                <w:sz w:val="24"/>
                <w:szCs w:val="24"/>
              </w:rPr>
              <w:t>daļu, 19.</w:t>
            </w:r>
            <w:r w:rsidR="000D383D" w:rsidRPr="00F23000">
              <w:rPr>
                <w:rFonts w:ascii="Times New Roman" w:hAnsi="Times New Roman"/>
                <w:sz w:val="24"/>
                <w:szCs w:val="24"/>
                <w:vertAlign w:val="superscript"/>
              </w:rPr>
              <w:t>1</w:t>
            </w:r>
            <w:r w:rsidR="00F23000" w:rsidRPr="00F23000">
              <w:rPr>
                <w:rFonts w:ascii="Times New Roman" w:hAnsi="Times New Roman"/>
                <w:sz w:val="24"/>
                <w:szCs w:val="24"/>
                <w:vertAlign w:val="superscript"/>
              </w:rPr>
              <w:t> </w:t>
            </w:r>
            <w:r w:rsidR="000D383D" w:rsidRPr="000D383D">
              <w:rPr>
                <w:rFonts w:ascii="Times New Roman" w:hAnsi="Times New Roman"/>
                <w:sz w:val="24"/>
                <w:szCs w:val="24"/>
              </w:rPr>
              <w:t>pantu,</w:t>
            </w:r>
            <w:r w:rsidR="00F23000">
              <w:rPr>
                <w:rFonts w:ascii="Times New Roman" w:hAnsi="Times New Roman"/>
                <w:sz w:val="24"/>
                <w:szCs w:val="24"/>
              </w:rPr>
              <w:t xml:space="preserve"> </w:t>
            </w:r>
            <w:r w:rsidR="000D383D" w:rsidRPr="000D383D">
              <w:rPr>
                <w:rFonts w:ascii="Times New Roman" w:hAnsi="Times New Roman"/>
                <w:sz w:val="24"/>
                <w:szCs w:val="24"/>
              </w:rPr>
              <w:t>30.</w:t>
            </w:r>
            <w:r w:rsidR="00F23000">
              <w:rPr>
                <w:rFonts w:ascii="Times New Roman" w:hAnsi="Times New Roman"/>
                <w:sz w:val="24"/>
                <w:szCs w:val="24"/>
              </w:rPr>
              <w:t> </w:t>
            </w:r>
            <w:r w:rsidR="000D383D" w:rsidRPr="000D383D">
              <w:rPr>
                <w:rFonts w:ascii="Times New Roman" w:hAnsi="Times New Roman"/>
                <w:sz w:val="24"/>
                <w:szCs w:val="24"/>
              </w:rPr>
              <w:t>panta trešo daļu, 31.</w:t>
            </w:r>
            <w:r w:rsidR="00F23000">
              <w:rPr>
                <w:rFonts w:ascii="Times New Roman" w:hAnsi="Times New Roman"/>
                <w:sz w:val="24"/>
                <w:szCs w:val="24"/>
              </w:rPr>
              <w:t> </w:t>
            </w:r>
            <w:r w:rsidR="000D383D" w:rsidRPr="000D383D">
              <w:rPr>
                <w:rFonts w:ascii="Times New Roman" w:hAnsi="Times New Roman"/>
                <w:sz w:val="24"/>
                <w:szCs w:val="24"/>
              </w:rPr>
              <w:t>panta piekto daļu,</w:t>
            </w:r>
            <w:r w:rsidR="00F23000">
              <w:rPr>
                <w:rFonts w:ascii="Times New Roman" w:hAnsi="Times New Roman"/>
                <w:sz w:val="24"/>
                <w:szCs w:val="24"/>
              </w:rPr>
              <w:t xml:space="preserve"> </w:t>
            </w:r>
            <w:r w:rsidR="000D383D" w:rsidRPr="000D383D">
              <w:rPr>
                <w:rFonts w:ascii="Times New Roman" w:hAnsi="Times New Roman"/>
                <w:sz w:val="24"/>
                <w:szCs w:val="24"/>
              </w:rPr>
              <w:t>39.</w:t>
            </w:r>
            <w:r w:rsidR="00F23000">
              <w:rPr>
                <w:rFonts w:ascii="Times New Roman" w:hAnsi="Times New Roman"/>
                <w:sz w:val="24"/>
                <w:szCs w:val="24"/>
              </w:rPr>
              <w:t> </w:t>
            </w:r>
            <w:r w:rsidR="000D383D" w:rsidRPr="000D383D">
              <w:rPr>
                <w:rFonts w:ascii="Times New Roman" w:hAnsi="Times New Roman"/>
                <w:sz w:val="24"/>
                <w:szCs w:val="24"/>
              </w:rPr>
              <w:t>panta pirmo un otro daļu,</w:t>
            </w:r>
            <w:r w:rsidR="00F23000">
              <w:rPr>
                <w:rFonts w:ascii="Times New Roman" w:hAnsi="Times New Roman"/>
                <w:sz w:val="24"/>
                <w:szCs w:val="24"/>
              </w:rPr>
              <w:t xml:space="preserve"> </w:t>
            </w:r>
            <w:r w:rsidR="000D383D" w:rsidRPr="000D383D">
              <w:rPr>
                <w:rFonts w:ascii="Times New Roman" w:hAnsi="Times New Roman"/>
                <w:sz w:val="24"/>
                <w:szCs w:val="24"/>
              </w:rPr>
              <w:t>Covid-19 infekcijas izplatības pārvaldības likuma</w:t>
            </w:r>
            <w:r w:rsidR="00F23000">
              <w:rPr>
                <w:rFonts w:ascii="Times New Roman" w:hAnsi="Times New Roman"/>
                <w:sz w:val="24"/>
                <w:szCs w:val="24"/>
              </w:rPr>
              <w:t xml:space="preserve"> </w:t>
            </w:r>
            <w:r w:rsidR="000D383D" w:rsidRPr="000D383D">
              <w:rPr>
                <w:rFonts w:ascii="Times New Roman" w:hAnsi="Times New Roman"/>
                <w:sz w:val="24"/>
                <w:szCs w:val="24"/>
              </w:rPr>
              <w:t>4.</w:t>
            </w:r>
            <w:r w:rsidR="00F23000">
              <w:rPr>
                <w:rFonts w:ascii="Times New Roman" w:hAnsi="Times New Roman"/>
                <w:sz w:val="24"/>
                <w:szCs w:val="24"/>
              </w:rPr>
              <w:t> </w:t>
            </w:r>
            <w:r w:rsidR="000D383D" w:rsidRPr="000D383D">
              <w:rPr>
                <w:rFonts w:ascii="Times New Roman" w:hAnsi="Times New Roman"/>
                <w:sz w:val="24"/>
                <w:szCs w:val="24"/>
              </w:rPr>
              <w:t>panta 1., 2., 3., 4., 5., 6., 7., 8., 9., 10.,</w:t>
            </w:r>
            <w:r w:rsidR="00F23000">
              <w:rPr>
                <w:rFonts w:ascii="Times New Roman" w:hAnsi="Times New Roman"/>
                <w:sz w:val="24"/>
                <w:szCs w:val="24"/>
              </w:rPr>
              <w:t xml:space="preserve"> </w:t>
            </w:r>
            <w:r w:rsidR="000D383D" w:rsidRPr="000D383D">
              <w:rPr>
                <w:rFonts w:ascii="Times New Roman" w:hAnsi="Times New Roman"/>
                <w:sz w:val="24"/>
                <w:szCs w:val="24"/>
              </w:rPr>
              <w:t>11., 12., 13., 14., 16., 17., 18. un 21.</w:t>
            </w:r>
            <w:r w:rsidR="00E1369B">
              <w:rPr>
                <w:rFonts w:ascii="Times New Roman" w:hAnsi="Times New Roman"/>
                <w:sz w:val="24"/>
                <w:szCs w:val="24"/>
              </w:rPr>
              <w:t> </w:t>
            </w:r>
            <w:r w:rsidR="000D383D" w:rsidRPr="000D383D">
              <w:rPr>
                <w:rFonts w:ascii="Times New Roman" w:hAnsi="Times New Roman"/>
                <w:sz w:val="24"/>
                <w:szCs w:val="24"/>
              </w:rPr>
              <w:t>punktu,</w:t>
            </w:r>
            <w:r w:rsidR="00E1369B">
              <w:rPr>
                <w:rFonts w:ascii="Times New Roman" w:hAnsi="Times New Roman"/>
                <w:sz w:val="24"/>
                <w:szCs w:val="24"/>
              </w:rPr>
              <w:t xml:space="preserve"> </w:t>
            </w:r>
            <w:r w:rsidR="000D383D" w:rsidRPr="000D383D">
              <w:rPr>
                <w:rFonts w:ascii="Times New Roman" w:hAnsi="Times New Roman"/>
                <w:sz w:val="24"/>
                <w:szCs w:val="24"/>
              </w:rPr>
              <w:t>6.</w:t>
            </w:r>
            <w:r w:rsidR="000D383D" w:rsidRPr="00E1369B">
              <w:rPr>
                <w:rFonts w:ascii="Times New Roman" w:hAnsi="Times New Roman"/>
                <w:sz w:val="24"/>
                <w:szCs w:val="24"/>
                <w:vertAlign w:val="superscript"/>
              </w:rPr>
              <w:t>1</w:t>
            </w:r>
            <w:r w:rsidR="00E1369B" w:rsidRPr="00E1369B">
              <w:rPr>
                <w:rFonts w:ascii="Times New Roman" w:hAnsi="Times New Roman"/>
                <w:sz w:val="24"/>
                <w:szCs w:val="24"/>
                <w:vertAlign w:val="superscript"/>
              </w:rPr>
              <w:t> </w:t>
            </w:r>
            <w:r w:rsidR="000D383D" w:rsidRPr="000D383D">
              <w:rPr>
                <w:rFonts w:ascii="Times New Roman" w:hAnsi="Times New Roman"/>
                <w:sz w:val="24"/>
                <w:szCs w:val="24"/>
              </w:rPr>
              <w:t>panta otro daļu un 6.</w:t>
            </w:r>
            <w:r w:rsidR="000D383D" w:rsidRPr="00E1369B">
              <w:rPr>
                <w:rFonts w:ascii="Times New Roman" w:hAnsi="Times New Roman"/>
                <w:sz w:val="24"/>
                <w:szCs w:val="24"/>
                <w:vertAlign w:val="superscript"/>
              </w:rPr>
              <w:t>3</w:t>
            </w:r>
            <w:r w:rsidR="00E1369B" w:rsidRPr="00E1369B">
              <w:rPr>
                <w:rFonts w:ascii="Times New Roman" w:hAnsi="Times New Roman"/>
                <w:sz w:val="24"/>
                <w:szCs w:val="24"/>
                <w:vertAlign w:val="superscript"/>
              </w:rPr>
              <w:t> </w:t>
            </w:r>
            <w:r w:rsidR="000D383D" w:rsidRPr="000D383D">
              <w:rPr>
                <w:rFonts w:ascii="Times New Roman" w:hAnsi="Times New Roman"/>
                <w:sz w:val="24"/>
                <w:szCs w:val="24"/>
              </w:rPr>
              <w:t>panta otro daļu, 6.</w:t>
            </w:r>
            <w:r w:rsidR="000D383D" w:rsidRPr="00E7616A">
              <w:rPr>
                <w:rFonts w:ascii="Times New Roman" w:hAnsi="Times New Roman"/>
                <w:sz w:val="24"/>
                <w:szCs w:val="24"/>
                <w:vertAlign w:val="superscript"/>
              </w:rPr>
              <w:t>4</w:t>
            </w:r>
            <w:r w:rsidR="00E7616A">
              <w:rPr>
                <w:rFonts w:ascii="Times New Roman" w:hAnsi="Times New Roman"/>
                <w:sz w:val="24"/>
                <w:szCs w:val="24"/>
                <w:vertAlign w:val="superscript"/>
              </w:rPr>
              <w:t> </w:t>
            </w:r>
            <w:r w:rsidR="000D383D" w:rsidRPr="000D383D">
              <w:rPr>
                <w:rFonts w:ascii="Times New Roman" w:hAnsi="Times New Roman"/>
                <w:sz w:val="24"/>
                <w:szCs w:val="24"/>
              </w:rPr>
              <w:t>panta otro daļu,</w:t>
            </w:r>
            <w:r w:rsidR="00E7616A">
              <w:rPr>
                <w:rFonts w:ascii="Times New Roman" w:hAnsi="Times New Roman"/>
                <w:sz w:val="24"/>
                <w:szCs w:val="24"/>
              </w:rPr>
              <w:t xml:space="preserve"> </w:t>
            </w:r>
            <w:r w:rsidR="000D383D" w:rsidRPr="000D383D">
              <w:rPr>
                <w:rFonts w:ascii="Times New Roman" w:hAnsi="Times New Roman"/>
                <w:sz w:val="24"/>
                <w:szCs w:val="24"/>
              </w:rPr>
              <w:t>6.</w:t>
            </w:r>
            <w:r w:rsidR="000D383D" w:rsidRPr="00E7616A">
              <w:rPr>
                <w:rFonts w:ascii="Times New Roman" w:hAnsi="Times New Roman"/>
                <w:sz w:val="24"/>
                <w:szCs w:val="24"/>
                <w:vertAlign w:val="superscript"/>
              </w:rPr>
              <w:t>7</w:t>
            </w:r>
            <w:r w:rsidR="00E7616A" w:rsidRPr="00E7616A">
              <w:rPr>
                <w:rFonts w:ascii="Times New Roman" w:hAnsi="Times New Roman"/>
                <w:sz w:val="24"/>
                <w:szCs w:val="24"/>
                <w:vertAlign w:val="superscript"/>
              </w:rPr>
              <w:t> </w:t>
            </w:r>
            <w:r w:rsidR="000D383D" w:rsidRPr="000D383D">
              <w:rPr>
                <w:rFonts w:ascii="Times New Roman" w:hAnsi="Times New Roman"/>
                <w:sz w:val="24"/>
                <w:szCs w:val="24"/>
              </w:rPr>
              <w:t>panta pirmo, otro daļu un trešo daļu,</w:t>
            </w:r>
            <w:r w:rsidR="00E7616A">
              <w:rPr>
                <w:rFonts w:ascii="Times New Roman" w:hAnsi="Times New Roman"/>
                <w:sz w:val="24"/>
                <w:szCs w:val="24"/>
              </w:rPr>
              <w:t xml:space="preserve"> </w:t>
            </w:r>
            <w:r w:rsidR="000D383D" w:rsidRPr="000D383D">
              <w:rPr>
                <w:rFonts w:ascii="Times New Roman" w:hAnsi="Times New Roman"/>
                <w:sz w:val="24"/>
                <w:szCs w:val="24"/>
              </w:rPr>
              <w:t>6.</w:t>
            </w:r>
            <w:r w:rsidR="000D383D" w:rsidRPr="00E7616A">
              <w:rPr>
                <w:rFonts w:ascii="Times New Roman" w:hAnsi="Times New Roman"/>
                <w:sz w:val="24"/>
                <w:szCs w:val="24"/>
                <w:vertAlign w:val="superscript"/>
              </w:rPr>
              <w:t>9</w:t>
            </w:r>
            <w:r w:rsidR="00E7616A">
              <w:rPr>
                <w:rFonts w:ascii="Times New Roman" w:hAnsi="Times New Roman"/>
                <w:sz w:val="24"/>
                <w:szCs w:val="24"/>
                <w:vertAlign w:val="superscript"/>
              </w:rPr>
              <w:t> </w:t>
            </w:r>
            <w:r w:rsidR="000D383D" w:rsidRPr="000D383D">
              <w:rPr>
                <w:rFonts w:ascii="Times New Roman" w:hAnsi="Times New Roman"/>
                <w:sz w:val="24"/>
                <w:szCs w:val="24"/>
              </w:rPr>
              <w:t>panta otro daļu,10.</w:t>
            </w:r>
            <w:r w:rsidR="000D383D" w:rsidRPr="004A5535">
              <w:rPr>
                <w:rFonts w:ascii="Times New Roman" w:hAnsi="Times New Roman"/>
                <w:sz w:val="24"/>
                <w:szCs w:val="24"/>
                <w:vertAlign w:val="superscript"/>
              </w:rPr>
              <w:t>4</w:t>
            </w:r>
            <w:r w:rsidR="004A5535" w:rsidRPr="004A5535">
              <w:rPr>
                <w:rFonts w:ascii="Times New Roman" w:hAnsi="Times New Roman"/>
                <w:sz w:val="24"/>
                <w:szCs w:val="24"/>
                <w:vertAlign w:val="superscript"/>
              </w:rPr>
              <w:t> </w:t>
            </w:r>
            <w:r w:rsidR="000D383D" w:rsidRPr="000D383D">
              <w:rPr>
                <w:rFonts w:ascii="Times New Roman" w:hAnsi="Times New Roman"/>
                <w:sz w:val="24"/>
                <w:szCs w:val="24"/>
              </w:rPr>
              <w:t>panta trešo daļu un 49.</w:t>
            </w:r>
            <w:r w:rsidR="000D383D" w:rsidRPr="004A5535">
              <w:rPr>
                <w:rFonts w:ascii="Times New Roman" w:hAnsi="Times New Roman"/>
                <w:sz w:val="24"/>
                <w:szCs w:val="24"/>
                <w:vertAlign w:val="superscript"/>
              </w:rPr>
              <w:t>6</w:t>
            </w:r>
            <w:r w:rsidR="004A5535" w:rsidRPr="004A5535">
              <w:rPr>
                <w:rFonts w:ascii="Times New Roman" w:hAnsi="Times New Roman"/>
                <w:sz w:val="24"/>
                <w:szCs w:val="24"/>
                <w:vertAlign w:val="superscript"/>
              </w:rPr>
              <w:t> </w:t>
            </w:r>
            <w:r w:rsidR="000D383D" w:rsidRPr="000D383D">
              <w:rPr>
                <w:rFonts w:ascii="Times New Roman" w:hAnsi="Times New Roman"/>
                <w:sz w:val="24"/>
                <w:szCs w:val="24"/>
              </w:rPr>
              <w:t>panta pirmo daļu un</w:t>
            </w:r>
            <w:r w:rsidR="004A5535">
              <w:rPr>
                <w:rFonts w:ascii="Times New Roman" w:hAnsi="Times New Roman"/>
                <w:sz w:val="24"/>
                <w:szCs w:val="24"/>
              </w:rPr>
              <w:t xml:space="preserve"> </w:t>
            </w:r>
            <w:r w:rsidR="000D383D" w:rsidRPr="000D383D">
              <w:rPr>
                <w:rFonts w:ascii="Times New Roman" w:hAnsi="Times New Roman"/>
                <w:sz w:val="24"/>
                <w:szCs w:val="24"/>
              </w:rPr>
              <w:t>Farmācijas likuma 5.</w:t>
            </w:r>
            <w:r w:rsidR="004A5535">
              <w:rPr>
                <w:rFonts w:ascii="Times New Roman" w:hAnsi="Times New Roman"/>
                <w:sz w:val="24"/>
                <w:szCs w:val="24"/>
              </w:rPr>
              <w:t> </w:t>
            </w:r>
            <w:r w:rsidR="000D383D" w:rsidRPr="000D383D">
              <w:rPr>
                <w:rFonts w:ascii="Times New Roman" w:hAnsi="Times New Roman"/>
                <w:sz w:val="24"/>
                <w:szCs w:val="24"/>
              </w:rPr>
              <w:t>panta 3. un 12.</w:t>
            </w:r>
            <w:r w:rsidR="004A5535">
              <w:rPr>
                <w:rFonts w:ascii="Times New Roman" w:hAnsi="Times New Roman"/>
                <w:sz w:val="24"/>
                <w:szCs w:val="24"/>
              </w:rPr>
              <w:t> </w:t>
            </w:r>
            <w:r w:rsidR="000D383D" w:rsidRPr="000D383D">
              <w:rPr>
                <w:rFonts w:ascii="Times New Roman" w:hAnsi="Times New Roman"/>
                <w:sz w:val="24"/>
                <w:szCs w:val="24"/>
              </w:rPr>
              <w:t>punktu</w:t>
            </w:r>
            <w:r w:rsidR="004A5535">
              <w:rPr>
                <w:rFonts w:ascii="Times New Roman" w:hAnsi="Times New Roman"/>
                <w:sz w:val="24"/>
                <w:szCs w:val="24"/>
              </w:rPr>
              <w:t>.</w:t>
            </w:r>
          </w:p>
          <w:p w14:paraId="095D2A1D" w14:textId="77777777" w:rsidR="008A2DB8" w:rsidRDefault="008A2DB8" w:rsidP="000D383D">
            <w:pPr>
              <w:pStyle w:val="NoSpacing"/>
              <w:jc w:val="both"/>
              <w:rPr>
                <w:rFonts w:ascii="Times New Roman" w:hAnsi="Times New Roman"/>
                <w:sz w:val="24"/>
                <w:szCs w:val="24"/>
              </w:rPr>
            </w:pPr>
          </w:p>
          <w:p w14:paraId="4F9E7C09" w14:textId="6EB293DE" w:rsidR="009B775D" w:rsidRPr="005C5DC6" w:rsidRDefault="009B775D" w:rsidP="000D383D">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B3614A">
        <w:trPr>
          <w:trHeight w:val="542"/>
        </w:trPr>
        <w:tc>
          <w:tcPr>
            <w:tcW w:w="211"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944" w:type="pct"/>
            <w:tcBorders>
              <w:top w:val="single" w:sz="4" w:space="0" w:color="auto"/>
              <w:left w:val="single" w:sz="4" w:space="0" w:color="auto"/>
              <w:bottom w:val="single" w:sz="4" w:space="0" w:color="auto"/>
              <w:right w:val="single" w:sz="4" w:space="0" w:color="auto"/>
            </w:tcBorders>
            <w:hideMark/>
          </w:tcPr>
          <w:p w14:paraId="0F8281CA" w14:textId="0F6658EE" w:rsidR="00894B68" w:rsidRPr="00894B68" w:rsidRDefault="0007278B" w:rsidP="000E4046">
            <w:pPr>
              <w:spacing w:after="0" w:line="240" w:lineRule="auto"/>
              <w:rPr>
                <w:rFonts w:ascii="Times New Roman" w:eastAsia="Times New Roman" w:hAnsi="Times New Roman" w:cs="Times New Roman"/>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45" w:type="pct"/>
            <w:tcBorders>
              <w:top w:val="single" w:sz="4" w:space="0" w:color="auto"/>
              <w:left w:val="single" w:sz="4" w:space="0" w:color="auto"/>
              <w:bottom w:val="single" w:sz="4" w:space="0" w:color="auto"/>
              <w:right w:val="single" w:sz="4" w:space="0" w:color="auto"/>
            </w:tcBorders>
          </w:tcPr>
          <w:p w14:paraId="5AAE09CA" w14:textId="15E7842F" w:rsidR="000156C4" w:rsidRPr="00D22A98" w:rsidRDefault="00C91EA0" w:rsidP="00D22A98">
            <w:pPr>
              <w:spacing w:after="0" w:line="240" w:lineRule="auto"/>
              <w:ind w:firstLine="567"/>
              <w:jc w:val="both"/>
              <w:rPr>
                <w:rFonts w:ascii="Times New Roman" w:hAnsi="Times New Roman" w:cs="Times New Roman"/>
                <w:sz w:val="24"/>
                <w:szCs w:val="24"/>
                <w:highlight w:val="yellow"/>
                <w:shd w:val="clear" w:color="auto" w:fill="FFFFFF"/>
              </w:rPr>
            </w:pPr>
            <w:r>
              <w:rPr>
                <w:rFonts w:ascii="Times New Roman" w:hAnsi="Times New Roman" w:cs="Times New Roman"/>
                <w:sz w:val="24"/>
                <w:szCs w:val="24"/>
                <w:shd w:val="clear" w:color="auto" w:fill="FFFFFF"/>
              </w:rPr>
              <w:t xml:space="preserve">Ārstniecības likuma </w:t>
            </w:r>
            <w:r w:rsidRPr="00C91EA0">
              <w:rPr>
                <w:rFonts w:ascii="Times New Roman" w:hAnsi="Times New Roman" w:cs="Times New Roman"/>
                <w:sz w:val="24"/>
                <w:szCs w:val="24"/>
                <w:shd w:val="clear" w:color="auto" w:fill="FFFFFF"/>
              </w:rPr>
              <w:t>9</w:t>
            </w:r>
            <w:r w:rsidRPr="00C91EA0">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vertAlign w:val="superscript"/>
              </w:rPr>
              <w:t xml:space="preserve"> </w:t>
            </w:r>
            <w:r w:rsidRPr="00C91EA0">
              <w:rPr>
                <w:rFonts w:ascii="Times New Roman" w:hAnsi="Times New Roman" w:cs="Times New Roman"/>
                <w:sz w:val="24"/>
                <w:szCs w:val="24"/>
                <w:shd w:val="clear" w:color="auto" w:fill="FFFFFF"/>
              </w:rPr>
              <w:t>pants paredz to, ka</w:t>
            </w:r>
            <w:r>
              <w:rPr>
                <w:rFonts w:ascii="Times New Roman" w:hAnsi="Times New Roman" w:cs="Times New Roman"/>
                <w:sz w:val="24"/>
                <w:szCs w:val="24"/>
                <w:shd w:val="clear" w:color="auto" w:fill="FFFFFF"/>
                <w:vertAlign w:val="superscript"/>
              </w:rPr>
              <w:t xml:space="preserve"> </w:t>
            </w:r>
            <w:r>
              <w:rPr>
                <w:rFonts w:ascii="Times New Roman" w:hAnsi="Times New Roman" w:cs="Times New Roman"/>
                <w:sz w:val="24"/>
                <w:szCs w:val="24"/>
                <w:shd w:val="clear" w:color="auto" w:fill="FFFFFF"/>
              </w:rPr>
              <w:t xml:space="preserve"> </w:t>
            </w:r>
            <w:r w:rsidRPr="0013500D">
              <w:rPr>
                <w:rFonts w:ascii="Times New Roman" w:hAnsi="Times New Roman" w:cs="Times New Roman"/>
                <w:sz w:val="24"/>
                <w:szCs w:val="24"/>
                <w:shd w:val="clear" w:color="auto" w:fill="FFFFFF"/>
              </w:rPr>
              <w:t>ārstniecību veic atbilstoši klīniskajām vadlīnijām vai ārstniecībā izmantojamo metožu un zāļu lietošanas drošības un ārstēšanas efektivitātes novērtējumam, kas veikts, ievērojot uz pierādījumiem balstītas medicīnas principus. Tādējādi arī vakcinācija tiek veikta atbilstoši jaunākajām zinātniskajām atziņām, labās prakses piemēriem un starptautisko veselības organizāciju rekomendācijām, t</w:t>
            </w:r>
            <w:r w:rsidR="000A54A6" w:rsidRPr="0013500D">
              <w:rPr>
                <w:rFonts w:ascii="Times New Roman" w:hAnsi="Times New Roman" w:cs="Times New Roman"/>
                <w:sz w:val="24"/>
                <w:szCs w:val="24"/>
                <w:shd w:val="clear" w:color="auto" w:fill="FFFFFF"/>
              </w:rPr>
              <w:t>ādēļ š</w:t>
            </w:r>
            <w:r w:rsidR="00590D66" w:rsidRPr="0013500D">
              <w:rPr>
                <w:rFonts w:ascii="Times New Roman" w:hAnsi="Times New Roman" w:cs="Times New Roman"/>
                <w:sz w:val="24"/>
                <w:szCs w:val="24"/>
                <w:shd w:val="clear" w:color="auto" w:fill="FFFFFF"/>
              </w:rPr>
              <w:t xml:space="preserve">obrīd </w:t>
            </w:r>
            <w:r w:rsidR="000A54A6" w:rsidRPr="0013500D">
              <w:rPr>
                <w:rFonts w:ascii="Times New Roman" w:hAnsi="Times New Roman" w:cs="Times New Roman"/>
                <w:sz w:val="24"/>
                <w:szCs w:val="24"/>
                <w:shd w:val="clear" w:color="auto" w:fill="FFFFFF"/>
              </w:rPr>
              <w:t xml:space="preserve">visi </w:t>
            </w:r>
            <w:r w:rsidR="00590D66" w:rsidRPr="0013500D">
              <w:rPr>
                <w:rFonts w:ascii="Times New Roman" w:hAnsi="Times New Roman" w:cs="Times New Roman"/>
                <w:sz w:val="24"/>
                <w:szCs w:val="24"/>
                <w:shd w:val="clear" w:color="auto" w:fill="FFFFFF"/>
              </w:rPr>
              <w:t xml:space="preserve">aspekti vakcinācijas procesa organizēšanai ir iekļauti Zāļu </w:t>
            </w:r>
            <w:r w:rsidR="00590D66" w:rsidRPr="00C32A34">
              <w:rPr>
                <w:rFonts w:ascii="Times New Roman" w:hAnsi="Times New Roman" w:cs="Times New Roman"/>
                <w:sz w:val="24"/>
                <w:szCs w:val="24"/>
                <w:shd w:val="clear" w:color="auto" w:fill="FFFFFF"/>
              </w:rPr>
              <w:t>valsts aģentūras (</w:t>
            </w:r>
            <w:r w:rsidR="00865496">
              <w:rPr>
                <w:rFonts w:ascii="Times New Roman" w:hAnsi="Times New Roman" w:cs="Times New Roman"/>
                <w:sz w:val="24"/>
                <w:szCs w:val="24"/>
                <w:shd w:val="clear" w:color="auto" w:fill="FFFFFF"/>
              </w:rPr>
              <w:t xml:space="preserve">turpmāk – </w:t>
            </w:r>
            <w:r w:rsidR="00590D66" w:rsidRPr="00C32A34">
              <w:rPr>
                <w:rFonts w:ascii="Times New Roman" w:hAnsi="Times New Roman" w:cs="Times New Roman"/>
                <w:sz w:val="24"/>
                <w:szCs w:val="24"/>
                <w:shd w:val="clear" w:color="auto" w:fill="FFFFFF"/>
              </w:rPr>
              <w:t xml:space="preserve">ZVA) </w:t>
            </w:r>
            <w:r w:rsidR="00865496">
              <w:rPr>
                <w:rFonts w:ascii="Times New Roman" w:hAnsi="Times New Roman" w:cs="Times New Roman"/>
                <w:sz w:val="24"/>
                <w:szCs w:val="24"/>
                <w:shd w:val="clear" w:color="auto" w:fill="FFFFFF"/>
              </w:rPr>
              <w:t>tīmekļvietnē</w:t>
            </w:r>
            <w:r w:rsidR="00590D66" w:rsidRPr="00C32A34">
              <w:rPr>
                <w:rFonts w:ascii="Times New Roman" w:hAnsi="Times New Roman" w:cs="Times New Roman"/>
                <w:sz w:val="24"/>
                <w:szCs w:val="24"/>
                <w:shd w:val="clear" w:color="auto" w:fill="FFFFFF"/>
              </w:rPr>
              <w:t xml:space="preserve"> publicētajā </w:t>
            </w:r>
            <w:r w:rsidR="00355623" w:rsidRPr="00355623">
              <w:rPr>
                <w:rFonts w:ascii="Times New Roman" w:hAnsi="Times New Roman" w:cs="Times New Roman"/>
                <w:sz w:val="24"/>
                <w:szCs w:val="24"/>
                <w:shd w:val="clear" w:color="auto" w:fill="FFFFFF"/>
              </w:rPr>
              <w:t>Covid-19 vakcinācijas</w:t>
            </w:r>
            <w:r w:rsidR="00590D66" w:rsidRPr="00C32A34">
              <w:rPr>
                <w:rFonts w:ascii="Times New Roman" w:hAnsi="Times New Roman" w:cs="Times New Roman"/>
                <w:sz w:val="24"/>
                <w:szCs w:val="24"/>
                <w:shd w:val="clear" w:color="auto" w:fill="FFFFFF"/>
              </w:rPr>
              <w:t xml:space="preserve"> rokasgrāmatā. </w:t>
            </w:r>
            <w:r w:rsidR="00355623" w:rsidRPr="00355623">
              <w:rPr>
                <w:rFonts w:ascii="Times New Roman" w:hAnsi="Times New Roman" w:cs="Times New Roman"/>
                <w:sz w:val="24"/>
                <w:szCs w:val="24"/>
                <w:shd w:val="clear" w:color="auto" w:fill="FFFFFF"/>
              </w:rPr>
              <w:t>Covid-19 vakcinācijas</w:t>
            </w:r>
            <w:r w:rsidR="00590D66" w:rsidRPr="00C32A34">
              <w:rPr>
                <w:rFonts w:ascii="Times New Roman" w:hAnsi="Times New Roman" w:cs="Times New Roman"/>
                <w:sz w:val="24"/>
                <w:szCs w:val="24"/>
                <w:shd w:val="clear" w:color="auto" w:fill="FFFFFF"/>
              </w:rPr>
              <w:t xml:space="preserve"> rokasgrāmata ietver uz zinātniskiem pierādījumiem balstītu informāciju, kas izriet no Eiropas slimību kontroles centra (</w:t>
            </w:r>
            <w:r w:rsidR="0073370A">
              <w:rPr>
                <w:rFonts w:ascii="Times New Roman" w:hAnsi="Times New Roman" w:cs="Times New Roman"/>
                <w:sz w:val="24"/>
                <w:szCs w:val="24"/>
                <w:shd w:val="clear" w:color="auto" w:fill="FFFFFF"/>
              </w:rPr>
              <w:t xml:space="preserve">turpmāk – </w:t>
            </w:r>
            <w:r w:rsidR="00590D66" w:rsidRPr="00C32A34">
              <w:rPr>
                <w:rFonts w:ascii="Times New Roman" w:hAnsi="Times New Roman" w:cs="Times New Roman"/>
                <w:sz w:val="24"/>
                <w:szCs w:val="24"/>
                <w:shd w:val="clear" w:color="auto" w:fill="FFFFFF"/>
              </w:rPr>
              <w:t>ECDC), Eiropas Zāļu aģentūras (</w:t>
            </w:r>
            <w:r w:rsidR="00A37C34">
              <w:rPr>
                <w:rFonts w:ascii="Times New Roman" w:hAnsi="Times New Roman" w:cs="Times New Roman"/>
                <w:sz w:val="24"/>
                <w:szCs w:val="24"/>
                <w:shd w:val="clear" w:color="auto" w:fill="FFFFFF"/>
              </w:rPr>
              <w:t xml:space="preserve">turpmāk – </w:t>
            </w:r>
            <w:r w:rsidR="00590D66" w:rsidRPr="00C32A34">
              <w:rPr>
                <w:rFonts w:ascii="Times New Roman" w:hAnsi="Times New Roman" w:cs="Times New Roman"/>
                <w:sz w:val="24"/>
                <w:szCs w:val="24"/>
                <w:shd w:val="clear" w:color="auto" w:fill="FFFFFF"/>
              </w:rPr>
              <w:t>EZA), citu starptautisko veselības organizāciju, kā arī Imunizācijas valsts padomes rekomendācijām par pret Covid-19 vakcinācijas shēmu, dažādu tehnoloģiju un ražotāju vakcīnu savietojamību u</w:t>
            </w:r>
            <w:r w:rsidR="00B80B24">
              <w:rPr>
                <w:rFonts w:ascii="Times New Roman" w:hAnsi="Times New Roman" w:cs="Times New Roman"/>
                <w:sz w:val="24"/>
                <w:szCs w:val="24"/>
                <w:shd w:val="clear" w:color="auto" w:fill="FFFFFF"/>
              </w:rPr>
              <w:t>. </w:t>
            </w:r>
            <w:r w:rsidR="00590D66" w:rsidRPr="00C32A34">
              <w:rPr>
                <w:rFonts w:ascii="Times New Roman" w:hAnsi="Times New Roman" w:cs="Times New Roman"/>
                <w:sz w:val="24"/>
                <w:szCs w:val="24"/>
                <w:shd w:val="clear" w:color="auto" w:fill="FFFFFF"/>
              </w:rPr>
              <w:t xml:space="preserve">tml. </w:t>
            </w:r>
            <w:r w:rsidR="006106EE">
              <w:rPr>
                <w:rFonts w:ascii="Times New Roman" w:hAnsi="Times New Roman" w:cs="Times New Roman"/>
                <w:sz w:val="24"/>
                <w:szCs w:val="24"/>
                <w:shd w:val="clear" w:color="auto" w:fill="FFFFFF"/>
              </w:rPr>
              <w:t xml:space="preserve">Visas ārstniecības personas, kuras vakcinē </w:t>
            </w:r>
            <w:r w:rsidR="008D45D8">
              <w:rPr>
                <w:rFonts w:ascii="Times New Roman" w:hAnsi="Times New Roman" w:cs="Times New Roman"/>
                <w:sz w:val="24"/>
                <w:szCs w:val="24"/>
                <w:shd w:val="clear" w:color="auto" w:fill="FFFFFF"/>
              </w:rPr>
              <w:t xml:space="preserve">cilvēkus </w:t>
            </w:r>
            <w:r w:rsidR="006106EE">
              <w:rPr>
                <w:rFonts w:ascii="Times New Roman" w:hAnsi="Times New Roman" w:cs="Times New Roman"/>
                <w:sz w:val="24"/>
                <w:szCs w:val="24"/>
                <w:shd w:val="clear" w:color="auto" w:fill="FFFFFF"/>
              </w:rPr>
              <w:t xml:space="preserve">pret Covid-19, vadās pēc </w:t>
            </w:r>
            <w:r w:rsidR="006106EE" w:rsidRPr="00355623">
              <w:rPr>
                <w:rFonts w:ascii="Times New Roman" w:hAnsi="Times New Roman" w:cs="Times New Roman"/>
                <w:sz w:val="24"/>
                <w:szCs w:val="24"/>
                <w:shd w:val="clear" w:color="auto" w:fill="FFFFFF"/>
              </w:rPr>
              <w:t>Covid-19 vakcinācijas</w:t>
            </w:r>
            <w:r w:rsidR="006106EE" w:rsidRPr="00C32A34">
              <w:rPr>
                <w:rFonts w:ascii="Times New Roman" w:hAnsi="Times New Roman" w:cs="Times New Roman"/>
                <w:sz w:val="24"/>
                <w:szCs w:val="24"/>
                <w:shd w:val="clear" w:color="auto" w:fill="FFFFFF"/>
              </w:rPr>
              <w:t xml:space="preserve"> rokasgrāmat</w:t>
            </w:r>
            <w:r w:rsidR="00611A4D">
              <w:rPr>
                <w:rFonts w:ascii="Times New Roman" w:hAnsi="Times New Roman" w:cs="Times New Roman"/>
                <w:sz w:val="24"/>
                <w:szCs w:val="24"/>
                <w:shd w:val="clear" w:color="auto" w:fill="FFFFFF"/>
              </w:rPr>
              <w:t>ā sniegtās informācijas</w:t>
            </w:r>
            <w:r w:rsidR="00C41915">
              <w:rPr>
                <w:rFonts w:ascii="Times New Roman" w:hAnsi="Times New Roman" w:cs="Times New Roman"/>
                <w:sz w:val="24"/>
                <w:szCs w:val="24"/>
                <w:shd w:val="clear" w:color="auto" w:fill="FFFFFF"/>
              </w:rPr>
              <w:t xml:space="preserve">, kas nepārtraukti tiek aktualizēta (norādot arī datumu, kad attiecīgā </w:t>
            </w:r>
            <w:r w:rsidR="00AB001F">
              <w:rPr>
                <w:rFonts w:ascii="Times New Roman" w:hAnsi="Times New Roman" w:cs="Times New Roman"/>
                <w:sz w:val="24"/>
                <w:szCs w:val="24"/>
                <w:shd w:val="clear" w:color="auto" w:fill="FFFFFF"/>
              </w:rPr>
              <w:t>rokasgrāmatas versija ir tikusi aktualizēta</w:t>
            </w:r>
            <w:r w:rsidR="00C41915">
              <w:rPr>
                <w:rFonts w:ascii="Times New Roman" w:hAnsi="Times New Roman" w:cs="Times New Roman"/>
                <w:sz w:val="24"/>
                <w:szCs w:val="24"/>
                <w:shd w:val="clear" w:color="auto" w:fill="FFFFFF"/>
              </w:rPr>
              <w:t>)</w:t>
            </w:r>
            <w:r w:rsidR="00AB001F">
              <w:rPr>
                <w:rFonts w:ascii="Times New Roman" w:hAnsi="Times New Roman" w:cs="Times New Roman"/>
                <w:sz w:val="24"/>
                <w:szCs w:val="24"/>
                <w:shd w:val="clear" w:color="auto" w:fill="FFFFFF"/>
              </w:rPr>
              <w:t>. Ārstniecības personām</w:t>
            </w:r>
            <w:r w:rsidR="00FF7223">
              <w:rPr>
                <w:rFonts w:ascii="Times New Roman" w:hAnsi="Times New Roman" w:cs="Times New Roman"/>
                <w:sz w:val="24"/>
                <w:szCs w:val="24"/>
                <w:shd w:val="clear" w:color="auto" w:fill="FFFFFF"/>
              </w:rPr>
              <w:t>,</w:t>
            </w:r>
            <w:r w:rsidR="00AB001F">
              <w:rPr>
                <w:rFonts w:ascii="Times New Roman" w:hAnsi="Times New Roman" w:cs="Times New Roman"/>
                <w:sz w:val="24"/>
                <w:szCs w:val="24"/>
                <w:shd w:val="clear" w:color="auto" w:fill="FFFFFF"/>
              </w:rPr>
              <w:t xml:space="preserve"> vakcinējot cilvēkus pret Covid-19</w:t>
            </w:r>
            <w:r w:rsidR="00FF7223">
              <w:rPr>
                <w:rFonts w:ascii="Times New Roman" w:hAnsi="Times New Roman" w:cs="Times New Roman"/>
                <w:sz w:val="24"/>
                <w:szCs w:val="24"/>
                <w:shd w:val="clear" w:color="auto" w:fill="FFFFFF"/>
              </w:rPr>
              <w:t>,</w:t>
            </w:r>
            <w:r w:rsidR="00AB001F">
              <w:rPr>
                <w:rFonts w:ascii="Times New Roman" w:hAnsi="Times New Roman" w:cs="Times New Roman"/>
                <w:sz w:val="24"/>
                <w:szCs w:val="24"/>
                <w:shd w:val="clear" w:color="auto" w:fill="FFFFFF"/>
              </w:rPr>
              <w:t xml:space="preserve"> ir jāvadās tikai pēc </w:t>
            </w:r>
            <w:r w:rsidR="005160FD">
              <w:rPr>
                <w:rFonts w:ascii="Times New Roman" w:hAnsi="Times New Roman" w:cs="Times New Roman"/>
                <w:sz w:val="24"/>
                <w:szCs w:val="24"/>
                <w:shd w:val="clear" w:color="auto" w:fill="FFFFFF"/>
              </w:rPr>
              <w:t xml:space="preserve">aktuālās </w:t>
            </w:r>
            <w:r w:rsidR="005160FD" w:rsidRPr="00355623">
              <w:rPr>
                <w:rFonts w:ascii="Times New Roman" w:hAnsi="Times New Roman" w:cs="Times New Roman"/>
                <w:sz w:val="24"/>
                <w:szCs w:val="24"/>
                <w:shd w:val="clear" w:color="auto" w:fill="FFFFFF"/>
              </w:rPr>
              <w:t>Covid-19 vakcinācijas</w:t>
            </w:r>
            <w:r w:rsidR="005160FD" w:rsidRPr="00C32A34">
              <w:rPr>
                <w:rFonts w:ascii="Times New Roman" w:hAnsi="Times New Roman" w:cs="Times New Roman"/>
                <w:sz w:val="24"/>
                <w:szCs w:val="24"/>
                <w:shd w:val="clear" w:color="auto" w:fill="FFFFFF"/>
              </w:rPr>
              <w:t xml:space="preserve"> rokasgrāmata</w:t>
            </w:r>
            <w:r w:rsidR="005160FD">
              <w:rPr>
                <w:rFonts w:ascii="Times New Roman" w:hAnsi="Times New Roman" w:cs="Times New Roman"/>
                <w:sz w:val="24"/>
                <w:szCs w:val="24"/>
                <w:shd w:val="clear" w:color="auto" w:fill="FFFFFF"/>
              </w:rPr>
              <w:t xml:space="preserve">s versijas, tādēļ ārstniecības personas tiek informētas par </w:t>
            </w:r>
            <w:r w:rsidR="00B32562">
              <w:rPr>
                <w:rFonts w:ascii="Times New Roman" w:hAnsi="Times New Roman" w:cs="Times New Roman"/>
                <w:sz w:val="24"/>
                <w:szCs w:val="24"/>
                <w:shd w:val="clear" w:color="auto" w:fill="FFFFFF"/>
              </w:rPr>
              <w:t xml:space="preserve">visiem atjauninājumiem </w:t>
            </w:r>
            <w:r w:rsidR="00400799" w:rsidRPr="00355623">
              <w:rPr>
                <w:rFonts w:ascii="Times New Roman" w:hAnsi="Times New Roman" w:cs="Times New Roman"/>
                <w:sz w:val="24"/>
                <w:szCs w:val="24"/>
                <w:shd w:val="clear" w:color="auto" w:fill="FFFFFF"/>
              </w:rPr>
              <w:t>Covid-19 vakcinācijas</w:t>
            </w:r>
            <w:r w:rsidR="00400799" w:rsidRPr="00C32A34">
              <w:rPr>
                <w:rFonts w:ascii="Times New Roman" w:hAnsi="Times New Roman" w:cs="Times New Roman"/>
                <w:sz w:val="24"/>
                <w:szCs w:val="24"/>
                <w:shd w:val="clear" w:color="auto" w:fill="FFFFFF"/>
              </w:rPr>
              <w:t xml:space="preserve"> rokasgrāmat</w:t>
            </w:r>
            <w:r w:rsidR="00400799">
              <w:rPr>
                <w:rFonts w:ascii="Times New Roman" w:hAnsi="Times New Roman" w:cs="Times New Roman"/>
                <w:sz w:val="24"/>
                <w:szCs w:val="24"/>
                <w:shd w:val="clear" w:color="auto" w:fill="FFFFFF"/>
              </w:rPr>
              <w:t>ā.</w:t>
            </w:r>
          </w:p>
          <w:p w14:paraId="15C8B227" w14:textId="062D198B" w:rsidR="00590D66" w:rsidRPr="00C32A34" w:rsidRDefault="000156C4" w:rsidP="00CF58A5">
            <w:pPr>
              <w:spacing w:after="0" w:line="240" w:lineRule="auto"/>
              <w:ind w:firstLine="567"/>
              <w:jc w:val="both"/>
              <w:rPr>
                <w:rFonts w:ascii="Times New Roman" w:hAnsi="Times New Roman" w:cs="Times New Roman"/>
                <w:sz w:val="24"/>
                <w:szCs w:val="24"/>
                <w:shd w:val="clear" w:color="auto" w:fill="FFFFFF"/>
              </w:rPr>
            </w:pPr>
            <w:r w:rsidRPr="00355623">
              <w:rPr>
                <w:rFonts w:ascii="Times New Roman" w:hAnsi="Times New Roman" w:cs="Times New Roman"/>
                <w:sz w:val="24"/>
                <w:szCs w:val="24"/>
                <w:shd w:val="clear" w:color="auto" w:fill="FFFFFF"/>
              </w:rPr>
              <w:t>Covid-19 vakcinācijas</w:t>
            </w:r>
            <w:r w:rsidR="00590D66" w:rsidRPr="00C32A34">
              <w:rPr>
                <w:rFonts w:ascii="Times New Roman" w:hAnsi="Times New Roman" w:cs="Times New Roman"/>
                <w:sz w:val="24"/>
                <w:szCs w:val="24"/>
                <w:shd w:val="clear" w:color="auto" w:fill="FFFFFF"/>
              </w:rPr>
              <w:t xml:space="preserve"> rokasgrāmata tiks papildināta ar rekomendācij</w:t>
            </w:r>
            <w:r w:rsidR="003520D3">
              <w:rPr>
                <w:rFonts w:ascii="Times New Roman" w:hAnsi="Times New Roman" w:cs="Times New Roman"/>
                <w:sz w:val="24"/>
                <w:szCs w:val="24"/>
                <w:shd w:val="clear" w:color="auto" w:fill="FFFFFF"/>
              </w:rPr>
              <w:t>u</w:t>
            </w:r>
            <w:r w:rsidR="00590D66" w:rsidRPr="00C32A34">
              <w:rPr>
                <w:rFonts w:ascii="Times New Roman" w:hAnsi="Times New Roman" w:cs="Times New Roman"/>
                <w:sz w:val="24"/>
                <w:szCs w:val="24"/>
                <w:shd w:val="clear" w:color="auto" w:fill="FFFFFF"/>
              </w:rPr>
              <w:t xml:space="preserve"> papildu vakcinācijas devas nozīmēšanai pēc pilna vakcinācijas kursa, ka</w:t>
            </w:r>
            <w:r w:rsidR="00640196">
              <w:rPr>
                <w:rFonts w:ascii="Times New Roman" w:hAnsi="Times New Roman" w:cs="Times New Roman"/>
                <w:sz w:val="24"/>
                <w:szCs w:val="24"/>
                <w:shd w:val="clear" w:color="auto" w:fill="FFFFFF"/>
              </w:rPr>
              <w:t>s</w:t>
            </w:r>
            <w:r w:rsidR="00590D66" w:rsidRPr="00C32A34">
              <w:rPr>
                <w:rFonts w:ascii="Times New Roman" w:hAnsi="Times New Roman" w:cs="Times New Roman"/>
                <w:sz w:val="24"/>
                <w:szCs w:val="24"/>
                <w:shd w:val="clear" w:color="auto" w:fill="FFFFFF"/>
              </w:rPr>
              <w:t xml:space="preserve"> ir balstīts uz zemāk aprakstītajiem apsvērumiem</w:t>
            </w:r>
            <w:r w:rsidR="003520D3">
              <w:rPr>
                <w:rFonts w:ascii="Times New Roman" w:hAnsi="Times New Roman" w:cs="Times New Roman"/>
                <w:sz w:val="24"/>
                <w:szCs w:val="24"/>
                <w:shd w:val="clear" w:color="auto" w:fill="FFFFFF"/>
              </w:rPr>
              <w:t xml:space="preserve">, </w:t>
            </w:r>
            <w:r w:rsidR="000C12F1">
              <w:rPr>
                <w:rFonts w:ascii="Times New Roman" w:hAnsi="Times New Roman" w:cs="Times New Roman"/>
                <w:sz w:val="24"/>
                <w:szCs w:val="24"/>
                <w:shd w:val="clear" w:color="auto" w:fill="FFFFFF"/>
              </w:rPr>
              <w:t>pabeigšanas</w:t>
            </w:r>
            <w:r w:rsidR="00590D66" w:rsidRPr="00C32A34">
              <w:rPr>
                <w:rFonts w:ascii="Times New Roman" w:hAnsi="Times New Roman" w:cs="Times New Roman"/>
                <w:sz w:val="24"/>
                <w:szCs w:val="24"/>
                <w:shd w:val="clear" w:color="auto" w:fill="FFFFFF"/>
              </w:rPr>
              <w:t>.</w:t>
            </w:r>
            <w:r w:rsidR="00CF58A5">
              <w:rPr>
                <w:rFonts w:ascii="Times New Roman" w:hAnsi="Times New Roman" w:cs="Times New Roman"/>
                <w:sz w:val="24"/>
                <w:szCs w:val="24"/>
                <w:shd w:val="clear" w:color="auto" w:fill="FFFFFF"/>
              </w:rPr>
              <w:t xml:space="preserve"> </w:t>
            </w:r>
            <w:r w:rsidR="00590D66" w:rsidRPr="00C32A34">
              <w:rPr>
                <w:rFonts w:ascii="Times New Roman" w:hAnsi="Times New Roman" w:cs="Times New Roman"/>
                <w:sz w:val="24"/>
                <w:szCs w:val="24"/>
                <w:shd w:val="clear" w:color="auto" w:fill="FFFFFF"/>
              </w:rPr>
              <w:t>Ņemot vērā minēto</w:t>
            </w:r>
            <w:r w:rsidR="00B5698B">
              <w:rPr>
                <w:rFonts w:ascii="Times New Roman" w:hAnsi="Times New Roman" w:cs="Times New Roman"/>
                <w:sz w:val="24"/>
                <w:szCs w:val="24"/>
                <w:shd w:val="clear" w:color="auto" w:fill="FFFFFF"/>
              </w:rPr>
              <w:t>,</w:t>
            </w:r>
            <w:r w:rsidR="00590D66" w:rsidRPr="00C32A34">
              <w:rPr>
                <w:rFonts w:ascii="Times New Roman" w:hAnsi="Times New Roman" w:cs="Times New Roman"/>
                <w:sz w:val="24"/>
                <w:szCs w:val="24"/>
                <w:shd w:val="clear" w:color="auto" w:fill="FFFFFF"/>
              </w:rPr>
              <w:t xml:space="preserve"> ir nepieciešams Covid-19 vakcinācijas regulējumu papildināt ar atsauci uz ZVA </w:t>
            </w:r>
            <w:r w:rsidR="00BA05C5">
              <w:rPr>
                <w:rFonts w:ascii="Times New Roman" w:hAnsi="Times New Roman" w:cs="Times New Roman"/>
                <w:sz w:val="24"/>
                <w:szCs w:val="24"/>
                <w:shd w:val="clear" w:color="auto" w:fill="FFFFFF"/>
              </w:rPr>
              <w:t>tīmekļvietnē</w:t>
            </w:r>
            <w:r w:rsidR="00590D66" w:rsidRPr="00C32A34">
              <w:rPr>
                <w:rFonts w:ascii="Times New Roman" w:hAnsi="Times New Roman" w:cs="Times New Roman"/>
                <w:sz w:val="24"/>
                <w:szCs w:val="24"/>
                <w:shd w:val="clear" w:color="auto" w:fill="FFFFFF"/>
              </w:rPr>
              <w:t xml:space="preserve"> publicēto </w:t>
            </w:r>
            <w:r w:rsidR="00BA05C5" w:rsidRPr="00355623">
              <w:rPr>
                <w:rFonts w:ascii="Times New Roman" w:hAnsi="Times New Roman" w:cs="Times New Roman"/>
                <w:sz w:val="24"/>
                <w:szCs w:val="24"/>
                <w:shd w:val="clear" w:color="auto" w:fill="FFFFFF"/>
              </w:rPr>
              <w:t>Covid-19 vakcinācijas</w:t>
            </w:r>
            <w:r w:rsidR="00590D66" w:rsidRPr="00C32A34">
              <w:rPr>
                <w:rFonts w:ascii="Times New Roman" w:hAnsi="Times New Roman" w:cs="Times New Roman"/>
                <w:sz w:val="24"/>
                <w:szCs w:val="24"/>
                <w:shd w:val="clear" w:color="auto" w:fill="FFFFFF"/>
              </w:rPr>
              <w:t xml:space="preserve"> rokasgrāmatu.</w:t>
            </w:r>
          </w:p>
          <w:p w14:paraId="4F673BCA" w14:textId="18D2C0AA" w:rsidR="00590D66" w:rsidRPr="00C32A34" w:rsidRDefault="00590D66" w:rsidP="00590D66">
            <w:pPr>
              <w:spacing w:after="0" w:line="240" w:lineRule="auto"/>
              <w:ind w:firstLine="567"/>
              <w:jc w:val="both"/>
              <w:rPr>
                <w:rFonts w:ascii="Times New Roman" w:hAnsi="Times New Roman" w:cs="Times New Roman"/>
                <w:sz w:val="24"/>
                <w:szCs w:val="24"/>
                <w:shd w:val="clear" w:color="auto" w:fill="FFFFFF"/>
              </w:rPr>
            </w:pPr>
            <w:r w:rsidRPr="00C32A34">
              <w:rPr>
                <w:rFonts w:ascii="Times New Roman" w:hAnsi="Times New Roman" w:cs="Times New Roman"/>
                <w:sz w:val="24"/>
                <w:szCs w:val="24"/>
                <w:shd w:val="clear" w:color="auto" w:fill="FFFFFF"/>
              </w:rPr>
              <w:t>ECDC</w:t>
            </w:r>
            <w:r w:rsidR="00CC1E4D">
              <w:rPr>
                <w:rFonts w:ascii="Times New Roman" w:hAnsi="Times New Roman" w:cs="Times New Roman"/>
                <w:sz w:val="24"/>
                <w:szCs w:val="24"/>
                <w:shd w:val="clear" w:color="auto" w:fill="FFFFFF"/>
              </w:rPr>
              <w:t>,</w:t>
            </w:r>
            <w:r w:rsidRPr="00C32A34">
              <w:rPr>
                <w:rFonts w:ascii="Times New Roman" w:hAnsi="Times New Roman" w:cs="Times New Roman"/>
                <w:sz w:val="24"/>
                <w:szCs w:val="24"/>
                <w:shd w:val="clear" w:color="auto" w:fill="FFFFFF"/>
              </w:rPr>
              <w:t xml:space="preserve"> uzsākot risināt jautājumu par papildu devas nepieciešamību cilvēkiem, kas pabeiguši vakcinācijas kursu pēc šobrīd pieņemtās </w:t>
            </w:r>
            <w:r w:rsidRPr="00C32A34">
              <w:rPr>
                <w:rFonts w:ascii="Times New Roman" w:hAnsi="Times New Roman" w:cs="Times New Roman"/>
                <w:sz w:val="24"/>
                <w:szCs w:val="24"/>
                <w:shd w:val="clear" w:color="auto" w:fill="FFFFFF"/>
              </w:rPr>
              <w:lastRenderedPageBreak/>
              <w:t xml:space="preserve">vakcinācijas shēmas, uzsver, ka ir jānodala apsvērumi nepieciešamībai pēc papildu devas </w:t>
            </w:r>
            <w:r w:rsidR="006536EF">
              <w:rPr>
                <w:rFonts w:ascii="Times New Roman" w:hAnsi="Times New Roman" w:cs="Times New Roman"/>
                <w:sz w:val="24"/>
                <w:szCs w:val="24"/>
                <w:shd w:val="clear" w:color="auto" w:fill="FFFFFF"/>
              </w:rPr>
              <w:t xml:space="preserve">ievadīšanas </w:t>
            </w:r>
            <w:r w:rsidRPr="00C32A34">
              <w:rPr>
                <w:rFonts w:ascii="Times New Roman" w:hAnsi="Times New Roman" w:cs="Times New Roman"/>
                <w:sz w:val="24"/>
                <w:szCs w:val="24"/>
                <w:shd w:val="clear" w:color="auto" w:fill="FFFFFF"/>
              </w:rPr>
              <w:t>cilvēkiem, k</w:t>
            </w:r>
            <w:r w:rsidR="008829BE">
              <w:rPr>
                <w:rFonts w:ascii="Times New Roman" w:hAnsi="Times New Roman" w:cs="Times New Roman"/>
                <w:sz w:val="24"/>
                <w:szCs w:val="24"/>
                <w:shd w:val="clear" w:color="auto" w:fill="FFFFFF"/>
              </w:rPr>
              <w:t>uri</w:t>
            </w:r>
            <w:r w:rsidRPr="00C32A34">
              <w:rPr>
                <w:rFonts w:ascii="Times New Roman" w:hAnsi="Times New Roman" w:cs="Times New Roman"/>
                <w:sz w:val="24"/>
                <w:szCs w:val="24"/>
                <w:shd w:val="clear" w:color="auto" w:fill="FFFFFF"/>
              </w:rPr>
              <w:t xml:space="preserve"> </w:t>
            </w:r>
            <w:r w:rsidR="008829BE" w:rsidRPr="00C32A34">
              <w:rPr>
                <w:rFonts w:ascii="Times New Roman" w:hAnsi="Times New Roman" w:cs="Times New Roman"/>
                <w:sz w:val="24"/>
                <w:szCs w:val="24"/>
                <w:shd w:val="clear" w:color="auto" w:fill="FFFFFF"/>
              </w:rPr>
              <w:t xml:space="preserve">ir </w:t>
            </w:r>
            <w:r w:rsidRPr="00C32A34">
              <w:rPr>
                <w:rFonts w:ascii="Times New Roman" w:hAnsi="Times New Roman" w:cs="Times New Roman"/>
                <w:sz w:val="24"/>
                <w:szCs w:val="24"/>
                <w:shd w:val="clear" w:color="auto" w:fill="FFFFFF"/>
              </w:rPr>
              <w:t>adekvāti reaģējuši uz pabeigto vakcinācijas kursu un k</w:t>
            </w:r>
            <w:r w:rsidR="003F6A99">
              <w:rPr>
                <w:rFonts w:ascii="Times New Roman" w:hAnsi="Times New Roman" w:cs="Times New Roman"/>
                <w:sz w:val="24"/>
                <w:szCs w:val="24"/>
                <w:shd w:val="clear" w:color="auto" w:fill="FFFFFF"/>
              </w:rPr>
              <w:t>urie</w:t>
            </w:r>
            <w:r w:rsidRPr="00C32A34">
              <w:rPr>
                <w:rFonts w:ascii="Times New Roman" w:hAnsi="Times New Roman" w:cs="Times New Roman"/>
                <w:sz w:val="24"/>
                <w:szCs w:val="24"/>
                <w:shd w:val="clear" w:color="auto" w:fill="FFFFFF"/>
              </w:rPr>
              <w:t xml:space="preserve">m </w:t>
            </w:r>
            <w:r w:rsidR="003F6A99">
              <w:rPr>
                <w:rFonts w:ascii="Times New Roman" w:hAnsi="Times New Roman" w:cs="Times New Roman"/>
                <w:sz w:val="24"/>
                <w:szCs w:val="24"/>
                <w:shd w:val="clear" w:color="auto" w:fill="FFFFFF"/>
              </w:rPr>
              <w:t xml:space="preserve">ir </w:t>
            </w:r>
            <w:r w:rsidRPr="00C32A34">
              <w:rPr>
                <w:rFonts w:ascii="Times New Roman" w:hAnsi="Times New Roman" w:cs="Times New Roman"/>
                <w:sz w:val="24"/>
                <w:szCs w:val="24"/>
                <w:shd w:val="clear" w:color="auto" w:fill="FFFFFF"/>
              </w:rPr>
              <w:t>nepieciešams atjaunot aizsardzību pret inficēšanos, kad vakcīnas ietekme ir mazinājusies</w:t>
            </w:r>
            <w:r w:rsidR="00AF02B4">
              <w:rPr>
                <w:rFonts w:ascii="Times New Roman" w:hAnsi="Times New Roman" w:cs="Times New Roman"/>
                <w:sz w:val="24"/>
                <w:szCs w:val="24"/>
                <w:shd w:val="clear" w:color="auto" w:fill="FFFFFF"/>
              </w:rPr>
              <w:t>,</w:t>
            </w:r>
            <w:r w:rsidRPr="00C32A34">
              <w:rPr>
                <w:rFonts w:ascii="Times New Roman" w:hAnsi="Times New Roman" w:cs="Times New Roman"/>
                <w:sz w:val="24"/>
                <w:szCs w:val="24"/>
                <w:shd w:val="clear" w:color="auto" w:fill="FFFFFF"/>
              </w:rPr>
              <w:t xml:space="preserve"> no cilvēkiem, k</w:t>
            </w:r>
            <w:r w:rsidR="006536EF">
              <w:rPr>
                <w:rFonts w:ascii="Times New Roman" w:hAnsi="Times New Roman" w:cs="Times New Roman"/>
                <w:sz w:val="24"/>
                <w:szCs w:val="24"/>
                <w:shd w:val="clear" w:color="auto" w:fill="FFFFFF"/>
              </w:rPr>
              <w:t>urie</w:t>
            </w:r>
            <w:r w:rsidRPr="00C32A34">
              <w:rPr>
                <w:rFonts w:ascii="Times New Roman" w:hAnsi="Times New Roman" w:cs="Times New Roman"/>
                <w:sz w:val="24"/>
                <w:szCs w:val="24"/>
                <w:shd w:val="clear" w:color="auto" w:fill="FFFFFF"/>
              </w:rPr>
              <w:t xml:space="preserve">m papildu vakcīnas deva ir nepieciešama jau pirmreizējas vakcinācijas shēmas ietvarā, jo novājinātās imunitātes dēļ standarta vakcinācijas shēma nav devusi nepieciešamo aizsardzību. </w:t>
            </w:r>
          </w:p>
          <w:p w14:paraId="466D8202" w14:textId="088981F1" w:rsidR="00590D66" w:rsidRPr="00C32A34" w:rsidRDefault="00590D66" w:rsidP="00590D66">
            <w:pPr>
              <w:spacing w:after="0" w:line="240" w:lineRule="auto"/>
              <w:ind w:firstLine="567"/>
              <w:jc w:val="both"/>
              <w:rPr>
                <w:rFonts w:ascii="Times New Roman" w:hAnsi="Times New Roman" w:cs="Times New Roman"/>
                <w:sz w:val="24"/>
                <w:szCs w:val="24"/>
                <w:shd w:val="clear" w:color="auto" w:fill="FFFFFF"/>
              </w:rPr>
            </w:pPr>
            <w:r w:rsidRPr="00C32A34">
              <w:rPr>
                <w:rFonts w:ascii="Times New Roman" w:hAnsi="Times New Roman" w:cs="Times New Roman"/>
                <w:sz w:val="24"/>
                <w:szCs w:val="24"/>
                <w:shd w:val="clear" w:color="auto" w:fill="FFFFFF"/>
              </w:rPr>
              <w:t xml:space="preserve">Vienlaicīgi ECDC </w:t>
            </w:r>
            <w:r w:rsidR="00187957" w:rsidRPr="00C32A34">
              <w:rPr>
                <w:rFonts w:ascii="Times New Roman" w:hAnsi="Times New Roman" w:cs="Times New Roman"/>
                <w:sz w:val="24"/>
                <w:szCs w:val="24"/>
                <w:shd w:val="clear" w:color="auto" w:fill="FFFFFF"/>
              </w:rPr>
              <w:t xml:space="preserve">arī </w:t>
            </w:r>
            <w:r w:rsidRPr="00C32A34">
              <w:rPr>
                <w:rFonts w:ascii="Times New Roman" w:hAnsi="Times New Roman" w:cs="Times New Roman"/>
                <w:sz w:val="24"/>
                <w:szCs w:val="24"/>
                <w:shd w:val="clear" w:color="auto" w:fill="FFFFFF"/>
              </w:rPr>
              <w:t xml:space="preserve">uzsver, ka šobrīd nav zinātnisku pierādījumu, ka pēc pabeigtas standarta vakcinācijas mazinātos vakcīnu efektivitāte un būtu nepieciešamība pēc papildu </w:t>
            </w:r>
            <w:proofErr w:type="spellStart"/>
            <w:r w:rsidRPr="00C32A34">
              <w:rPr>
                <w:rFonts w:ascii="Times New Roman" w:hAnsi="Times New Roman" w:cs="Times New Roman"/>
                <w:sz w:val="24"/>
                <w:szCs w:val="24"/>
                <w:shd w:val="clear" w:color="auto" w:fill="FFFFFF"/>
              </w:rPr>
              <w:t>balstvakcinācijas</w:t>
            </w:r>
            <w:proofErr w:type="spellEnd"/>
            <w:r w:rsidRPr="00C32A34">
              <w:rPr>
                <w:rFonts w:ascii="Times New Roman" w:hAnsi="Times New Roman" w:cs="Times New Roman"/>
                <w:sz w:val="24"/>
                <w:szCs w:val="24"/>
                <w:shd w:val="clear" w:color="auto" w:fill="FFFFFF"/>
              </w:rPr>
              <w:t xml:space="preserve">. </w:t>
            </w:r>
          </w:p>
          <w:p w14:paraId="72216775" w14:textId="1EBC9876" w:rsidR="00590D66" w:rsidRPr="00C32A34" w:rsidRDefault="00590D66" w:rsidP="00590D66">
            <w:pPr>
              <w:spacing w:after="0" w:line="240" w:lineRule="auto"/>
              <w:ind w:firstLine="567"/>
              <w:jc w:val="both"/>
              <w:rPr>
                <w:rFonts w:ascii="Times New Roman" w:hAnsi="Times New Roman" w:cs="Times New Roman"/>
                <w:sz w:val="24"/>
                <w:szCs w:val="24"/>
                <w:shd w:val="clear" w:color="auto" w:fill="FFFFFF"/>
              </w:rPr>
            </w:pPr>
            <w:r w:rsidRPr="00C32A34">
              <w:rPr>
                <w:rFonts w:ascii="Times New Roman" w:hAnsi="Times New Roman" w:cs="Times New Roman"/>
                <w:sz w:val="24"/>
                <w:szCs w:val="24"/>
                <w:shd w:val="clear" w:color="auto" w:fill="FFFFFF"/>
              </w:rPr>
              <w:t xml:space="preserve">Savukārt cilvēkiem ar veselības stāvokļiem, kad ir samazināta organisma imūnās sistēmas funkcionēšana, ir pamats saņemt papildu </w:t>
            </w:r>
            <w:proofErr w:type="spellStart"/>
            <w:r w:rsidRPr="00C32A34">
              <w:rPr>
                <w:rFonts w:ascii="Times New Roman" w:hAnsi="Times New Roman" w:cs="Times New Roman"/>
                <w:sz w:val="24"/>
                <w:szCs w:val="24"/>
                <w:shd w:val="clear" w:color="auto" w:fill="FFFFFF"/>
              </w:rPr>
              <w:t>balstvakcinācijas</w:t>
            </w:r>
            <w:proofErr w:type="spellEnd"/>
            <w:r w:rsidRPr="00C32A34">
              <w:rPr>
                <w:rFonts w:ascii="Times New Roman" w:hAnsi="Times New Roman" w:cs="Times New Roman"/>
                <w:sz w:val="24"/>
                <w:szCs w:val="24"/>
                <w:shd w:val="clear" w:color="auto" w:fill="FFFFFF"/>
              </w:rPr>
              <w:t xml:space="preserve"> devu, lai nostiprinātu standarta vakcinācijas efektivitāti, piemēram</w:t>
            </w:r>
            <w:r w:rsidR="00B47A65">
              <w:rPr>
                <w:rFonts w:ascii="Times New Roman" w:hAnsi="Times New Roman" w:cs="Times New Roman"/>
                <w:sz w:val="24"/>
                <w:szCs w:val="24"/>
                <w:shd w:val="clear" w:color="auto" w:fill="FFFFFF"/>
              </w:rPr>
              <w:t>,</w:t>
            </w:r>
            <w:r w:rsidRPr="00C32A34">
              <w:rPr>
                <w:rFonts w:ascii="Times New Roman" w:hAnsi="Times New Roman" w:cs="Times New Roman"/>
                <w:sz w:val="24"/>
                <w:szCs w:val="24"/>
                <w:shd w:val="clear" w:color="auto" w:fill="FFFFFF"/>
              </w:rPr>
              <w:t xml:space="preserve"> cilvēki pēc orgānu transplantācijas. Tāpat arī var tikt apsvērta personu ar dziļi novājinātu imunitāti aprūpētāju un mājinieku vakcinācija ar papildu devu pēc pabeigtas standarta vakcinācijas. </w:t>
            </w:r>
          </w:p>
          <w:p w14:paraId="068AE074" w14:textId="070556CA" w:rsidR="00590D66" w:rsidRPr="00C32A34" w:rsidRDefault="00590D66" w:rsidP="00590D66">
            <w:pPr>
              <w:spacing w:after="0" w:line="240" w:lineRule="auto"/>
              <w:ind w:firstLine="567"/>
              <w:jc w:val="both"/>
              <w:rPr>
                <w:rFonts w:ascii="Times New Roman" w:hAnsi="Times New Roman" w:cs="Times New Roman"/>
                <w:sz w:val="24"/>
                <w:szCs w:val="24"/>
                <w:shd w:val="clear" w:color="auto" w:fill="FFFFFF"/>
              </w:rPr>
            </w:pPr>
            <w:r w:rsidRPr="00C32A34">
              <w:rPr>
                <w:rFonts w:ascii="Times New Roman" w:hAnsi="Times New Roman" w:cs="Times New Roman"/>
                <w:sz w:val="24"/>
                <w:szCs w:val="24"/>
                <w:shd w:val="clear" w:color="auto" w:fill="FFFFFF"/>
              </w:rPr>
              <w:t>Covid-19 vakcīnu efektivitāte personām, k</w:t>
            </w:r>
            <w:r w:rsidR="002B7784">
              <w:rPr>
                <w:rFonts w:ascii="Times New Roman" w:hAnsi="Times New Roman" w:cs="Times New Roman"/>
                <w:sz w:val="24"/>
                <w:szCs w:val="24"/>
                <w:shd w:val="clear" w:color="auto" w:fill="FFFFFF"/>
              </w:rPr>
              <w:t>urā</w:t>
            </w:r>
            <w:r w:rsidRPr="00C32A34">
              <w:rPr>
                <w:rFonts w:ascii="Times New Roman" w:hAnsi="Times New Roman" w:cs="Times New Roman"/>
                <w:sz w:val="24"/>
                <w:szCs w:val="24"/>
                <w:shd w:val="clear" w:color="auto" w:fill="FFFFFF"/>
              </w:rPr>
              <w:t>m ir augsti veselības riski saistībā ar Covid-19</w:t>
            </w:r>
            <w:r w:rsidR="00605622">
              <w:rPr>
                <w:rFonts w:ascii="Times New Roman" w:hAnsi="Times New Roman" w:cs="Times New Roman"/>
                <w:sz w:val="24"/>
                <w:szCs w:val="24"/>
                <w:shd w:val="clear" w:color="auto" w:fill="FFFFFF"/>
              </w:rPr>
              <w:t>,</w:t>
            </w:r>
            <w:r w:rsidRPr="00C32A34">
              <w:rPr>
                <w:rFonts w:ascii="Times New Roman" w:hAnsi="Times New Roman" w:cs="Times New Roman"/>
                <w:sz w:val="24"/>
                <w:szCs w:val="24"/>
                <w:shd w:val="clear" w:color="auto" w:fill="FFFFFF"/>
              </w:rPr>
              <w:t xml:space="preserve"> un personu, k</w:t>
            </w:r>
            <w:r w:rsidR="00605622">
              <w:rPr>
                <w:rFonts w:ascii="Times New Roman" w:hAnsi="Times New Roman" w:cs="Times New Roman"/>
                <w:sz w:val="24"/>
                <w:szCs w:val="24"/>
                <w:shd w:val="clear" w:color="auto" w:fill="FFFFFF"/>
              </w:rPr>
              <w:t>ur</w:t>
            </w:r>
            <w:r w:rsidRPr="00C32A34">
              <w:rPr>
                <w:rFonts w:ascii="Times New Roman" w:hAnsi="Times New Roman" w:cs="Times New Roman"/>
                <w:sz w:val="24"/>
                <w:szCs w:val="24"/>
                <w:shd w:val="clear" w:color="auto" w:fill="FFFFFF"/>
              </w:rPr>
              <w:t>as dzīvo augsta riska kopienās (ilgstošas sociālās aprūpes centri, ieslodzījum</w:t>
            </w:r>
            <w:r w:rsidR="00A00449">
              <w:rPr>
                <w:rFonts w:ascii="Times New Roman" w:hAnsi="Times New Roman" w:cs="Times New Roman"/>
                <w:sz w:val="24"/>
                <w:szCs w:val="24"/>
                <w:shd w:val="clear" w:color="auto" w:fill="FFFFFF"/>
              </w:rPr>
              <w:t>u</w:t>
            </w:r>
            <w:r w:rsidRPr="00C32A34">
              <w:rPr>
                <w:rFonts w:ascii="Times New Roman" w:hAnsi="Times New Roman" w:cs="Times New Roman"/>
                <w:sz w:val="24"/>
                <w:szCs w:val="24"/>
                <w:shd w:val="clear" w:color="auto" w:fill="FFFFFF"/>
              </w:rPr>
              <w:t xml:space="preserve"> vietas, patversmes u</w:t>
            </w:r>
            <w:r w:rsidR="00AF6F75">
              <w:rPr>
                <w:rFonts w:ascii="Times New Roman" w:hAnsi="Times New Roman" w:cs="Times New Roman"/>
                <w:sz w:val="24"/>
                <w:szCs w:val="24"/>
                <w:shd w:val="clear" w:color="auto" w:fill="FFFFFF"/>
              </w:rPr>
              <w:t>. </w:t>
            </w:r>
            <w:r w:rsidRPr="00C32A34">
              <w:rPr>
                <w:rFonts w:ascii="Times New Roman" w:hAnsi="Times New Roman" w:cs="Times New Roman"/>
                <w:sz w:val="24"/>
                <w:szCs w:val="24"/>
                <w:shd w:val="clear" w:color="auto" w:fill="FFFFFF"/>
              </w:rPr>
              <w:t>tml.), joprojām turpinās, tādēļ rekomendācijas par to</w:t>
            </w:r>
            <w:r w:rsidR="00E349F7">
              <w:rPr>
                <w:rFonts w:ascii="Times New Roman" w:hAnsi="Times New Roman" w:cs="Times New Roman"/>
                <w:sz w:val="24"/>
                <w:szCs w:val="24"/>
                <w:shd w:val="clear" w:color="auto" w:fill="FFFFFF"/>
              </w:rPr>
              <w:t>,</w:t>
            </w:r>
            <w:r w:rsidRPr="00C32A34">
              <w:rPr>
                <w:rFonts w:ascii="Times New Roman" w:hAnsi="Times New Roman" w:cs="Times New Roman"/>
                <w:sz w:val="24"/>
                <w:szCs w:val="24"/>
                <w:shd w:val="clear" w:color="auto" w:fill="FFFFFF"/>
              </w:rPr>
              <w:t xml:space="preserve"> vai ir nepieciešams</w:t>
            </w:r>
            <w:r w:rsidR="006F74E4">
              <w:rPr>
                <w:rFonts w:ascii="Times New Roman" w:hAnsi="Times New Roman" w:cs="Times New Roman"/>
                <w:sz w:val="24"/>
                <w:szCs w:val="24"/>
                <w:shd w:val="clear" w:color="auto" w:fill="FFFFFF"/>
              </w:rPr>
              <w:t>,</w:t>
            </w:r>
            <w:r w:rsidRPr="00C32A34">
              <w:rPr>
                <w:rFonts w:ascii="Times New Roman" w:hAnsi="Times New Roman" w:cs="Times New Roman"/>
                <w:sz w:val="24"/>
                <w:szCs w:val="24"/>
                <w:shd w:val="clear" w:color="auto" w:fill="FFFFFF"/>
              </w:rPr>
              <w:t xml:space="preserve"> un atbilstoši kādai shēmai nozīmēt papildu devu pēc pabeigtas vakcinācijas</w:t>
            </w:r>
            <w:r w:rsidR="00151CA8">
              <w:rPr>
                <w:rFonts w:ascii="Times New Roman" w:hAnsi="Times New Roman" w:cs="Times New Roman"/>
                <w:sz w:val="24"/>
                <w:szCs w:val="24"/>
                <w:shd w:val="clear" w:color="auto" w:fill="FFFFFF"/>
              </w:rPr>
              <w:t>,</w:t>
            </w:r>
            <w:r w:rsidRPr="00C32A34">
              <w:rPr>
                <w:rFonts w:ascii="Times New Roman" w:hAnsi="Times New Roman" w:cs="Times New Roman"/>
                <w:sz w:val="24"/>
                <w:szCs w:val="24"/>
                <w:shd w:val="clear" w:color="auto" w:fill="FFFFFF"/>
              </w:rPr>
              <w:t xml:space="preserve"> šīm personām vēl tiks izstrādātas, ka</w:t>
            </w:r>
            <w:r w:rsidR="00EF438B">
              <w:rPr>
                <w:rFonts w:ascii="Times New Roman" w:hAnsi="Times New Roman" w:cs="Times New Roman"/>
                <w:sz w:val="24"/>
                <w:szCs w:val="24"/>
                <w:shd w:val="clear" w:color="auto" w:fill="FFFFFF"/>
              </w:rPr>
              <w:t>d</w:t>
            </w:r>
            <w:r w:rsidRPr="00C32A34">
              <w:rPr>
                <w:rFonts w:ascii="Times New Roman" w:hAnsi="Times New Roman" w:cs="Times New Roman"/>
                <w:sz w:val="24"/>
                <w:szCs w:val="24"/>
                <w:shd w:val="clear" w:color="auto" w:fill="FFFFFF"/>
              </w:rPr>
              <w:t xml:space="preserve"> </w:t>
            </w:r>
            <w:r w:rsidR="00CF0CA9" w:rsidRPr="00C32A34">
              <w:rPr>
                <w:rFonts w:ascii="Times New Roman" w:hAnsi="Times New Roman" w:cs="Times New Roman"/>
                <w:sz w:val="24"/>
                <w:szCs w:val="24"/>
                <w:shd w:val="clear" w:color="auto" w:fill="FFFFFF"/>
              </w:rPr>
              <w:t xml:space="preserve">pietiekami daudz </w:t>
            </w:r>
            <w:r w:rsidRPr="00C32A34">
              <w:rPr>
                <w:rFonts w:ascii="Times New Roman" w:hAnsi="Times New Roman" w:cs="Times New Roman"/>
                <w:sz w:val="24"/>
                <w:szCs w:val="24"/>
                <w:shd w:val="clear" w:color="auto" w:fill="FFFFFF"/>
              </w:rPr>
              <w:t>būs pieejami objektīvi dati.</w:t>
            </w:r>
          </w:p>
          <w:p w14:paraId="18D179D1" w14:textId="21758AF6" w:rsidR="00590D66" w:rsidRPr="00C32A34" w:rsidRDefault="00590D66" w:rsidP="00590D66">
            <w:pPr>
              <w:spacing w:after="0" w:line="240" w:lineRule="auto"/>
              <w:ind w:firstLine="567"/>
              <w:jc w:val="both"/>
              <w:rPr>
                <w:rFonts w:ascii="Times New Roman" w:hAnsi="Times New Roman" w:cs="Times New Roman"/>
                <w:sz w:val="24"/>
                <w:szCs w:val="24"/>
                <w:shd w:val="clear" w:color="auto" w:fill="FFFFFF"/>
              </w:rPr>
            </w:pPr>
            <w:r w:rsidRPr="00C32A34">
              <w:rPr>
                <w:rFonts w:ascii="Times New Roman" w:hAnsi="Times New Roman" w:cs="Times New Roman"/>
                <w:sz w:val="24"/>
                <w:szCs w:val="24"/>
                <w:shd w:val="clear" w:color="auto" w:fill="FFFFFF"/>
              </w:rPr>
              <w:t xml:space="preserve">Arī EZA ir nākusi klajā ar paziņojumu, ka šobrīd nav pamata nekavējoties uzsākt papildu devu vakcinēšanu pilnībā vakcinētām personām. Kā liecina pieejamie dati visas ES reģistrētās vakcīnas nodrošina pietiekamu aizsardzību pret smagiem saslimšanas gadījumiem ar Covid-19 un nāves gadījumiem. Tajā pat laikā apmēram trešdaļa ES iedzīvotāju līdz 18 gadu vecumam </w:t>
            </w:r>
            <w:r w:rsidR="008720CE">
              <w:rPr>
                <w:rFonts w:ascii="Times New Roman" w:hAnsi="Times New Roman" w:cs="Times New Roman"/>
                <w:sz w:val="24"/>
                <w:szCs w:val="24"/>
                <w:shd w:val="clear" w:color="auto" w:fill="FFFFFF"/>
              </w:rPr>
              <w:t xml:space="preserve">vēl </w:t>
            </w:r>
            <w:r w:rsidRPr="00C32A34">
              <w:rPr>
                <w:rFonts w:ascii="Times New Roman" w:hAnsi="Times New Roman" w:cs="Times New Roman"/>
                <w:sz w:val="24"/>
                <w:szCs w:val="24"/>
                <w:shd w:val="clear" w:color="auto" w:fill="FFFFFF"/>
              </w:rPr>
              <w:t>nav pabeigu</w:t>
            </w:r>
            <w:r w:rsidR="0048681A">
              <w:rPr>
                <w:rFonts w:ascii="Times New Roman" w:hAnsi="Times New Roman" w:cs="Times New Roman"/>
                <w:sz w:val="24"/>
                <w:szCs w:val="24"/>
                <w:shd w:val="clear" w:color="auto" w:fill="FFFFFF"/>
              </w:rPr>
              <w:t>s</w:t>
            </w:r>
            <w:r w:rsidRPr="00C32A34">
              <w:rPr>
                <w:rFonts w:ascii="Times New Roman" w:hAnsi="Times New Roman" w:cs="Times New Roman"/>
                <w:sz w:val="24"/>
                <w:szCs w:val="24"/>
                <w:shd w:val="clear" w:color="auto" w:fill="FFFFFF"/>
              </w:rPr>
              <w:t>i vakcināciju atbilstoši standarta vakcinācijas shēmai</w:t>
            </w:r>
            <w:r w:rsidR="006E7435">
              <w:rPr>
                <w:rFonts w:ascii="Times New Roman" w:hAnsi="Times New Roman" w:cs="Times New Roman"/>
                <w:sz w:val="24"/>
                <w:szCs w:val="24"/>
                <w:shd w:val="clear" w:color="auto" w:fill="FFFFFF"/>
              </w:rPr>
              <w:t>, t</w:t>
            </w:r>
            <w:r w:rsidRPr="00C32A34">
              <w:rPr>
                <w:rFonts w:ascii="Times New Roman" w:hAnsi="Times New Roman" w:cs="Times New Roman"/>
                <w:sz w:val="24"/>
                <w:szCs w:val="24"/>
                <w:shd w:val="clear" w:color="auto" w:fill="FFFFFF"/>
              </w:rPr>
              <w:t xml:space="preserve">ādēļ šobrīd </w:t>
            </w:r>
            <w:r w:rsidR="003549C0" w:rsidRPr="00C32A34">
              <w:rPr>
                <w:rFonts w:ascii="Times New Roman" w:hAnsi="Times New Roman" w:cs="Times New Roman"/>
                <w:sz w:val="24"/>
                <w:szCs w:val="24"/>
                <w:shd w:val="clear" w:color="auto" w:fill="FFFFFF"/>
              </w:rPr>
              <w:t xml:space="preserve">visas pūles un resursi </w:t>
            </w:r>
            <w:r w:rsidRPr="00C32A34">
              <w:rPr>
                <w:rFonts w:ascii="Times New Roman" w:hAnsi="Times New Roman" w:cs="Times New Roman"/>
                <w:sz w:val="24"/>
                <w:szCs w:val="24"/>
                <w:shd w:val="clear" w:color="auto" w:fill="FFFFFF"/>
              </w:rPr>
              <w:t>ir jāvelt</w:t>
            </w:r>
            <w:r w:rsidR="003549C0">
              <w:rPr>
                <w:rFonts w:ascii="Times New Roman" w:hAnsi="Times New Roman" w:cs="Times New Roman"/>
                <w:sz w:val="24"/>
                <w:szCs w:val="24"/>
                <w:shd w:val="clear" w:color="auto" w:fill="FFFFFF"/>
              </w:rPr>
              <w:t>a</w:t>
            </w:r>
            <w:r w:rsidR="00C9738D">
              <w:rPr>
                <w:rFonts w:ascii="Times New Roman" w:hAnsi="Times New Roman" w:cs="Times New Roman"/>
                <w:sz w:val="24"/>
                <w:szCs w:val="24"/>
                <w:shd w:val="clear" w:color="auto" w:fill="FFFFFF"/>
              </w:rPr>
              <w:t xml:space="preserve"> tam</w:t>
            </w:r>
            <w:r w:rsidRPr="00C32A34">
              <w:rPr>
                <w:rFonts w:ascii="Times New Roman" w:hAnsi="Times New Roman" w:cs="Times New Roman"/>
                <w:sz w:val="24"/>
                <w:szCs w:val="24"/>
                <w:shd w:val="clear" w:color="auto" w:fill="FFFFFF"/>
              </w:rPr>
              <w:t xml:space="preserve">, lai nodrošinātu šo iedzīvotāju vakcināciju </w:t>
            </w:r>
            <w:r w:rsidR="00EF6EC9">
              <w:rPr>
                <w:rFonts w:ascii="Times New Roman" w:hAnsi="Times New Roman" w:cs="Times New Roman"/>
                <w:sz w:val="24"/>
                <w:szCs w:val="24"/>
                <w:shd w:val="clear" w:color="auto" w:fill="FFFFFF"/>
              </w:rPr>
              <w:t>(</w:t>
            </w:r>
            <w:r w:rsidRPr="00C32A34">
              <w:rPr>
                <w:rFonts w:ascii="Times New Roman" w:hAnsi="Times New Roman" w:cs="Times New Roman"/>
                <w:sz w:val="24"/>
                <w:szCs w:val="24"/>
                <w:shd w:val="clear" w:color="auto" w:fill="FFFFFF"/>
              </w:rPr>
              <w:t xml:space="preserve">un </w:t>
            </w:r>
            <w:r w:rsidR="00EF6EC9">
              <w:rPr>
                <w:rFonts w:ascii="Times New Roman" w:hAnsi="Times New Roman" w:cs="Times New Roman"/>
                <w:sz w:val="24"/>
                <w:szCs w:val="24"/>
                <w:shd w:val="clear" w:color="auto" w:fill="FFFFFF"/>
              </w:rPr>
              <w:t xml:space="preserve">jo </w:t>
            </w:r>
            <w:r w:rsidRPr="00C32A34">
              <w:rPr>
                <w:rFonts w:ascii="Times New Roman" w:hAnsi="Times New Roman" w:cs="Times New Roman"/>
                <w:sz w:val="24"/>
                <w:szCs w:val="24"/>
                <w:shd w:val="clear" w:color="auto" w:fill="FFFFFF"/>
              </w:rPr>
              <w:t>īpaši to iedzīvotāju vakcināciju, k</w:t>
            </w:r>
            <w:r w:rsidR="00C7349D">
              <w:rPr>
                <w:rFonts w:ascii="Times New Roman" w:hAnsi="Times New Roman" w:cs="Times New Roman"/>
                <w:sz w:val="24"/>
                <w:szCs w:val="24"/>
                <w:shd w:val="clear" w:color="auto" w:fill="FFFFFF"/>
              </w:rPr>
              <w:t>urie</w:t>
            </w:r>
            <w:r w:rsidRPr="00C32A34">
              <w:rPr>
                <w:rFonts w:ascii="Times New Roman" w:hAnsi="Times New Roman" w:cs="Times New Roman"/>
                <w:sz w:val="24"/>
                <w:szCs w:val="24"/>
                <w:shd w:val="clear" w:color="auto" w:fill="FFFFFF"/>
              </w:rPr>
              <w:t>m ir ļoti augsti veselības riski saistībā ar Covid-19</w:t>
            </w:r>
            <w:r w:rsidR="00C7349D">
              <w:rPr>
                <w:rFonts w:ascii="Times New Roman" w:hAnsi="Times New Roman" w:cs="Times New Roman"/>
                <w:sz w:val="24"/>
                <w:szCs w:val="24"/>
                <w:shd w:val="clear" w:color="auto" w:fill="FFFFFF"/>
              </w:rPr>
              <w:t>)</w:t>
            </w:r>
            <w:r w:rsidRPr="00C32A34">
              <w:rPr>
                <w:rFonts w:ascii="Times New Roman" w:hAnsi="Times New Roman" w:cs="Times New Roman"/>
                <w:sz w:val="24"/>
                <w:szCs w:val="24"/>
                <w:shd w:val="clear" w:color="auto" w:fill="FFFFFF"/>
              </w:rPr>
              <w:t>.</w:t>
            </w:r>
          </w:p>
          <w:p w14:paraId="1815A15A" w14:textId="77777777" w:rsidR="00D5749F" w:rsidRDefault="00590D66" w:rsidP="00D5749F">
            <w:pPr>
              <w:spacing w:after="0" w:line="240" w:lineRule="auto"/>
              <w:ind w:firstLine="567"/>
              <w:jc w:val="both"/>
              <w:rPr>
                <w:rFonts w:ascii="Times New Roman" w:hAnsi="Times New Roman" w:cs="Times New Roman"/>
                <w:sz w:val="24"/>
                <w:szCs w:val="24"/>
                <w:shd w:val="clear" w:color="auto" w:fill="FFFFFF"/>
              </w:rPr>
            </w:pPr>
            <w:r w:rsidRPr="00C32A34">
              <w:rPr>
                <w:rFonts w:ascii="Times New Roman" w:hAnsi="Times New Roman" w:cs="Times New Roman"/>
                <w:sz w:val="24"/>
                <w:szCs w:val="24"/>
                <w:shd w:val="clear" w:color="auto" w:fill="FFFFFF"/>
              </w:rPr>
              <w:t>Papildus Eiropas Komisija ir nākusi klajā ar paziņojumu, ka ieviešot papildu devu pēc pabeigtas standarta vakcinācijas, kas neatbilst EZA rekomendācijām, valstīm var būt juridiska rakstura problēmas gadījumos, ja pēc papildu vakcīnas devas ievades tiks radīti neparedzēti riski veselībai.</w:t>
            </w:r>
          </w:p>
          <w:p w14:paraId="2AFB0A62" w14:textId="77777777" w:rsidR="00D5749F" w:rsidRDefault="00590D66" w:rsidP="00D5749F">
            <w:pPr>
              <w:spacing w:after="0" w:line="240" w:lineRule="auto"/>
              <w:ind w:firstLine="567"/>
              <w:jc w:val="both"/>
              <w:rPr>
                <w:rFonts w:ascii="Times New Roman" w:eastAsia="Times New Roman" w:hAnsi="Times New Roman" w:cs="Times New Roman"/>
                <w:sz w:val="24"/>
                <w:szCs w:val="24"/>
                <w:lang w:eastAsia="lv-LV"/>
              </w:rPr>
            </w:pPr>
            <w:r w:rsidRPr="00C32A34">
              <w:rPr>
                <w:rFonts w:ascii="Times New Roman" w:eastAsia="Times New Roman" w:hAnsi="Times New Roman" w:cs="Times New Roman"/>
                <w:sz w:val="24"/>
                <w:szCs w:val="24"/>
                <w:lang w:eastAsia="lv-LV"/>
              </w:rPr>
              <w:t>Imunizācijas valsts padomes (</w:t>
            </w:r>
            <w:r w:rsidR="00EC7CBB">
              <w:rPr>
                <w:rFonts w:ascii="Times New Roman" w:eastAsia="Times New Roman" w:hAnsi="Times New Roman" w:cs="Times New Roman"/>
                <w:sz w:val="24"/>
                <w:szCs w:val="24"/>
                <w:lang w:eastAsia="lv-LV"/>
              </w:rPr>
              <w:t xml:space="preserve">turpmāk – </w:t>
            </w:r>
            <w:r w:rsidRPr="00C32A34">
              <w:rPr>
                <w:rFonts w:ascii="Times New Roman" w:eastAsia="Times New Roman" w:hAnsi="Times New Roman" w:cs="Times New Roman"/>
                <w:sz w:val="24"/>
                <w:szCs w:val="24"/>
                <w:lang w:eastAsia="lv-LV"/>
              </w:rPr>
              <w:t>IVP) 2021.</w:t>
            </w:r>
            <w:r w:rsidR="00EC7CBB">
              <w:rPr>
                <w:rFonts w:ascii="Times New Roman" w:eastAsia="Times New Roman" w:hAnsi="Times New Roman" w:cs="Times New Roman"/>
                <w:sz w:val="24"/>
                <w:szCs w:val="24"/>
                <w:lang w:eastAsia="lv-LV"/>
              </w:rPr>
              <w:t> </w:t>
            </w:r>
            <w:r w:rsidRPr="00C32A34">
              <w:rPr>
                <w:rFonts w:ascii="Times New Roman" w:eastAsia="Times New Roman" w:hAnsi="Times New Roman" w:cs="Times New Roman"/>
                <w:sz w:val="24"/>
                <w:szCs w:val="24"/>
                <w:lang w:eastAsia="lv-LV"/>
              </w:rPr>
              <w:t>gada 30.</w:t>
            </w:r>
            <w:r w:rsidR="00EC7CBB">
              <w:rPr>
                <w:rFonts w:ascii="Times New Roman" w:eastAsia="Times New Roman" w:hAnsi="Times New Roman" w:cs="Times New Roman"/>
                <w:sz w:val="24"/>
                <w:szCs w:val="24"/>
                <w:lang w:eastAsia="lv-LV"/>
              </w:rPr>
              <w:t> </w:t>
            </w:r>
            <w:r w:rsidRPr="00C32A34">
              <w:rPr>
                <w:rFonts w:ascii="Times New Roman" w:eastAsia="Times New Roman" w:hAnsi="Times New Roman" w:cs="Times New Roman"/>
                <w:sz w:val="24"/>
                <w:szCs w:val="24"/>
                <w:lang w:eastAsia="lv-LV"/>
              </w:rPr>
              <w:t>augusta sēdē tika apspriests jautājums par papildu vakc</w:t>
            </w:r>
            <w:r w:rsidR="00A30927">
              <w:rPr>
                <w:rFonts w:ascii="Times New Roman" w:eastAsia="Times New Roman" w:hAnsi="Times New Roman" w:cs="Times New Roman"/>
                <w:sz w:val="24"/>
                <w:szCs w:val="24"/>
                <w:lang w:eastAsia="lv-LV"/>
              </w:rPr>
              <w:t>īnas</w:t>
            </w:r>
            <w:r w:rsidRPr="00C32A34">
              <w:rPr>
                <w:rFonts w:ascii="Times New Roman" w:eastAsia="Times New Roman" w:hAnsi="Times New Roman" w:cs="Times New Roman"/>
                <w:sz w:val="24"/>
                <w:szCs w:val="24"/>
                <w:lang w:eastAsia="lv-LV"/>
              </w:rPr>
              <w:t xml:space="preserve"> devas </w:t>
            </w:r>
            <w:r w:rsidR="00A00E0D">
              <w:rPr>
                <w:rFonts w:ascii="Times New Roman" w:eastAsia="Times New Roman" w:hAnsi="Times New Roman" w:cs="Times New Roman"/>
                <w:sz w:val="24"/>
                <w:szCs w:val="24"/>
                <w:lang w:eastAsia="lv-LV"/>
              </w:rPr>
              <w:t>ievadīšan</w:t>
            </w:r>
            <w:r w:rsidR="0054220F">
              <w:rPr>
                <w:rFonts w:ascii="Times New Roman" w:eastAsia="Times New Roman" w:hAnsi="Times New Roman" w:cs="Times New Roman"/>
                <w:sz w:val="24"/>
                <w:szCs w:val="24"/>
                <w:lang w:eastAsia="lv-LV"/>
              </w:rPr>
              <w:t>u (3. devas ievadīšana)</w:t>
            </w:r>
            <w:r w:rsidR="00A00E0D">
              <w:rPr>
                <w:rFonts w:ascii="Times New Roman" w:eastAsia="Times New Roman" w:hAnsi="Times New Roman" w:cs="Times New Roman"/>
                <w:sz w:val="24"/>
                <w:szCs w:val="24"/>
                <w:lang w:eastAsia="lv-LV"/>
              </w:rPr>
              <w:t xml:space="preserve"> </w:t>
            </w:r>
            <w:r w:rsidRPr="00C32A34">
              <w:rPr>
                <w:rFonts w:ascii="Times New Roman" w:eastAsia="Times New Roman" w:hAnsi="Times New Roman" w:cs="Times New Roman"/>
                <w:sz w:val="24"/>
                <w:szCs w:val="24"/>
                <w:lang w:eastAsia="lv-LV"/>
              </w:rPr>
              <w:t>pēc pabeigtas standarta vakcinācijas</w:t>
            </w:r>
            <w:r w:rsidRPr="00C32A34">
              <w:rPr>
                <w:rFonts w:ascii="Times New Roman" w:eastAsia="Times New Roman" w:hAnsi="Times New Roman" w:cs="Times New Roman"/>
                <w:sz w:val="24"/>
                <w:szCs w:val="24"/>
                <w:shd w:val="clear" w:color="auto" w:fill="FFFFFF"/>
                <w:lang w:eastAsia="lv-LV"/>
              </w:rPr>
              <w:t xml:space="preserve">. IVP ir norādījusi, ka </w:t>
            </w:r>
            <w:r w:rsidRPr="00C32A34">
              <w:rPr>
                <w:rFonts w:ascii="Times New Roman" w:eastAsia="Times New Roman" w:hAnsi="Times New Roman" w:cs="Times New Roman"/>
                <w:sz w:val="24"/>
                <w:szCs w:val="24"/>
                <w:lang w:eastAsia="lv-LV"/>
              </w:rPr>
              <w:t>ņ</w:t>
            </w:r>
            <w:r w:rsidRPr="00C32A34">
              <w:rPr>
                <w:rFonts w:ascii="Times New Roman" w:eastAsia="Times New Roman" w:hAnsi="Times New Roman" w:cs="Times New Roman"/>
                <w:sz w:val="24"/>
                <w:szCs w:val="24"/>
                <w:shd w:val="clear" w:color="auto" w:fill="FFFFFF"/>
                <w:lang w:eastAsia="lv-LV"/>
              </w:rPr>
              <w:t>emot vērā pašreiz pieejamos zinātniskos faktus un pierādījumus, kā arī</w:t>
            </w:r>
            <w:r w:rsidR="00007C4D">
              <w:rPr>
                <w:rFonts w:ascii="Times New Roman" w:eastAsia="Times New Roman" w:hAnsi="Times New Roman" w:cs="Times New Roman"/>
                <w:sz w:val="24"/>
                <w:szCs w:val="24"/>
                <w:shd w:val="clear" w:color="auto" w:fill="FFFFFF"/>
                <w:lang w:eastAsia="lv-LV"/>
              </w:rPr>
              <w:t xml:space="preserve"> </w:t>
            </w:r>
            <w:r w:rsidRPr="00C32A34">
              <w:rPr>
                <w:rFonts w:ascii="Times New Roman" w:eastAsia="Times New Roman" w:hAnsi="Times New Roman" w:cs="Times New Roman"/>
                <w:sz w:val="24"/>
                <w:szCs w:val="24"/>
                <w:lang w:eastAsia="lv-LV"/>
              </w:rPr>
              <w:t>balstoties uz iepriekš labi zināmo par imunizācijas pamatprincipiem,</w:t>
            </w:r>
            <w:r w:rsidR="00007C4D">
              <w:rPr>
                <w:rFonts w:ascii="Times New Roman" w:eastAsia="Times New Roman" w:hAnsi="Times New Roman" w:cs="Times New Roman"/>
                <w:sz w:val="24"/>
                <w:szCs w:val="24"/>
                <w:lang w:eastAsia="lv-LV"/>
              </w:rPr>
              <w:t xml:space="preserve"> </w:t>
            </w:r>
            <w:r w:rsidR="00B02CDF" w:rsidRPr="00B02CDF">
              <w:rPr>
                <w:rFonts w:ascii="Times New Roman" w:eastAsia="Times New Roman" w:hAnsi="Times New Roman" w:cs="Times New Roman"/>
                <w:bCs/>
                <w:sz w:val="24"/>
                <w:szCs w:val="24"/>
                <w:shd w:val="clear" w:color="auto" w:fill="FFFFFF"/>
                <w:lang w:eastAsia="lv-LV"/>
              </w:rPr>
              <w:t>tā</w:t>
            </w:r>
            <w:r w:rsidRPr="00B02CDF">
              <w:rPr>
                <w:rFonts w:ascii="Times New Roman" w:eastAsia="Times New Roman" w:hAnsi="Times New Roman" w:cs="Times New Roman"/>
                <w:bCs/>
                <w:sz w:val="24"/>
                <w:szCs w:val="24"/>
                <w:shd w:val="clear" w:color="auto" w:fill="FFFFFF"/>
                <w:lang w:eastAsia="lv-LV"/>
              </w:rPr>
              <w:t xml:space="preserve"> </w:t>
            </w:r>
            <w:r w:rsidRPr="00C32A34">
              <w:rPr>
                <w:rFonts w:ascii="Times New Roman" w:eastAsia="Times New Roman" w:hAnsi="Times New Roman" w:cs="Times New Roman"/>
                <w:b/>
                <w:sz w:val="24"/>
                <w:szCs w:val="24"/>
                <w:shd w:val="clear" w:color="auto" w:fill="FFFFFF"/>
                <w:lang w:eastAsia="lv-LV"/>
              </w:rPr>
              <w:t xml:space="preserve">rekomendē vienu papildu </w:t>
            </w:r>
            <w:proofErr w:type="spellStart"/>
            <w:r w:rsidRPr="00C32A34">
              <w:rPr>
                <w:rFonts w:ascii="Times New Roman" w:eastAsia="Times New Roman" w:hAnsi="Times New Roman" w:cs="Times New Roman"/>
                <w:b/>
                <w:sz w:val="24"/>
                <w:szCs w:val="24"/>
                <w:shd w:val="clear" w:color="auto" w:fill="FFFFFF"/>
                <w:lang w:eastAsia="lv-LV"/>
              </w:rPr>
              <w:t>balstvakcinācijas</w:t>
            </w:r>
            <w:proofErr w:type="spellEnd"/>
            <w:r w:rsidRPr="00C32A34">
              <w:rPr>
                <w:rFonts w:ascii="Times New Roman" w:eastAsia="Times New Roman" w:hAnsi="Times New Roman" w:cs="Times New Roman"/>
                <w:b/>
                <w:sz w:val="24"/>
                <w:szCs w:val="24"/>
                <w:shd w:val="clear" w:color="auto" w:fill="FFFFFF"/>
                <w:lang w:eastAsia="lv-LV"/>
              </w:rPr>
              <w:t xml:space="preserve"> devu</w:t>
            </w:r>
            <w:r w:rsidR="00007C4D">
              <w:rPr>
                <w:rFonts w:ascii="Times New Roman" w:eastAsia="Times New Roman" w:hAnsi="Times New Roman" w:cs="Times New Roman"/>
                <w:b/>
                <w:sz w:val="24"/>
                <w:szCs w:val="24"/>
                <w:shd w:val="clear" w:color="auto" w:fill="FFFFFF"/>
                <w:lang w:eastAsia="lv-LV"/>
              </w:rPr>
              <w:t xml:space="preserve"> </w:t>
            </w:r>
            <w:r w:rsidRPr="00C32A34">
              <w:rPr>
                <w:rFonts w:ascii="Times New Roman" w:eastAsia="Times New Roman" w:hAnsi="Times New Roman" w:cs="Times New Roman"/>
                <w:b/>
                <w:sz w:val="24"/>
                <w:szCs w:val="24"/>
                <w:lang w:eastAsia="lv-LV"/>
              </w:rPr>
              <w:t>tām personām, k</w:t>
            </w:r>
            <w:r w:rsidR="008A0E6E">
              <w:rPr>
                <w:rFonts w:ascii="Times New Roman" w:eastAsia="Times New Roman" w:hAnsi="Times New Roman" w:cs="Times New Roman"/>
                <w:b/>
                <w:sz w:val="24"/>
                <w:szCs w:val="24"/>
                <w:lang w:eastAsia="lv-LV"/>
              </w:rPr>
              <w:t>ur</w:t>
            </w:r>
            <w:r w:rsidRPr="00C32A34">
              <w:rPr>
                <w:rFonts w:ascii="Times New Roman" w:eastAsia="Times New Roman" w:hAnsi="Times New Roman" w:cs="Times New Roman"/>
                <w:b/>
                <w:sz w:val="24"/>
                <w:szCs w:val="24"/>
                <w:lang w:eastAsia="lv-LV"/>
              </w:rPr>
              <w:t xml:space="preserve">as </w:t>
            </w:r>
            <w:r w:rsidR="008A0E6E">
              <w:rPr>
                <w:rFonts w:ascii="Times New Roman" w:eastAsia="Times New Roman" w:hAnsi="Times New Roman" w:cs="Times New Roman"/>
                <w:b/>
                <w:sz w:val="24"/>
                <w:szCs w:val="24"/>
                <w:lang w:eastAsia="lv-LV"/>
              </w:rPr>
              <w:t xml:space="preserve">ir </w:t>
            </w:r>
            <w:r w:rsidRPr="00C32A34">
              <w:rPr>
                <w:rFonts w:ascii="Times New Roman" w:eastAsia="Times New Roman" w:hAnsi="Times New Roman" w:cs="Times New Roman"/>
                <w:b/>
                <w:sz w:val="24"/>
                <w:szCs w:val="24"/>
                <w:lang w:eastAsia="lv-LV"/>
              </w:rPr>
              <w:t xml:space="preserve">pielīdzināmas slimības vai terapijas izraisītas augstas </w:t>
            </w:r>
            <w:proofErr w:type="spellStart"/>
            <w:r w:rsidRPr="00C32A34">
              <w:rPr>
                <w:rFonts w:ascii="Times New Roman" w:eastAsia="Times New Roman" w:hAnsi="Times New Roman" w:cs="Times New Roman"/>
                <w:b/>
                <w:sz w:val="24"/>
                <w:szCs w:val="24"/>
                <w:lang w:eastAsia="lv-LV"/>
              </w:rPr>
              <w:t>imūnsupresijas</w:t>
            </w:r>
            <w:proofErr w:type="spellEnd"/>
            <w:r w:rsidR="008A0E6E">
              <w:rPr>
                <w:rFonts w:ascii="Times New Roman" w:eastAsia="Times New Roman" w:hAnsi="Times New Roman" w:cs="Times New Roman"/>
                <w:b/>
                <w:sz w:val="24"/>
                <w:szCs w:val="24"/>
                <w:lang w:eastAsia="lv-LV"/>
              </w:rPr>
              <w:t xml:space="preserve"> pacientiem</w:t>
            </w:r>
            <w:r w:rsidRPr="00C32A34">
              <w:rPr>
                <w:rFonts w:ascii="Times New Roman" w:eastAsia="Times New Roman" w:hAnsi="Times New Roman" w:cs="Times New Roman"/>
                <w:sz w:val="24"/>
                <w:szCs w:val="24"/>
                <w:lang w:eastAsia="lv-LV"/>
              </w:rPr>
              <w:t xml:space="preserve">. </w:t>
            </w:r>
          </w:p>
          <w:p w14:paraId="0813830B" w14:textId="18F28593" w:rsidR="00590D66" w:rsidRPr="00D5749F" w:rsidRDefault="00590D66" w:rsidP="00D5749F">
            <w:pPr>
              <w:spacing w:after="0" w:line="240" w:lineRule="auto"/>
              <w:ind w:firstLine="567"/>
              <w:jc w:val="both"/>
              <w:rPr>
                <w:rFonts w:ascii="Times New Roman" w:hAnsi="Times New Roman" w:cs="Times New Roman"/>
                <w:sz w:val="24"/>
                <w:szCs w:val="24"/>
                <w:shd w:val="clear" w:color="auto" w:fill="FFFFFF"/>
              </w:rPr>
            </w:pPr>
            <w:r w:rsidRPr="00C32A34">
              <w:rPr>
                <w:rFonts w:ascii="Times New Roman" w:eastAsia="Times New Roman" w:hAnsi="Times New Roman" w:cs="Times New Roman"/>
                <w:sz w:val="24"/>
                <w:szCs w:val="24"/>
                <w:lang w:eastAsia="lv-LV"/>
              </w:rPr>
              <w:t xml:space="preserve">IVP norāda, ka pacientiem ar slimības vai terapijas izraisītu augstu </w:t>
            </w:r>
            <w:proofErr w:type="spellStart"/>
            <w:r w:rsidRPr="00C32A34">
              <w:rPr>
                <w:rFonts w:ascii="Times New Roman" w:eastAsia="Times New Roman" w:hAnsi="Times New Roman" w:cs="Times New Roman"/>
                <w:sz w:val="24"/>
                <w:szCs w:val="24"/>
                <w:lang w:eastAsia="lv-LV"/>
              </w:rPr>
              <w:t>imūnsupresijas</w:t>
            </w:r>
            <w:proofErr w:type="spellEnd"/>
            <w:r w:rsidRPr="00C32A34">
              <w:rPr>
                <w:rFonts w:ascii="Times New Roman" w:eastAsia="Times New Roman" w:hAnsi="Times New Roman" w:cs="Times New Roman"/>
                <w:sz w:val="24"/>
                <w:szCs w:val="24"/>
                <w:lang w:eastAsia="lv-LV"/>
              </w:rPr>
              <w:t xml:space="preserve"> stāvokli iepriekš vakcinācijā pret Covid-19 saņemtās divas vakcīnas devas imūnas </w:t>
            </w:r>
            <w:proofErr w:type="spellStart"/>
            <w:r w:rsidRPr="00C32A34">
              <w:rPr>
                <w:rFonts w:ascii="Times New Roman" w:eastAsia="Times New Roman" w:hAnsi="Times New Roman" w:cs="Times New Roman"/>
                <w:sz w:val="24"/>
                <w:szCs w:val="24"/>
                <w:lang w:eastAsia="lv-LV"/>
              </w:rPr>
              <w:t>supresijas</w:t>
            </w:r>
            <w:proofErr w:type="spellEnd"/>
            <w:r w:rsidRPr="00C32A34">
              <w:rPr>
                <w:rFonts w:ascii="Times New Roman" w:eastAsia="Times New Roman" w:hAnsi="Times New Roman" w:cs="Times New Roman"/>
                <w:sz w:val="24"/>
                <w:szCs w:val="24"/>
                <w:lang w:eastAsia="lv-LV"/>
              </w:rPr>
              <w:t xml:space="preserve"> dēļ var nebūt izveidojušas optimālu imūno atbildi un iedarbību, kā arī ņemot vērā pa</w:t>
            </w:r>
            <w:r w:rsidR="001F1034">
              <w:rPr>
                <w:rFonts w:ascii="Times New Roman" w:eastAsia="Times New Roman" w:hAnsi="Times New Roman" w:cs="Times New Roman"/>
                <w:sz w:val="24"/>
                <w:szCs w:val="24"/>
                <w:lang w:eastAsia="lv-LV"/>
              </w:rPr>
              <w:t>š</w:t>
            </w:r>
            <w:r w:rsidRPr="00C32A34">
              <w:rPr>
                <w:rFonts w:ascii="Times New Roman" w:eastAsia="Times New Roman" w:hAnsi="Times New Roman" w:cs="Times New Roman"/>
                <w:sz w:val="24"/>
                <w:szCs w:val="24"/>
                <w:lang w:eastAsia="lv-LV"/>
              </w:rPr>
              <w:t xml:space="preserve">reizējos epidemioloģiskos Covid-19 vīrusa izplatības apstākļus sabiedrībā, it īpaši Covid-19 vīrusa </w:t>
            </w:r>
            <w:r w:rsidR="00F67EB4">
              <w:rPr>
                <w:rFonts w:ascii="Times New Roman" w:eastAsia="Times New Roman" w:hAnsi="Times New Roman" w:cs="Times New Roman"/>
                <w:sz w:val="24"/>
                <w:szCs w:val="24"/>
                <w:lang w:eastAsia="lv-LV"/>
              </w:rPr>
              <w:t>D</w:t>
            </w:r>
            <w:r w:rsidRPr="00C32A34">
              <w:rPr>
                <w:rFonts w:ascii="Times New Roman" w:eastAsia="Times New Roman" w:hAnsi="Times New Roman" w:cs="Times New Roman"/>
                <w:sz w:val="24"/>
                <w:szCs w:val="24"/>
                <w:lang w:eastAsia="lv-LV"/>
              </w:rPr>
              <w:t xml:space="preserve">elta varianta izplatību, šie pacienti inficēšanās gadījumā potenciāli ir pakļauti smagai Covid-19 </w:t>
            </w:r>
            <w:r w:rsidR="00C56A69">
              <w:rPr>
                <w:rFonts w:ascii="Times New Roman" w:eastAsia="Times New Roman" w:hAnsi="Times New Roman" w:cs="Times New Roman"/>
                <w:sz w:val="24"/>
                <w:szCs w:val="24"/>
                <w:lang w:eastAsia="lv-LV"/>
              </w:rPr>
              <w:t xml:space="preserve">slimības </w:t>
            </w:r>
            <w:r w:rsidRPr="00C32A34">
              <w:rPr>
                <w:rFonts w:ascii="Times New Roman" w:eastAsia="Times New Roman" w:hAnsi="Times New Roman" w:cs="Times New Roman"/>
                <w:sz w:val="24"/>
                <w:szCs w:val="24"/>
                <w:lang w:eastAsia="lv-LV"/>
              </w:rPr>
              <w:t xml:space="preserve">gaitas attīstībai, hospitalizācijas riskam un </w:t>
            </w:r>
            <w:r w:rsidRPr="00C32A34">
              <w:rPr>
                <w:rFonts w:ascii="Times New Roman" w:eastAsia="Times New Roman" w:hAnsi="Times New Roman" w:cs="Times New Roman"/>
                <w:sz w:val="24"/>
                <w:szCs w:val="24"/>
                <w:lang w:eastAsia="lv-LV"/>
              </w:rPr>
              <w:lastRenderedPageBreak/>
              <w:t xml:space="preserve">slimības </w:t>
            </w:r>
            <w:proofErr w:type="spellStart"/>
            <w:r w:rsidRPr="00C32A34">
              <w:rPr>
                <w:rFonts w:ascii="Times New Roman" w:eastAsia="Times New Roman" w:hAnsi="Times New Roman" w:cs="Times New Roman"/>
                <w:sz w:val="24"/>
                <w:szCs w:val="24"/>
                <w:lang w:eastAsia="lv-LV"/>
              </w:rPr>
              <w:t>hronizācijai</w:t>
            </w:r>
            <w:proofErr w:type="spellEnd"/>
            <w:r w:rsidRPr="00C32A34">
              <w:rPr>
                <w:rFonts w:ascii="Times New Roman" w:eastAsia="Times New Roman" w:hAnsi="Times New Roman" w:cs="Times New Roman"/>
                <w:sz w:val="24"/>
                <w:szCs w:val="24"/>
                <w:lang w:eastAsia="lv-LV"/>
              </w:rPr>
              <w:t xml:space="preserve">, tādēļ atbalstāma un šobrīd rekomendējama ir papildu vakcīnas pret Covid-19 devas saņemšana. </w:t>
            </w:r>
          </w:p>
          <w:p w14:paraId="6F97035A" w14:textId="262858FA" w:rsidR="00590D66" w:rsidRPr="00C32A34" w:rsidRDefault="00590D66" w:rsidP="00590D66">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C32A34">
              <w:rPr>
                <w:rFonts w:ascii="Times New Roman" w:eastAsia="Times New Roman" w:hAnsi="Times New Roman" w:cs="Times New Roman"/>
                <w:sz w:val="24"/>
                <w:szCs w:val="24"/>
                <w:lang w:eastAsia="lv-LV"/>
              </w:rPr>
              <w:t xml:space="preserve">Kā liecina pašreizējā zinātniskā informācija, </w:t>
            </w:r>
            <w:proofErr w:type="spellStart"/>
            <w:r w:rsidRPr="00C32A34">
              <w:rPr>
                <w:rFonts w:ascii="Times New Roman" w:eastAsia="Times New Roman" w:hAnsi="Times New Roman" w:cs="Times New Roman"/>
                <w:sz w:val="24"/>
                <w:szCs w:val="24"/>
                <w:lang w:eastAsia="lv-LV"/>
              </w:rPr>
              <w:t>balstvakcinācija</w:t>
            </w:r>
            <w:proofErr w:type="spellEnd"/>
            <w:r w:rsidRPr="00C32A34">
              <w:rPr>
                <w:rFonts w:ascii="Times New Roman" w:eastAsia="Times New Roman" w:hAnsi="Times New Roman" w:cs="Times New Roman"/>
                <w:sz w:val="24"/>
                <w:szCs w:val="24"/>
                <w:lang w:eastAsia="lv-LV"/>
              </w:rPr>
              <w:t xml:space="preserve"> veicama ar </w:t>
            </w:r>
            <w:r w:rsidR="0075528B" w:rsidRPr="00C32A34">
              <w:rPr>
                <w:rFonts w:ascii="Times New Roman" w:eastAsia="Times New Roman" w:hAnsi="Times New Roman" w:cs="Times New Roman"/>
                <w:sz w:val="24"/>
                <w:szCs w:val="24"/>
                <w:lang w:eastAsia="lv-LV"/>
              </w:rPr>
              <w:t xml:space="preserve">Eiropā apstiprinātu </w:t>
            </w:r>
            <w:r w:rsidRPr="00C32A34">
              <w:rPr>
                <w:rFonts w:ascii="Times New Roman" w:eastAsia="Times New Roman" w:hAnsi="Times New Roman" w:cs="Times New Roman"/>
                <w:sz w:val="24"/>
                <w:szCs w:val="24"/>
                <w:lang w:eastAsia="lv-LV"/>
              </w:rPr>
              <w:t xml:space="preserve">jebkuras tehnoloģijas </w:t>
            </w:r>
            <w:r w:rsidR="0075528B" w:rsidRPr="00C32A34">
              <w:rPr>
                <w:rFonts w:ascii="Times New Roman" w:eastAsia="Times New Roman" w:hAnsi="Times New Roman" w:cs="Times New Roman"/>
                <w:sz w:val="24"/>
                <w:szCs w:val="24"/>
                <w:lang w:eastAsia="lv-LV"/>
              </w:rPr>
              <w:t xml:space="preserve">vakcīnu </w:t>
            </w:r>
            <w:r w:rsidRPr="00C32A34">
              <w:rPr>
                <w:rFonts w:ascii="Times New Roman" w:eastAsia="Times New Roman" w:hAnsi="Times New Roman" w:cs="Times New Roman"/>
                <w:sz w:val="24"/>
                <w:szCs w:val="24"/>
                <w:lang w:eastAsia="lv-LV"/>
              </w:rPr>
              <w:t xml:space="preserve">pret Covid-19, neatkarīgi no primārajai imunizācijai izmantotās </w:t>
            </w:r>
            <w:r w:rsidR="00912594" w:rsidRPr="00C32A34">
              <w:rPr>
                <w:rFonts w:ascii="Times New Roman" w:eastAsia="Times New Roman" w:hAnsi="Times New Roman" w:cs="Times New Roman"/>
                <w:sz w:val="24"/>
                <w:szCs w:val="24"/>
                <w:lang w:eastAsia="lv-LV"/>
              </w:rPr>
              <w:t xml:space="preserve">Covid-19 </w:t>
            </w:r>
            <w:r w:rsidRPr="00C32A34">
              <w:rPr>
                <w:rFonts w:ascii="Times New Roman" w:eastAsia="Times New Roman" w:hAnsi="Times New Roman" w:cs="Times New Roman"/>
                <w:sz w:val="24"/>
                <w:szCs w:val="24"/>
                <w:lang w:eastAsia="lv-LV"/>
              </w:rPr>
              <w:t>vakcīnas tehnoloģijas. Vakcinācija ar papildu devu rekomendējama sākot ar 28.</w:t>
            </w:r>
            <w:r w:rsidR="00D43192">
              <w:rPr>
                <w:rFonts w:ascii="Times New Roman" w:eastAsia="Times New Roman" w:hAnsi="Times New Roman" w:cs="Times New Roman"/>
                <w:sz w:val="24"/>
                <w:szCs w:val="24"/>
                <w:lang w:eastAsia="lv-LV"/>
              </w:rPr>
              <w:t> </w:t>
            </w:r>
            <w:r w:rsidRPr="00C32A34">
              <w:rPr>
                <w:rFonts w:ascii="Times New Roman" w:eastAsia="Times New Roman" w:hAnsi="Times New Roman" w:cs="Times New Roman"/>
                <w:sz w:val="24"/>
                <w:szCs w:val="24"/>
                <w:lang w:eastAsia="lv-LV"/>
              </w:rPr>
              <w:t>dienu pēc otrās devas saņemšanas (</w:t>
            </w:r>
            <w:r w:rsidRPr="00C32A34">
              <w:rPr>
                <w:rFonts w:ascii="Times New Roman" w:eastAsia="Times New Roman" w:hAnsi="Times New Roman" w:cs="Times New Roman"/>
                <w:i/>
                <w:sz w:val="24"/>
                <w:szCs w:val="24"/>
                <w:lang w:eastAsia="lv-LV"/>
              </w:rPr>
              <w:t>Janssen Covid-19</w:t>
            </w:r>
            <w:r w:rsidRPr="00C32A34">
              <w:rPr>
                <w:rFonts w:ascii="Times New Roman" w:eastAsia="Times New Roman" w:hAnsi="Times New Roman" w:cs="Times New Roman"/>
                <w:sz w:val="24"/>
                <w:szCs w:val="24"/>
                <w:lang w:eastAsia="lv-LV"/>
              </w:rPr>
              <w:t xml:space="preserve"> vakcīnai sākot ar 28.</w:t>
            </w:r>
            <w:r w:rsidR="00066B85">
              <w:rPr>
                <w:rFonts w:ascii="Times New Roman" w:eastAsia="Times New Roman" w:hAnsi="Times New Roman" w:cs="Times New Roman"/>
                <w:sz w:val="24"/>
                <w:szCs w:val="24"/>
                <w:lang w:eastAsia="lv-LV"/>
              </w:rPr>
              <w:t> </w:t>
            </w:r>
            <w:r w:rsidRPr="00C32A34">
              <w:rPr>
                <w:rFonts w:ascii="Times New Roman" w:eastAsia="Times New Roman" w:hAnsi="Times New Roman" w:cs="Times New Roman"/>
                <w:sz w:val="24"/>
                <w:szCs w:val="24"/>
                <w:lang w:eastAsia="lv-LV"/>
              </w:rPr>
              <w:t xml:space="preserve">dienu pēc pirmās (vienīgās) devas saņemšanas) vai vēlāk, izvērtējot </w:t>
            </w:r>
            <w:proofErr w:type="spellStart"/>
            <w:r w:rsidRPr="00C32A34">
              <w:rPr>
                <w:rFonts w:ascii="Times New Roman" w:eastAsia="Times New Roman" w:hAnsi="Times New Roman" w:cs="Times New Roman"/>
                <w:sz w:val="24"/>
                <w:szCs w:val="24"/>
                <w:lang w:eastAsia="lv-LV"/>
              </w:rPr>
              <w:t>imūnsupresijas</w:t>
            </w:r>
            <w:proofErr w:type="spellEnd"/>
            <w:r w:rsidRPr="00C32A34">
              <w:rPr>
                <w:rFonts w:ascii="Times New Roman" w:eastAsia="Times New Roman" w:hAnsi="Times New Roman" w:cs="Times New Roman"/>
                <w:sz w:val="24"/>
                <w:szCs w:val="24"/>
                <w:lang w:eastAsia="lv-LV"/>
              </w:rPr>
              <w:t xml:space="preserve"> pakāpi, kā arī nepieciešamības gadījumā jautājumu izskatot ārstu konsīlijā.</w:t>
            </w:r>
          </w:p>
          <w:p w14:paraId="16D71799" w14:textId="77777777" w:rsidR="003C04EA" w:rsidRDefault="00590D66" w:rsidP="00B3614A">
            <w:pPr>
              <w:shd w:val="clear" w:color="auto" w:fill="FFFFFF"/>
              <w:spacing w:after="0" w:line="240" w:lineRule="auto"/>
              <w:ind w:firstLine="567"/>
              <w:jc w:val="both"/>
              <w:rPr>
                <w:rFonts w:ascii="Times New Roman" w:eastAsia="Times New Roman" w:hAnsi="Times New Roman" w:cs="Times New Roman"/>
                <w:sz w:val="24"/>
                <w:szCs w:val="24"/>
                <w:lang w:eastAsia="lv-LV"/>
              </w:rPr>
            </w:pPr>
            <w:r w:rsidRPr="00C32A34">
              <w:rPr>
                <w:rFonts w:ascii="Times New Roman" w:eastAsia="Times New Roman" w:hAnsi="Times New Roman" w:cs="Times New Roman"/>
                <w:b/>
                <w:sz w:val="24"/>
                <w:szCs w:val="24"/>
                <w:lang w:eastAsia="lv-LV"/>
              </w:rPr>
              <w:t xml:space="preserve">Tāpat arī IVP ir norādījusi, ka IVP rīcībā </w:t>
            </w:r>
            <w:r w:rsidR="00177ACC">
              <w:rPr>
                <w:rFonts w:ascii="Times New Roman" w:eastAsia="Times New Roman" w:hAnsi="Times New Roman" w:cs="Times New Roman"/>
                <w:b/>
                <w:sz w:val="24"/>
                <w:szCs w:val="24"/>
                <w:lang w:eastAsia="lv-LV"/>
              </w:rPr>
              <w:t xml:space="preserve">pašreiz </w:t>
            </w:r>
            <w:r w:rsidRPr="00C32A34">
              <w:rPr>
                <w:rFonts w:ascii="Times New Roman" w:eastAsia="Times New Roman" w:hAnsi="Times New Roman" w:cs="Times New Roman"/>
                <w:b/>
                <w:sz w:val="24"/>
                <w:szCs w:val="24"/>
                <w:lang w:eastAsia="lv-LV"/>
              </w:rPr>
              <w:t xml:space="preserve">nav zinātniski pamatotas informācijas, datu un pierādījumu par papildu jeb </w:t>
            </w:r>
            <w:proofErr w:type="spellStart"/>
            <w:r w:rsidRPr="00C32A34">
              <w:rPr>
                <w:rFonts w:ascii="Times New Roman" w:eastAsia="Times New Roman" w:hAnsi="Times New Roman" w:cs="Times New Roman"/>
                <w:b/>
                <w:sz w:val="24"/>
                <w:szCs w:val="24"/>
                <w:lang w:eastAsia="lv-LV"/>
              </w:rPr>
              <w:t>balstvakcinācijas</w:t>
            </w:r>
            <w:proofErr w:type="spellEnd"/>
            <w:r w:rsidRPr="00C32A34">
              <w:rPr>
                <w:rFonts w:ascii="Times New Roman" w:eastAsia="Times New Roman" w:hAnsi="Times New Roman" w:cs="Times New Roman"/>
                <w:b/>
                <w:sz w:val="24"/>
                <w:szCs w:val="24"/>
                <w:lang w:eastAsia="lv-LV"/>
              </w:rPr>
              <w:t xml:space="preserve"> nepieciešamību pārējām sabiedrības grupām, neatkarīgi no vecuma vai veselības stāvokļa</w:t>
            </w:r>
            <w:r w:rsidRPr="00C32A34">
              <w:rPr>
                <w:rFonts w:ascii="Times New Roman" w:eastAsia="Times New Roman" w:hAnsi="Times New Roman" w:cs="Times New Roman"/>
                <w:sz w:val="24"/>
                <w:szCs w:val="24"/>
                <w:lang w:eastAsia="lv-LV"/>
              </w:rPr>
              <w:t>. IVP seko līdzi jaunākajai pieejamajai zinātniskajai informācijai un rekomendācijām no starptautiskajām veselības organizācijām un zāļu regulatoriem, un tiklīdz būs zinātniski pamatoti argumenti, IVP sniegs viedokli par nepieciešamību vakcinēt ar papildu devu kādu no sabiedrības grupām.</w:t>
            </w:r>
          </w:p>
          <w:p w14:paraId="2AFCF187" w14:textId="7C19EAEB" w:rsidR="00BA3E8B" w:rsidRPr="00D83922" w:rsidRDefault="00DE1FFA" w:rsidP="00D83922">
            <w:pPr>
              <w:shd w:val="clear" w:color="auto" w:fill="FFFFFF"/>
              <w:spacing w:after="0" w:line="240" w:lineRule="auto"/>
              <w:ind w:firstLine="567"/>
              <w:jc w:val="both"/>
              <w:rPr>
                <w:rFonts w:ascii="Times New Roman" w:hAnsi="Times New Roman" w:cs="Times New Roman"/>
                <w:sz w:val="24"/>
                <w:szCs w:val="24"/>
                <w:shd w:val="clear" w:color="auto" w:fill="FFFFFF"/>
              </w:rPr>
            </w:pPr>
            <w:r w:rsidRPr="00287B9A">
              <w:rPr>
                <w:rFonts w:ascii="Times New Roman" w:eastAsia="Times New Roman" w:hAnsi="Times New Roman" w:cs="Times New Roman"/>
                <w:bCs/>
                <w:sz w:val="24"/>
                <w:szCs w:val="24"/>
              </w:rPr>
              <w:t>Tiesiskā regulējuma mērķis un būtība ir skaidri norādīt, ka</w:t>
            </w:r>
            <w:r w:rsidR="003D21B2">
              <w:rPr>
                <w:rFonts w:ascii="Times New Roman" w:eastAsia="Times New Roman" w:hAnsi="Times New Roman" w:cs="Times New Roman"/>
                <w:bCs/>
                <w:sz w:val="24"/>
                <w:szCs w:val="24"/>
              </w:rPr>
              <w:t xml:space="preserve"> personas tiek vakcinētas </w:t>
            </w:r>
            <w:r w:rsidR="003B508A">
              <w:rPr>
                <w:rFonts w:ascii="Times New Roman" w:eastAsia="Times New Roman" w:hAnsi="Times New Roman" w:cs="Times New Roman"/>
                <w:bCs/>
                <w:sz w:val="24"/>
                <w:szCs w:val="24"/>
              </w:rPr>
              <w:t xml:space="preserve">atbilstoši </w:t>
            </w:r>
            <w:r w:rsidR="003B508A" w:rsidRPr="00355623">
              <w:rPr>
                <w:rFonts w:ascii="Times New Roman" w:hAnsi="Times New Roman" w:cs="Times New Roman"/>
                <w:sz w:val="24"/>
                <w:szCs w:val="24"/>
                <w:shd w:val="clear" w:color="auto" w:fill="FFFFFF"/>
              </w:rPr>
              <w:t>Covid-19 vakcinācijas</w:t>
            </w:r>
            <w:r w:rsidR="003B508A" w:rsidRPr="00C32A34">
              <w:rPr>
                <w:rFonts w:ascii="Times New Roman" w:hAnsi="Times New Roman" w:cs="Times New Roman"/>
                <w:sz w:val="24"/>
                <w:szCs w:val="24"/>
                <w:shd w:val="clear" w:color="auto" w:fill="FFFFFF"/>
              </w:rPr>
              <w:t xml:space="preserve"> rokasgrāmat</w:t>
            </w:r>
            <w:r w:rsidR="00D946C8">
              <w:rPr>
                <w:rFonts w:ascii="Times New Roman" w:hAnsi="Times New Roman" w:cs="Times New Roman"/>
                <w:sz w:val="24"/>
                <w:szCs w:val="24"/>
                <w:shd w:val="clear" w:color="auto" w:fill="FFFFFF"/>
              </w:rPr>
              <w:t>ā</w:t>
            </w:r>
            <w:r w:rsidR="003B508A" w:rsidRPr="00C32A34">
              <w:rPr>
                <w:rFonts w:ascii="Times New Roman" w:hAnsi="Times New Roman" w:cs="Times New Roman"/>
                <w:sz w:val="24"/>
                <w:szCs w:val="24"/>
                <w:shd w:val="clear" w:color="auto" w:fill="FFFFFF"/>
              </w:rPr>
              <w:t xml:space="preserve"> ietver</w:t>
            </w:r>
            <w:r w:rsidR="00D946C8">
              <w:rPr>
                <w:rFonts w:ascii="Times New Roman" w:hAnsi="Times New Roman" w:cs="Times New Roman"/>
                <w:sz w:val="24"/>
                <w:szCs w:val="24"/>
                <w:shd w:val="clear" w:color="auto" w:fill="FFFFFF"/>
              </w:rPr>
              <w:t>tajām norādēm, kas pamatojas</w:t>
            </w:r>
            <w:r w:rsidR="003B508A" w:rsidRPr="00C32A34">
              <w:rPr>
                <w:rFonts w:ascii="Times New Roman" w:hAnsi="Times New Roman" w:cs="Times New Roman"/>
                <w:sz w:val="24"/>
                <w:szCs w:val="24"/>
                <w:shd w:val="clear" w:color="auto" w:fill="FFFFFF"/>
              </w:rPr>
              <w:t xml:space="preserve"> uz zinātniskiem pierādījumiem balstītu informāciju,</w:t>
            </w:r>
            <w:r w:rsidR="00F54758">
              <w:rPr>
                <w:rFonts w:ascii="Times New Roman" w:hAnsi="Times New Roman" w:cs="Times New Roman"/>
                <w:sz w:val="24"/>
                <w:szCs w:val="24"/>
                <w:shd w:val="clear" w:color="auto" w:fill="FFFFFF"/>
              </w:rPr>
              <w:t xml:space="preserve"> un Covid-19 vakcinācijas rokasgrāmata nepārtraukti tiek pilnveidota tiklīdz ir </w:t>
            </w:r>
            <w:r w:rsidR="00007064">
              <w:rPr>
                <w:rFonts w:ascii="Times New Roman" w:hAnsi="Times New Roman" w:cs="Times New Roman"/>
                <w:sz w:val="24"/>
                <w:szCs w:val="24"/>
                <w:shd w:val="clear" w:color="auto" w:fill="FFFFFF"/>
              </w:rPr>
              <w:t xml:space="preserve">pieejami jauni zinātniski pamatoti argumenti vakcinācijas procesa </w:t>
            </w:r>
            <w:r w:rsidR="00BA3E8B">
              <w:rPr>
                <w:rFonts w:ascii="Times New Roman" w:hAnsi="Times New Roman" w:cs="Times New Roman"/>
                <w:sz w:val="24"/>
                <w:szCs w:val="24"/>
                <w:shd w:val="clear" w:color="auto" w:fill="FFFFFF"/>
              </w:rPr>
              <w:t xml:space="preserve">vai vakcinācijas shēmas </w:t>
            </w:r>
            <w:r w:rsidR="00007064">
              <w:rPr>
                <w:rFonts w:ascii="Times New Roman" w:hAnsi="Times New Roman" w:cs="Times New Roman"/>
                <w:sz w:val="24"/>
                <w:szCs w:val="24"/>
                <w:shd w:val="clear" w:color="auto" w:fill="FFFFFF"/>
              </w:rPr>
              <w:t>pilnveidošanai</w:t>
            </w:r>
            <w:r w:rsidR="00BA3E8B">
              <w:rPr>
                <w:rFonts w:ascii="Times New Roman" w:hAnsi="Times New Roman" w:cs="Times New Roman"/>
                <w:sz w:val="24"/>
                <w:szCs w:val="24"/>
                <w:shd w:val="clear" w:color="auto" w:fill="FFFFFF"/>
              </w:rPr>
              <w:t>.</w:t>
            </w:r>
          </w:p>
        </w:tc>
      </w:tr>
      <w:tr w:rsidR="00BD50E2" w:rsidRPr="00BD50E2" w14:paraId="64359952" w14:textId="77777777" w:rsidTr="00EF77FE">
        <w:tc>
          <w:tcPr>
            <w:tcW w:w="211"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944"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45" w:type="pct"/>
            <w:tcBorders>
              <w:top w:val="single" w:sz="4" w:space="0" w:color="auto"/>
              <w:left w:val="single" w:sz="4" w:space="0" w:color="auto"/>
              <w:bottom w:val="single" w:sz="4" w:space="0" w:color="auto"/>
              <w:right w:val="single" w:sz="4" w:space="0" w:color="auto"/>
            </w:tcBorders>
            <w:hideMark/>
          </w:tcPr>
          <w:p w14:paraId="63E85C9B" w14:textId="3F924BBA"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w:t>
            </w:r>
          </w:p>
        </w:tc>
      </w:tr>
      <w:tr w:rsidR="000E2322" w:rsidRPr="00BD50E2" w14:paraId="516EC393" w14:textId="77777777" w:rsidTr="00EF77FE">
        <w:tc>
          <w:tcPr>
            <w:tcW w:w="211"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944"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45" w:type="pct"/>
            <w:tcBorders>
              <w:top w:val="single" w:sz="4" w:space="0" w:color="auto"/>
              <w:left w:val="single" w:sz="4" w:space="0" w:color="auto"/>
              <w:bottom w:val="single" w:sz="4" w:space="0" w:color="auto"/>
              <w:right w:val="single" w:sz="4" w:space="0" w:color="auto"/>
            </w:tcBorders>
            <w:hideMark/>
          </w:tcPr>
          <w:p w14:paraId="52D1B08C" w14:textId="62B8ED80"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BD50E2" w:rsidRPr="00BD50E2" w14:paraId="015A4B4E" w14:textId="77777777" w:rsidTr="001D758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Sabiedrības </w:t>
            </w:r>
            <w:proofErr w:type="spellStart"/>
            <w:r w:rsidRPr="00BD50E2">
              <w:rPr>
                <w:rFonts w:ascii="Times New Roman" w:eastAsia="Times New Roman" w:hAnsi="Times New Roman" w:cs="Times New Roman"/>
                <w:bCs/>
                <w:sz w:val="24"/>
                <w:szCs w:val="24"/>
              </w:rPr>
              <w:t>mērķgrupas</w:t>
            </w:r>
            <w:proofErr w:type="spellEnd"/>
            <w:r w:rsidRPr="00BD50E2">
              <w:rPr>
                <w:rFonts w:ascii="Times New Roman" w:eastAsia="Times New Roman" w:hAnsi="Times New Roman" w:cs="Times New Roman"/>
                <w:bCs/>
                <w:sz w:val="24"/>
                <w:szCs w:val="24"/>
              </w:rPr>
              <w:t>, kuras tiesiskais regulējums ietekmē vai varētu ietekmēt</w:t>
            </w:r>
          </w:p>
        </w:tc>
        <w:tc>
          <w:tcPr>
            <w:tcW w:w="3434" w:type="pct"/>
            <w:tcBorders>
              <w:top w:val="single" w:sz="4" w:space="0" w:color="auto"/>
              <w:left w:val="single" w:sz="4" w:space="0" w:color="auto"/>
              <w:bottom w:val="single" w:sz="4" w:space="0" w:color="auto"/>
              <w:right w:val="single" w:sz="4" w:space="0" w:color="auto"/>
            </w:tcBorders>
          </w:tcPr>
          <w:p w14:paraId="554E76BE" w14:textId="57B13B59" w:rsidR="00E32152" w:rsidRPr="00BD50E2" w:rsidRDefault="008C7514" w:rsidP="00AE4EFC">
            <w:pPr>
              <w:spacing w:after="0" w:line="240" w:lineRule="auto"/>
              <w:jc w:val="both"/>
              <w:rPr>
                <w:rFonts w:ascii="Times New Roman" w:hAnsi="Times New Roman" w:cs="Times New Roman"/>
                <w:bCs/>
                <w:sz w:val="24"/>
                <w:szCs w:val="24"/>
              </w:rPr>
            </w:pPr>
            <w:r w:rsidRPr="00830047">
              <w:rPr>
                <w:rFonts w:ascii="Times New Roman" w:eastAsia="Times New Roman" w:hAnsi="Times New Roman" w:cs="Times New Roman"/>
                <w:bCs/>
                <w:sz w:val="24"/>
                <w:szCs w:val="24"/>
              </w:rPr>
              <w:t>Projekta tiesiskais regulējums attiecas uz</w:t>
            </w:r>
            <w:r>
              <w:rPr>
                <w:rFonts w:ascii="Times New Roman" w:eastAsia="Times New Roman" w:hAnsi="Times New Roman" w:cs="Times New Roman"/>
                <w:bCs/>
                <w:sz w:val="24"/>
                <w:szCs w:val="24"/>
              </w:rPr>
              <w:t xml:space="preserve"> vakcinācijas veicējiem un vakcinējamajām personām (īpaši uz </w:t>
            </w:r>
            <w:r w:rsidR="00AE1ABC" w:rsidRPr="00AE1ABC">
              <w:rPr>
                <w:rFonts w:ascii="Times New Roman" w:eastAsia="Times New Roman" w:hAnsi="Times New Roman" w:cs="Times New Roman"/>
                <w:bCs/>
                <w:sz w:val="24"/>
                <w:szCs w:val="24"/>
              </w:rPr>
              <w:t xml:space="preserve">augstas </w:t>
            </w:r>
            <w:proofErr w:type="spellStart"/>
            <w:r w:rsidR="00AE1ABC" w:rsidRPr="00AE1ABC">
              <w:rPr>
                <w:rFonts w:ascii="Times New Roman" w:eastAsia="Times New Roman" w:hAnsi="Times New Roman" w:cs="Times New Roman"/>
                <w:bCs/>
                <w:sz w:val="24"/>
                <w:szCs w:val="24"/>
              </w:rPr>
              <w:t>imūnsupresijas</w:t>
            </w:r>
            <w:proofErr w:type="spellEnd"/>
            <w:r w:rsidR="00AE1ABC" w:rsidRPr="00AE1ABC">
              <w:rPr>
                <w:rFonts w:ascii="Times New Roman" w:eastAsia="Times New Roman" w:hAnsi="Times New Roman" w:cs="Times New Roman"/>
                <w:bCs/>
                <w:sz w:val="24"/>
                <w:szCs w:val="24"/>
              </w:rPr>
              <w:t xml:space="preserve"> pacientiem</w:t>
            </w:r>
            <w:r w:rsidR="00AE1ABC">
              <w:rPr>
                <w:rFonts w:ascii="Times New Roman" w:eastAsia="Times New Roman" w:hAnsi="Times New Roman" w:cs="Times New Roman"/>
                <w:bCs/>
                <w:sz w:val="24"/>
                <w:szCs w:val="24"/>
              </w:rPr>
              <w:t xml:space="preserve">, kuriem tiek rekomendēts saņemt </w:t>
            </w:r>
            <w:r w:rsidR="00052368">
              <w:rPr>
                <w:rFonts w:ascii="Times New Roman" w:eastAsia="Times New Roman" w:hAnsi="Times New Roman" w:cs="Times New Roman"/>
                <w:bCs/>
                <w:sz w:val="24"/>
                <w:szCs w:val="24"/>
              </w:rPr>
              <w:t>3. Covid-19 vakcīnas devu</w:t>
            </w:r>
            <w:r>
              <w:rPr>
                <w:rFonts w:ascii="Times New Roman" w:eastAsia="Times New Roman" w:hAnsi="Times New Roman" w:cs="Times New Roman"/>
                <w:bCs/>
                <w:sz w:val="24"/>
                <w:szCs w:val="24"/>
              </w:rPr>
              <w:t>)</w:t>
            </w:r>
            <w:r w:rsidR="00052368">
              <w:rPr>
                <w:rFonts w:ascii="Times New Roman" w:eastAsia="Times New Roman" w:hAnsi="Times New Roman" w:cs="Times New Roman"/>
                <w:bCs/>
                <w:sz w:val="24"/>
                <w:szCs w:val="24"/>
              </w:rPr>
              <w:t>.</w:t>
            </w:r>
          </w:p>
        </w:tc>
      </w:tr>
      <w:tr w:rsidR="00BD50E2" w:rsidRPr="00BD50E2" w14:paraId="63982A56"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434" w:type="pct"/>
            <w:tcBorders>
              <w:top w:val="single" w:sz="4" w:space="0" w:color="auto"/>
              <w:left w:val="single" w:sz="4" w:space="0" w:color="auto"/>
              <w:bottom w:val="single" w:sz="4" w:space="0" w:color="auto"/>
              <w:right w:val="single" w:sz="4" w:space="0" w:color="auto"/>
            </w:tcBorders>
            <w:hideMark/>
          </w:tcPr>
          <w:p w14:paraId="5931B922" w14:textId="3CE94EFC" w:rsidR="00AF30FC" w:rsidRPr="00BD50E2" w:rsidRDefault="009A72BC"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Projekts šo jomu neskar.</w:t>
            </w:r>
          </w:p>
        </w:tc>
      </w:tr>
      <w:tr w:rsidR="00BD50E2" w:rsidRPr="00BD50E2" w14:paraId="54545A33"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268" w:type="pct"/>
            <w:tcBorders>
              <w:top w:val="single" w:sz="4" w:space="0" w:color="auto"/>
              <w:left w:val="single" w:sz="4" w:space="0" w:color="auto"/>
              <w:bottom w:val="single" w:sz="4" w:space="0" w:color="auto"/>
              <w:right w:val="single" w:sz="4" w:space="0" w:color="auto"/>
            </w:tcBorders>
            <w:hideMark/>
          </w:tcPr>
          <w:p w14:paraId="2756DEC2" w14:textId="3D953C60" w:rsidR="0007278B" w:rsidRPr="00BD50E2" w:rsidRDefault="00A21321" w:rsidP="00585B91">
            <w:pPr>
              <w:spacing w:after="0" w:line="240" w:lineRule="auto"/>
              <w:ind w:right="247"/>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434" w:type="pct"/>
            <w:tcBorders>
              <w:top w:val="single" w:sz="4" w:space="0" w:color="auto"/>
              <w:left w:val="single" w:sz="4" w:space="0" w:color="auto"/>
              <w:bottom w:val="single" w:sz="4" w:space="0" w:color="auto"/>
              <w:right w:val="single" w:sz="4" w:space="0" w:color="auto"/>
            </w:tcBorders>
            <w:hideMark/>
          </w:tcPr>
          <w:p w14:paraId="4AAC7013" w14:textId="017561A6" w:rsidR="0007278B" w:rsidRPr="00BD50E2" w:rsidRDefault="00A21321" w:rsidP="00AE4EFC">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t>Nav</w:t>
            </w:r>
          </w:p>
        </w:tc>
      </w:tr>
      <w:tr w:rsidR="00BD50E2" w:rsidRPr="00BD50E2" w14:paraId="001375C1"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434" w:type="pct"/>
            <w:tcBorders>
              <w:top w:val="single" w:sz="4" w:space="0" w:color="auto"/>
              <w:left w:val="single" w:sz="4" w:space="0" w:color="auto"/>
              <w:bottom w:val="single" w:sz="4" w:space="0" w:color="auto"/>
              <w:right w:val="single" w:sz="4" w:space="0" w:color="auto"/>
            </w:tcBorders>
            <w:hideMark/>
          </w:tcPr>
          <w:p w14:paraId="3B95E232" w14:textId="287CB7AA" w:rsidR="0007278B" w:rsidRPr="00BD50E2" w:rsidRDefault="00A21321"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Nav</w:t>
            </w:r>
          </w:p>
        </w:tc>
      </w:tr>
      <w:tr w:rsidR="0007278B" w:rsidRPr="00BD50E2" w14:paraId="2928B961" w14:textId="77777777" w:rsidTr="004A73B6">
        <w:tc>
          <w:tcPr>
            <w:tcW w:w="297"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268"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4" w:type="pct"/>
            <w:tcBorders>
              <w:top w:val="single" w:sz="4" w:space="0" w:color="auto"/>
              <w:left w:val="single" w:sz="4" w:space="0" w:color="auto"/>
              <w:bottom w:val="single" w:sz="4" w:space="0" w:color="auto"/>
              <w:right w:val="single" w:sz="4" w:space="0" w:color="auto"/>
            </w:tcBorders>
            <w:hideMark/>
          </w:tcPr>
          <w:p w14:paraId="2F59F56A" w14:textId="539EC41B"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3CC8DD1F" w:rsidR="007E4536"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498" w:type="dxa"/>
        <w:tblInd w:w="-5" w:type="dxa"/>
        <w:tblLayout w:type="fixed"/>
        <w:tblLook w:val="04A0" w:firstRow="1" w:lastRow="0" w:firstColumn="1" w:lastColumn="0" w:noHBand="0" w:noVBand="1"/>
      </w:tblPr>
      <w:tblGrid>
        <w:gridCol w:w="9498"/>
      </w:tblGrid>
      <w:tr w:rsidR="00043FEB" w:rsidRPr="00043FEB" w14:paraId="05F99A2A" w14:textId="77777777" w:rsidTr="00043FEB">
        <w:trPr>
          <w:trHeight w:val="360"/>
        </w:trPr>
        <w:tc>
          <w:tcPr>
            <w:tcW w:w="9498" w:type="dxa"/>
            <w:tcBorders>
              <w:top w:val="single" w:sz="4" w:space="0" w:color="auto"/>
              <w:left w:val="single" w:sz="4" w:space="0" w:color="auto"/>
              <w:bottom w:val="single" w:sz="4" w:space="0" w:color="auto"/>
              <w:right w:val="single" w:sz="4" w:space="0" w:color="auto"/>
            </w:tcBorders>
            <w:hideMark/>
          </w:tcPr>
          <w:p w14:paraId="6F9D70B4" w14:textId="77777777" w:rsidR="00043FEB" w:rsidRPr="00043FEB" w:rsidRDefault="00043FEB" w:rsidP="00043FEB">
            <w:pPr>
              <w:spacing w:after="0" w:line="240" w:lineRule="auto"/>
              <w:rPr>
                <w:b/>
                <w:bCs/>
                <w:sz w:val="24"/>
                <w:szCs w:val="24"/>
              </w:rPr>
            </w:pPr>
            <w:r w:rsidRPr="00043FEB">
              <w:rPr>
                <w:b/>
                <w:bCs/>
                <w:sz w:val="24"/>
                <w:szCs w:val="24"/>
              </w:rPr>
              <w:t>III. Tiesību akta projekta ietekme uz valsts budžetu un pašvaldību budžetiem</w:t>
            </w:r>
          </w:p>
        </w:tc>
      </w:tr>
      <w:tr w:rsidR="00043FEB" w:rsidRPr="00043FEB" w14:paraId="1E8C43B3" w14:textId="77777777" w:rsidTr="00043FEB">
        <w:trPr>
          <w:trHeight w:val="360"/>
        </w:trPr>
        <w:tc>
          <w:tcPr>
            <w:tcW w:w="9498" w:type="dxa"/>
            <w:tcBorders>
              <w:top w:val="single" w:sz="4" w:space="0" w:color="auto"/>
              <w:left w:val="single" w:sz="4" w:space="0" w:color="auto"/>
              <w:bottom w:val="single" w:sz="4" w:space="0" w:color="auto"/>
              <w:right w:val="single" w:sz="4" w:space="0" w:color="auto"/>
            </w:tcBorders>
          </w:tcPr>
          <w:p w14:paraId="539BE425" w14:textId="77777777" w:rsidR="00043FEB" w:rsidRPr="00043FEB" w:rsidRDefault="00043FEB" w:rsidP="00011EC1">
            <w:pPr>
              <w:spacing w:after="0" w:line="240" w:lineRule="auto"/>
              <w:jc w:val="center"/>
              <w:rPr>
                <w:b/>
                <w:bCs/>
                <w:sz w:val="24"/>
                <w:szCs w:val="24"/>
              </w:rPr>
            </w:pPr>
            <w:r w:rsidRPr="00043FEB">
              <w:rPr>
                <w:bCs/>
                <w:sz w:val="24"/>
                <w:szCs w:val="24"/>
              </w:rPr>
              <w:t>Projekts šo jomu neskar.</w:t>
            </w:r>
          </w:p>
        </w:tc>
      </w:tr>
    </w:tbl>
    <w:p w14:paraId="00D7BDEA" w14:textId="19F8B2E5" w:rsidR="00043FEB" w:rsidRDefault="00043FEB" w:rsidP="00D856F7">
      <w:pPr>
        <w:spacing w:after="0" w:line="240" w:lineRule="auto"/>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011EC1" w:rsidRPr="00BD50E2" w14:paraId="451B48AB" w14:textId="77777777" w:rsidTr="00A75192">
        <w:tc>
          <w:tcPr>
            <w:tcW w:w="9497" w:type="dxa"/>
            <w:tcBorders>
              <w:top w:val="single" w:sz="4" w:space="0" w:color="auto"/>
              <w:left w:val="single" w:sz="4" w:space="0" w:color="auto"/>
              <w:bottom w:val="single" w:sz="4" w:space="0" w:color="auto"/>
              <w:right w:val="single" w:sz="4" w:space="0" w:color="auto"/>
            </w:tcBorders>
            <w:vAlign w:val="center"/>
            <w:hideMark/>
          </w:tcPr>
          <w:p w14:paraId="45ED8BDC" w14:textId="6502C672" w:rsidR="00011EC1" w:rsidRPr="00BD50E2" w:rsidRDefault="00011EC1" w:rsidP="00A75192">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 xml:space="preserve"> IV. Tiesību akta projekta ietekme uz spēkā esošo tiesību normu sistēmu</w:t>
            </w:r>
          </w:p>
        </w:tc>
      </w:tr>
      <w:tr w:rsidR="00011EC1" w:rsidRPr="00BD50E2" w14:paraId="4DAF40CA" w14:textId="77777777" w:rsidTr="00A75192">
        <w:tc>
          <w:tcPr>
            <w:tcW w:w="9497" w:type="dxa"/>
            <w:tcBorders>
              <w:top w:val="single" w:sz="4" w:space="0" w:color="auto"/>
              <w:left w:val="single" w:sz="4" w:space="0" w:color="auto"/>
              <w:bottom w:val="single" w:sz="4" w:space="0" w:color="auto"/>
              <w:right w:val="single" w:sz="4" w:space="0" w:color="auto"/>
            </w:tcBorders>
            <w:vAlign w:val="center"/>
          </w:tcPr>
          <w:p w14:paraId="42BFA87B" w14:textId="77777777" w:rsidR="00011EC1" w:rsidRPr="00BD50E2" w:rsidRDefault="00011EC1" w:rsidP="00A75192">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24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98"/>
      </w:tblGrid>
      <w:tr w:rsidR="00BD50E2" w:rsidRPr="00BD50E2" w14:paraId="564EC935" w14:textId="77777777" w:rsidTr="00470FB8">
        <w:tc>
          <w:tcPr>
            <w:tcW w:w="9497"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470FB8">
        <w:tc>
          <w:tcPr>
            <w:tcW w:w="9497"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7"/>
        <w:gridCol w:w="6521"/>
      </w:tblGrid>
      <w:tr w:rsidR="00BD50E2" w:rsidRPr="00BD50E2" w14:paraId="3B8C0E70"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268"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435" w:type="pct"/>
            <w:tcBorders>
              <w:top w:val="single" w:sz="4" w:space="0" w:color="auto"/>
              <w:left w:val="single" w:sz="4" w:space="0" w:color="auto"/>
              <w:bottom w:val="single" w:sz="4" w:space="0" w:color="auto"/>
              <w:right w:val="single" w:sz="4" w:space="0" w:color="auto"/>
            </w:tcBorders>
          </w:tcPr>
          <w:p w14:paraId="7B7D311F" w14:textId="2D8B25C3" w:rsidR="00137903" w:rsidRPr="00BD50E2" w:rsidRDefault="00192BBB"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Sabiedrība vispārējā kārtībā tiks informēta pēc noteikumu p</w:t>
            </w:r>
            <w:r w:rsidRPr="00BD50E2">
              <w:rPr>
                <w:rFonts w:ascii="Times New Roman" w:eastAsia="Times New Roman" w:hAnsi="Times New Roman" w:cs="Times New Roman"/>
                <w:iCs/>
                <w:sz w:val="24"/>
                <w:szCs w:val="24"/>
                <w:lang w:eastAsia="lv-LV"/>
              </w:rPr>
              <w:t>rojekta</w:t>
            </w:r>
            <w:r>
              <w:rPr>
                <w:rFonts w:ascii="Times New Roman" w:eastAsia="Times New Roman" w:hAnsi="Times New Roman" w:cs="Times New Roman"/>
                <w:iCs/>
                <w:sz w:val="24"/>
                <w:szCs w:val="24"/>
                <w:lang w:eastAsia="lv-LV"/>
              </w:rPr>
              <w:t xml:space="preserve"> pieņemšanas. </w:t>
            </w:r>
            <w:r w:rsidR="00694BD3">
              <w:rPr>
                <w:rFonts w:ascii="Times New Roman" w:eastAsia="Times New Roman" w:hAnsi="Times New Roman" w:cs="Times New Roman"/>
                <w:iCs/>
                <w:sz w:val="24"/>
                <w:szCs w:val="24"/>
                <w:lang w:eastAsia="lv-LV"/>
              </w:rPr>
              <w:t>I</w:t>
            </w:r>
            <w:r w:rsidR="00137903" w:rsidRPr="00BD50E2">
              <w:rPr>
                <w:rFonts w:ascii="Times New Roman" w:eastAsia="Times New Roman" w:hAnsi="Times New Roman" w:cs="Times New Roman"/>
                <w:iCs/>
                <w:sz w:val="24"/>
                <w:szCs w:val="24"/>
                <w:lang w:eastAsia="lv-LV"/>
              </w:rPr>
              <w:t>nformācij</w:t>
            </w:r>
            <w:r w:rsidR="00694BD3">
              <w:rPr>
                <w:rFonts w:ascii="Times New Roman" w:eastAsia="Times New Roman" w:hAnsi="Times New Roman" w:cs="Times New Roman"/>
                <w:iCs/>
                <w:sz w:val="24"/>
                <w:szCs w:val="24"/>
                <w:lang w:eastAsia="lv-LV"/>
              </w:rPr>
              <w:t>a</w:t>
            </w:r>
            <w:r w:rsidR="00137903" w:rsidRPr="00BD50E2">
              <w:rPr>
                <w:rFonts w:ascii="Times New Roman" w:eastAsia="Times New Roman" w:hAnsi="Times New Roman" w:cs="Times New Roman"/>
                <w:iCs/>
                <w:sz w:val="24"/>
                <w:szCs w:val="24"/>
                <w:lang w:eastAsia="lv-LV"/>
              </w:rPr>
              <w:t xml:space="preserve"> par veiktajiem grozījumiem </w:t>
            </w:r>
            <w:r w:rsidR="00694BD3">
              <w:rPr>
                <w:rFonts w:ascii="Times New Roman" w:eastAsia="Times New Roman" w:hAnsi="Times New Roman" w:cs="Times New Roman"/>
                <w:iCs/>
                <w:sz w:val="24"/>
                <w:szCs w:val="24"/>
                <w:lang w:eastAsia="lv-LV"/>
              </w:rPr>
              <w:t xml:space="preserve">tiks </w:t>
            </w:r>
            <w:r w:rsidR="00137903" w:rsidRPr="00BD50E2">
              <w:rPr>
                <w:rFonts w:ascii="Times New Roman" w:eastAsia="Times New Roman" w:hAnsi="Times New Roman" w:cs="Times New Roman"/>
                <w:iCs/>
                <w:sz w:val="24"/>
                <w:szCs w:val="24"/>
                <w:lang w:eastAsia="lv-LV"/>
              </w:rPr>
              <w:t>ievietot</w:t>
            </w:r>
            <w:r w:rsidR="00694BD3">
              <w:rPr>
                <w:rFonts w:ascii="Times New Roman" w:eastAsia="Times New Roman" w:hAnsi="Times New Roman" w:cs="Times New Roman"/>
                <w:iCs/>
                <w:sz w:val="24"/>
                <w:szCs w:val="24"/>
                <w:lang w:eastAsia="lv-LV"/>
              </w:rPr>
              <w:t>a</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w:t>
            </w:r>
            <w:r w:rsidR="001D7589">
              <w:rPr>
                <w:rFonts w:ascii="Times New Roman" w:eastAsia="Times New Roman" w:hAnsi="Times New Roman" w:cs="Times New Roman"/>
                <w:iCs/>
                <w:sz w:val="24"/>
                <w:szCs w:val="24"/>
                <w:lang w:eastAsia="lv-LV"/>
              </w:rPr>
              <w:t>limību profilakses un kontroles centra</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w:t>
            </w:r>
          </w:p>
        </w:tc>
      </w:tr>
      <w:tr w:rsidR="00BD50E2" w:rsidRPr="00BD50E2" w14:paraId="16BE2AE7"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268"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435"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470FB8">
        <w:trPr>
          <w:trHeight w:val="585"/>
        </w:trPr>
        <w:tc>
          <w:tcPr>
            <w:tcW w:w="297"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268"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435"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268"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435"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3258"/>
        <w:gridCol w:w="5671"/>
      </w:tblGrid>
      <w:tr w:rsidR="00BD50E2" w:rsidRPr="00BD50E2" w14:paraId="20F6EC7B" w14:textId="77777777" w:rsidTr="00470FB8">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16"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987" w:type="pct"/>
            <w:tcBorders>
              <w:top w:val="single" w:sz="4" w:space="0" w:color="auto"/>
              <w:left w:val="single" w:sz="4" w:space="0" w:color="auto"/>
              <w:bottom w:val="single" w:sz="4" w:space="0" w:color="auto"/>
              <w:right w:val="single" w:sz="4" w:space="0" w:color="auto"/>
            </w:tcBorders>
          </w:tcPr>
          <w:p w14:paraId="2EFE8F23" w14:textId="2E310478" w:rsidR="0007278B" w:rsidRPr="00BD50E2" w:rsidRDefault="00D72D9F" w:rsidP="00043FEB">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16"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987"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470FB8">
        <w:tc>
          <w:tcPr>
            <w:tcW w:w="297"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16"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987" w:type="pct"/>
            <w:tcBorders>
              <w:top w:val="single" w:sz="4" w:space="0" w:color="auto"/>
              <w:left w:val="single" w:sz="4" w:space="0" w:color="auto"/>
              <w:bottom w:val="single" w:sz="4" w:space="0" w:color="auto"/>
              <w:right w:val="single" w:sz="4" w:space="0" w:color="auto"/>
            </w:tcBorders>
            <w:hideMark/>
          </w:tcPr>
          <w:p w14:paraId="13C2DCF6" w14:textId="189AA116"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rsidRPr="00D72D9F" w14:paraId="2D80AED7" w14:textId="77777777" w:rsidTr="008C3B71">
        <w:tc>
          <w:tcPr>
            <w:tcW w:w="3686" w:type="dxa"/>
          </w:tcPr>
          <w:p w14:paraId="0DB7F0FC" w14:textId="4E2F40DF" w:rsidR="00590FAA" w:rsidRPr="00D72D9F" w:rsidRDefault="005758FB" w:rsidP="00D72D9F">
            <w:pPr>
              <w:pStyle w:val="pamattekststabul"/>
              <w:tabs>
                <w:tab w:val="left" w:pos="3969"/>
                <w:tab w:val="left" w:pos="6379"/>
              </w:tabs>
              <w:spacing w:before="0" w:beforeAutospacing="0" w:after="0" w:afterAutospacing="0"/>
              <w:rPr>
                <w:rFonts w:eastAsia="Calibri"/>
                <w:sz w:val="28"/>
                <w:szCs w:val="28"/>
                <w:lang w:val="lv-LV"/>
              </w:rPr>
            </w:pPr>
            <w:r w:rsidRPr="00D72D9F">
              <w:rPr>
                <w:rFonts w:eastAsia="Calibri"/>
                <w:noProof/>
                <w:sz w:val="28"/>
                <w:szCs w:val="28"/>
                <w:lang w:val="lv-LV"/>
              </w:rPr>
              <w:t xml:space="preserve">Veselības </w:t>
            </w:r>
            <w:r w:rsidR="00590FAA" w:rsidRPr="00D72D9F">
              <w:rPr>
                <w:rFonts w:eastAsia="Calibri"/>
                <w:noProof/>
                <w:sz w:val="28"/>
                <w:szCs w:val="28"/>
                <w:lang w:val="lv-LV"/>
              </w:rPr>
              <w:t>ministrs</w:t>
            </w:r>
          </w:p>
        </w:tc>
        <w:tc>
          <w:tcPr>
            <w:tcW w:w="4251" w:type="dxa"/>
          </w:tcPr>
          <w:p w14:paraId="11E17F17" w14:textId="07B28905" w:rsidR="00590FAA" w:rsidRPr="00D72D9F" w:rsidRDefault="00D72D9F" w:rsidP="00D72D9F">
            <w:pPr>
              <w:pStyle w:val="pamattekststabul"/>
              <w:tabs>
                <w:tab w:val="left" w:pos="3969"/>
                <w:tab w:val="left" w:pos="6379"/>
              </w:tabs>
              <w:spacing w:before="0" w:beforeAutospacing="0" w:after="0" w:afterAutospacing="0"/>
              <w:jc w:val="right"/>
              <w:rPr>
                <w:rFonts w:eastAsia="Calibri"/>
                <w:sz w:val="28"/>
                <w:szCs w:val="28"/>
                <w:lang w:val="lv-LV"/>
              </w:rPr>
            </w:pPr>
            <w:r>
              <w:rPr>
                <w:rFonts w:eastAsia="Calibri"/>
                <w:sz w:val="28"/>
                <w:szCs w:val="28"/>
                <w:lang w:val="lv-LV"/>
              </w:rPr>
              <w:t xml:space="preserve">            </w:t>
            </w:r>
            <w:r w:rsidR="005373EF" w:rsidRPr="00D72D9F">
              <w:rPr>
                <w:rFonts w:eastAsia="Calibri"/>
                <w:sz w:val="28"/>
                <w:szCs w:val="28"/>
                <w:lang w:val="lv-LV"/>
              </w:rPr>
              <w:t xml:space="preserve">  </w:t>
            </w:r>
            <w:r w:rsidR="004A73B6" w:rsidRPr="00D72D9F">
              <w:rPr>
                <w:rFonts w:eastAsia="Calibri"/>
                <w:sz w:val="28"/>
                <w:szCs w:val="28"/>
                <w:lang w:val="lv-LV"/>
              </w:rPr>
              <w:t xml:space="preserve">              </w:t>
            </w:r>
            <w:r w:rsidR="005373EF" w:rsidRPr="00D72D9F">
              <w:rPr>
                <w:rFonts w:eastAsia="Calibri"/>
                <w:sz w:val="28"/>
                <w:szCs w:val="28"/>
                <w:lang w:val="lv-LV"/>
              </w:rPr>
              <w:t xml:space="preserve"> </w:t>
            </w:r>
            <w:r w:rsidR="0043240B" w:rsidRPr="00D72D9F">
              <w:rPr>
                <w:rFonts w:eastAsia="Calibri"/>
                <w:sz w:val="28"/>
                <w:szCs w:val="28"/>
                <w:lang w:val="lv-LV"/>
              </w:rPr>
              <w:t>D. Pavļuts</w:t>
            </w:r>
          </w:p>
          <w:p w14:paraId="1D46503B" w14:textId="30E95EBD" w:rsidR="005758FB" w:rsidRPr="00D72D9F" w:rsidRDefault="005758FB" w:rsidP="00D72D9F">
            <w:pPr>
              <w:pStyle w:val="pamattekststabul"/>
              <w:tabs>
                <w:tab w:val="left" w:pos="3969"/>
                <w:tab w:val="left" w:pos="6379"/>
              </w:tabs>
              <w:spacing w:before="0" w:beforeAutospacing="0" w:after="0" w:afterAutospacing="0"/>
              <w:jc w:val="right"/>
              <w:rPr>
                <w:rFonts w:eastAsia="Calibri"/>
                <w:sz w:val="28"/>
                <w:szCs w:val="28"/>
                <w:lang w:val="lv-LV"/>
              </w:rPr>
            </w:pPr>
          </w:p>
        </w:tc>
      </w:tr>
    </w:tbl>
    <w:p w14:paraId="28AA86C7" w14:textId="35AD812C" w:rsidR="00886D79" w:rsidRDefault="0007278B" w:rsidP="00D72D9F">
      <w:pPr>
        <w:pStyle w:val="naisf"/>
        <w:spacing w:before="0" w:beforeAutospacing="0" w:after="0" w:afterAutospacing="0"/>
        <w:rPr>
          <w:bCs/>
          <w:sz w:val="28"/>
          <w:szCs w:val="28"/>
        </w:rPr>
      </w:pPr>
      <w:r w:rsidRPr="00D72D9F">
        <w:rPr>
          <w:bCs/>
          <w:sz w:val="28"/>
          <w:szCs w:val="28"/>
        </w:rPr>
        <w:t>Vīza: valsts sekretār</w:t>
      </w:r>
      <w:r w:rsidR="00C57B37">
        <w:rPr>
          <w:bCs/>
          <w:sz w:val="28"/>
          <w:szCs w:val="28"/>
        </w:rPr>
        <w:t xml:space="preserve">a </w:t>
      </w:r>
      <w:proofErr w:type="spellStart"/>
      <w:r w:rsidR="00C57B37">
        <w:rPr>
          <w:bCs/>
          <w:sz w:val="28"/>
          <w:szCs w:val="28"/>
        </w:rPr>
        <w:t>p.i</w:t>
      </w:r>
      <w:proofErr w:type="spellEnd"/>
      <w:r w:rsidR="00C57B37">
        <w:rPr>
          <w:bCs/>
          <w:sz w:val="28"/>
          <w:szCs w:val="28"/>
        </w:rPr>
        <w:t>.</w:t>
      </w:r>
      <w:r w:rsidRPr="00D72D9F">
        <w:rPr>
          <w:bCs/>
          <w:sz w:val="28"/>
          <w:szCs w:val="28"/>
        </w:rPr>
        <w:tab/>
      </w:r>
      <w:r w:rsidRPr="00D72D9F">
        <w:rPr>
          <w:bCs/>
          <w:sz w:val="28"/>
          <w:szCs w:val="28"/>
        </w:rPr>
        <w:tab/>
      </w:r>
      <w:r w:rsidRPr="00D72D9F">
        <w:rPr>
          <w:bCs/>
          <w:sz w:val="28"/>
          <w:szCs w:val="28"/>
        </w:rPr>
        <w:tab/>
      </w:r>
      <w:r w:rsidRPr="00D72D9F">
        <w:rPr>
          <w:bCs/>
          <w:sz w:val="28"/>
          <w:szCs w:val="28"/>
        </w:rPr>
        <w:tab/>
        <w:t xml:space="preserve">             </w:t>
      </w:r>
      <w:r w:rsidR="00333F6A" w:rsidRPr="00D72D9F">
        <w:rPr>
          <w:bCs/>
          <w:sz w:val="28"/>
          <w:szCs w:val="28"/>
        </w:rPr>
        <w:t xml:space="preserve">  </w:t>
      </w:r>
      <w:r w:rsidR="00366538" w:rsidRPr="00D72D9F">
        <w:rPr>
          <w:bCs/>
          <w:sz w:val="28"/>
          <w:szCs w:val="28"/>
        </w:rPr>
        <w:t xml:space="preserve">           </w:t>
      </w:r>
      <w:r w:rsidR="00333F6A" w:rsidRPr="00D72D9F">
        <w:rPr>
          <w:bCs/>
          <w:sz w:val="28"/>
          <w:szCs w:val="28"/>
        </w:rPr>
        <w:t xml:space="preserve"> </w:t>
      </w:r>
      <w:r w:rsidR="00C57B37">
        <w:rPr>
          <w:bCs/>
          <w:sz w:val="28"/>
          <w:szCs w:val="28"/>
        </w:rPr>
        <w:t xml:space="preserve">B. </w:t>
      </w:r>
      <w:proofErr w:type="spellStart"/>
      <w:r w:rsidR="00C57B37">
        <w:rPr>
          <w:bCs/>
          <w:sz w:val="28"/>
          <w:szCs w:val="28"/>
        </w:rPr>
        <w:t>Kņigins</w:t>
      </w:r>
      <w:proofErr w:type="spellEnd"/>
    </w:p>
    <w:p w14:paraId="7AC0071E" w14:textId="7EFF5DB3" w:rsidR="00E164D6" w:rsidRDefault="00E164D6" w:rsidP="00D72D9F">
      <w:pPr>
        <w:pStyle w:val="naisf"/>
        <w:spacing w:before="0" w:beforeAutospacing="0" w:after="0" w:afterAutospacing="0"/>
        <w:rPr>
          <w:bCs/>
          <w:sz w:val="28"/>
          <w:szCs w:val="28"/>
        </w:rPr>
      </w:pPr>
    </w:p>
    <w:p w14:paraId="25BAA825" w14:textId="77777777" w:rsidR="00E164D6" w:rsidRDefault="00E164D6" w:rsidP="00D72D9F">
      <w:pPr>
        <w:pStyle w:val="naisf"/>
        <w:spacing w:before="0" w:beforeAutospacing="0" w:after="0" w:afterAutospacing="0"/>
        <w:rPr>
          <w:bCs/>
          <w:sz w:val="28"/>
          <w:szCs w:val="28"/>
        </w:rPr>
      </w:pPr>
    </w:p>
    <w:p w14:paraId="47755251" w14:textId="77777777" w:rsidR="00E164D6" w:rsidRPr="0055755B" w:rsidRDefault="00E164D6" w:rsidP="00E164D6">
      <w:pPr>
        <w:spacing w:after="0" w:line="240" w:lineRule="auto"/>
        <w:rPr>
          <w:rFonts w:ascii="Times New Roman" w:hAnsi="Times New Roman" w:cs="Times New Roman"/>
          <w:sz w:val="24"/>
          <w:szCs w:val="28"/>
        </w:rPr>
      </w:pPr>
      <w:r>
        <w:rPr>
          <w:rFonts w:ascii="Times New Roman" w:hAnsi="Times New Roman" w:cs="Times New Roman"/>
          <w:sz w:val="24"/>
          <w:szCs w:val="28"/>
        </w:rPr>
        <w:t>Feldmane</w:t>
      </w:r>
      <w:r w:rsidRPr="0055755B">
        <w:rPr>
          <w:rFonts w:ascii="Times New Roman" w:hAnsi="Times New Roman" w:cs="Times New Roman"/>
          <w:sz w:val="24"/>
          <w:szCs w:val="28"/>
        </w:rPr>
        <w:t xml:space="preserve"> 67876</w:t>
      </w:r>
      <w:r>
        <w:rPr>
          <w:rFonts w:ascii="Times New Roman" w:hAnsi="Times New Roman" w:cs="Times New Roman"/>
          <w:sz w:val="24"/>
          <w:szCs w:val="28"/>
        </w:rPr>
        <w:t>119</w:t>
      </w:r>
    </w:p>
    <w:p w14:paraId="65D214D0" w14:textId="5F1335AF" w:rsidR="00E164D6" w:rsidRPr="00E164D6" w:rsidRDefault="0013500D" w:rsidP="00E164D6">
      <w:pPr>
        <w:spacing w:after="0" w:line="240" w:lineRule="auto"/>
        <w:rPr>
          <w:rFonts w:ascii="Times New Roman" w:hAnsi="Times New Roman" w:cs="Times New Roman"/>
          <w:color w:val="0000FF"/>
          <w:sz w:val="24"/>
          <w:szCs w:val="28"/>
          <w:u w:val="single"/>
        </w:rPr>
      </w:pPr>
      <w:hyperlink r:id="rId9" w:history="1">
        <w:r w:rsidR="00E164D6" w:rsidRPr="00A5207B">
          <w:rPr>
            <w:rStyle w:val="Hyperlink"/>
            <w:rFonts w:ascii="Times New Roman" w:hAnsi="Times New Roman" w:cs="Times New Roman"/>
            <w:sz w:val="24"/>
            <w:szCs w:val="28"/>
          </w:rPr>
          <w:t>Jana.Feldmane@vm.gov.lv</w:t>
        </w:r>
      </w:hyperlink>
    </w:p>
    <w:sectPr w:rsidR="00E164D6" w:rsidRPr="00E164D6" w:rsidSect="006A3F8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E2B05" w14:textId="77777777" w:rsidR="00772BCE" w:rsidRDefault="00772BCE" w:rsidP="0007278B">
      <w:pPr>
        <w:spacing w:after="0" w:line="240" w:lineRule="auto"/>
      </w:pPr>
      <w:r>
        <w:separator/>
      </w:r>
    </w:p>
  </w:endnote>
  <w:endnote w:type="continuationSeparator" w:id="0">
    <w:p w14:paraId="75EE4B60" w14:textId="77777777" w:rsidR="00772BCE" w:rsidRDefault="00772BCE" w:rsidP="0007278B">
      <w:pPr>
        <w:spacing w:after="0" w:line="240" w:lineRule="auto"/>
      </w:pPr>
      <w:r>
        <w:continuationSeparator/>
      </w:r>
    </w:p>
  </w:endnote>
  <w:endnote w:type="continuationNotice" w:id="1">
    <w:p w14:paraId="7F2F8ACE" w14:textId="77777777" w:rsidR="00772BCE" w:rsidRDefault="00772B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7803CC90" w:rsidR="009D7D59" w:rsidRDefault="009D7D59" w:rsidP="00F046BC">
    <w:pPr>
      <w:pStyle w:val="Foo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VManot_</w:t>
    </w:r>
    <w:r w:rsidR="00DB75EA">
      <w:rPr>
        <w:rFonts w:ascii="Times New Roman" w:eastAsia="Times New Roman" w:hAnsi="Times New Roman" w:cs="Times New Roman"/>
        <w:sz w:val="20"/>
        <w:szCs w:val="20"/>
        <w:lang w:eastAsia="lv-LV"/>
      </w:rPr>
      <w:t>0</w:t>
    </w:r>
    <w:r w:rsidR="001768B7">
      <w:rPr>
        <w:rFonts w:ascii="Times New Roman" w:eastAsia="Times New Roman" w:hAnsi="Times New Roman" w:cs="Times New Roman"/>
        <w:sz w:val="20"/>
        <w:szCs w:val="20"/>
        <w:lang w:eastAsia="lv-LV"/>
      </w:rPr>
      <w:t>6</w:t>
    </w:r>
    <w:r w:rsidR="00DB75EA">
      <w:rPr>
        <w:rFonts w:ascii="Times New Roman" w:eastAsia="Times New Roman" w:hAnsi="Times New Roman" w:cs="Times New Roman"/>
        <w:sz w:val="20"/>
        <w:szCs w:val="20"/>
        <w:lang w:eastAsia="lv-LV"/>
      </w:rPr>
      <w:t>09</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52B8C6DF" w:rsidR="009D7D59" w:rsidRPr="007E4536" w:rsidRDefault="007E4536" w:rsidP="007E4536">
    <w:pPr>
      <w:pStyle w:val="Footer"/>
    </w:pPr>
    <w:r>
      <w:rPr>
        <w:rFonts w:ascii="Times New Roman" w:eastAsia="Times New Roman" w:hAnsi="Times New Roman" w:cs="Times New Roman"/>
        <w:sz w:val="20"/>
        <w:szCs w:val="20"/>
        <w:lang w:eastAsia="lv-LV"/>
      </w:rPr>
      <w:t>VManot_</w:t>
    </w:r>
    <w:r w:rsidR="004A73B6">
      <w:rPr>
        <w:rFonts w:ascii="Times New Roman" w:eastAsia="Times New Roman" w:hAnsi="Times New Roman" w:cs="Times New Roman"/>
        <w:sz w:val="20"/>
        <w:szCs w:val="20"/>
        <w:lang w:eastAsia="lv-LV"/>
      </w:rPr>
      <w:t>0</w:t>
    </w:r>
    <w:r w:rsidR="001768B7">
      <w:rPr>
        <w:rFonts w:ascii="Times New Roman" w:eastAsia="Times New Roman" w:hAnsi="Times New Roman" w:cs="Times New Roman"/>
        <w:sz w:val="20"/>
        <w:szCs w:val="20"/>
        <w:lang w:eastAsia="lv-LV"/>
      </w:rPr>
      <w:t>6</w:t>
    </w:r>
    <w:r w:rsidR="004A73B6">
      <w:rPr>
        <w:rFonts w:ascii="Times New Roman" w:eastAsia="Times New Roman" w:hAnsi="Times New Roman" w:cs="Times New Roman"/>
        <w:sz w:val="20"/>
        <w:szCs w:val="20"/>
        <w:lang w:eastAsia="lv-LV"/>
      </w:rPr>
      <w:t>09</w:t>
    </w:r>
    <w:r w:rsidR="00041FB2">
      <w:rPr>
        <w:rFonts w:ascii="Times New Roman" w:eastAsia="Times New Roman" w:hAnsi="Times New Roman" w:cs="Times New Roman"/>
        <w:sz w:val="20"/>
        <w:szCs w:val="20"/>
        <w:lang w:eastAsia="lv-LV"/>
      </w:rPr>
      <w:t>2</w:t>
    </w:r>
    <w:r w:rsidR="006A5389">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8F8" w14:textId="77777777" w:rsidR="00772BCE" w:rsidRDefault="00772BCE" w:rsidP="0007278B">
      <w:pPr>
        <w:spacing w:after="0" w:line="240" w:lineRule="auto"/>
      </w:pPr>
      <w:r>
        <w:separator/>
      </w:r>
    </w:p>
  </w:footnote>
  <w:footnote w:type="continuationSeparator" w:id="0">
    <w:p w14:paraId="50F8FE64" w14:textId="77777777" w:rsidR="00772BCE" w:rsidRDefault="00772BCE" w:rsidP="0007278B">
      <w:pPr>
        <w:spacing w:after="0" w:line="240" w:lineRule="auto"/>
      </w:pPr>
      <w:r>
        <w:continuationSeparator/>
      </w:r>
    </w:p>
  </w:footnote>
  <w:footnote w:type="continuationNotice" w:id="1">
    <w:p w14:paraId="01551423" w14:textId="77777777" w:rsidR="00772BCE" w:rsidRDefault="00772B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972962"/>
    <w:multiLevelType w:val="multilevel"/>
    <w:tmpl w:val="81BA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6B6B3D"/>
    <w:multiLevelType w:val="hybridMultilevel"/>
    <w:tmpl w:val="2482D7DE"/>
    <w:lvl w:ilvl="0" w:tplc="1D64044C">
      <w:start w:val="1"/>
      <w:numFmt w:val="decimal"/>
      <w:lvlText w:val="%1."/>
      <w:lvlJc w:val="left"/>
      <w:pPr>
        <w:ind w:left="720" w:hanging="360"/>
      </w:pPr>
      <w:rPr>
        <w:rFonts w:eastAsiaTheme="minorHAns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7"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DDB09FE"/>
    <w:multiLevelType w:val="hybridMultilevel"/>
    <w:tmpl w:val="1CBEEFA2"/>
    <w:lvl w:ilvl="0" w:tplc="04260001">
      <w:start w:val="1"/>
      <w:numFmt w:val="bullet"/>
      <w:lvlText w:val=""/>
      <w:lvlJc w:val="left"/>
      <w:pPr>
        <w:ind w:left="770" w:hanging="360"/>
      </w:pPr>
      <w:rPr>
        <w:rFonts w:ascii="Symbol" w:hAnsi="Symbol" w:hint="default"/>
      </w:rPr>
    </w:lvl>
    <w:lvl w:ilvl="1" w:tplc="04260003">
      <w:start w:val="1"/>
      <w:numFmt w:val="bullet"/>
      <w:lvlText w:val="o"/>
      <w:lvlJc w:val="left"/>
      <w:pPr>
        <w:ind w:left="1490" w:hanging="360"/>
      </w:pPr>
      <w:rPr>
        <w:rFonts w:ascii="Courier New" w:hAnsi="Courier New" w:cs="Courier New" w:hint="default"/>
      </w:rPr>
    </w:lvl>
    <w:lvl w:ilvl="2" w:tplc="04260005">
      <w:start w:val="1"/>
      <w:numFmt w:val="bullet"/>
      <w:lvlText w:val=""/>
      <w:lvlJc w:val="left"/>
      <w:pPr>
        <w:ind w:left="2210" w:hanging="360"/>
      </w:pPr>
      <w:rPr>
        <w:rFonts w:ascii="Wingdings" w:hAnsi="Wingdings" w:hint="default"/>
      </w:rPr>
    </w:lvl>
    <w:lvl w:ilvl="3" w:tplc="04260001">
      <w:start w:val="1"/>
      <w:numFmt w:val="bullet"/>
      <w:lvlText w:val=""/>
      <w:lvlJc w:val="left"/>
      <w:pPr>
        <w:ind w:left="2930" w:hanging="360"/>
      </w:pPr>
      <w:rPr>
        <w:rFonts w:ascii="Symbol" w:hAnsi="Symbol" w:hint="default"/>
      </w:rPr>
    </w:lvl>
    <w:lvl w:ilvl="4" w:tplc="04260003">
      <w:start w:val="1"/>
      <w:numFmt w:val="bullet"/>
      <w:lvlText w:val="o"/>
      <w:lvlJc w:val="left"/>
      <w:pPr>
        <w:ind w:left="3650" w:hanging="360"/>
      </w:pPr>
      <w:rPr>
        <w:rFonts w:ascii="Courier New" w:hAnsi="Courier New" w:cs="Courier New" w:hint="default"/>
      </w:rPr>
    </w:lvl>
    <w:lvl w:ilvl="5" w:tplc="04260005">
      <w:start w:val="1"/>
      <w:numFmt w:val="bullet"/>
      <w:lvlText w:val=""/>
      <w:lvlJc w:val="left"/>
      <w:pPr>
        <w:ind w:left="4370" w:hanging="360"/>
      </w:pPr>
      <w:rPr>
        <w:rFonts w:ascii="Wingdings" w:hAnsi="Wingdings" w:hint="default"/>
      </w:rPr>
    </w:lvl>
    <w:lvl w:ilvl="6" w:tplc="04260001">
      <w:start w:val="1"/>
      <w:numFmt w:val="bullet"/>
      <w:lvlText w:val=""/>
      <w:lvlJc w:val="left"/>
      <w:pPr>
        <w:ind w:left="5090" w:hanging="360"/>
      </w:pPr>
      <w:rPr>
        <w:rFonts w:ascii="Symbol" w:hAnsi="Symbol" w:hint="default"/>
      </w:rPr>
    </w:lvl>
    <w:lvl w:ilvl="7" w:tplc="04260003">
      <w:start w:val="1"/>
      <w:numFmt w:val="bullet"/>
      <w:lvlText w:val="o"/>
      <w:lvlJc w:val="left"/>
      <w:pPr>
        <w:ind w:left="5810" w:hanging="360"/>
      </w:pPr>
      <w:rPr>
        <w:rFonts w:ascii="Courier New" w:hAnsi="Courier New" w:cs="Courier New" w:hint="default"/>
      </w:rPr>
    </w:lvl>
    <w:lvl w:ilvl="8" w:tplc="04260005">
      <w:start w:val="1"/>
      <w:numFmt w:val="bullet"/>
      <w:lvlText w:val=""/>
      <w:lvlJc w:val="left"/>
      <w:pPr>
        <w:ind w:left="6530" w:hanging="360"/>
      </w:pPr>
      <w:rPr>
        <w:rFonts w:ascii="Wingdings" w:hAnsi="Wingdings" w:hint="default"/>
      </w:rPr>
    </w:lvl>
  </w:abstractNum>
  <w:abstractNum w:abstractNumId="9"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4"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65AB2A2E"/>
    <w:multiLevelType w:val="hybridMultilevel"/>
    <w:tmpl w:val="96D4BAEE"/>
    <w:lvl w:ilvl="0" w:tplc="F4DC50C8">
      <w:start w:val="1"/>
      <w:numFmt w:val="bullet"/>
      <w:lvlText w:val="-"/>
      <w:lvlJc w:val="left"/>
      <w:pPr>
        <w:ind w:left="1287" w:hanging="360"/>
      </w:pPr>
      <w:rPr>
        <w:rFonts w:ascii="Times New Roman" w:eastAsia="Calibri" w:hAnsi="Times New Roman" w:cs="Times New Roman"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6" w15:restartNumberingAfterBreak="0">
    <w:nsid w:val="65B76953"/>
    <w:multiLevelType w:val="hybridMultilevel"/>
    <w:tmpl w:val="C4021C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CA069DA"/>
    <w:multiLevelType w:val="hybridMultilevel"/>
    <w:tmpl w:val="5C98C384"/>
    <w:lvl w:ilvl="0" w:tplc="C80CFC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9"/>
  </w:num>
  <w:num w:numId="3">
    <w:abstractNumId w:val="4"/>
  </w:num>
  <w:num w:numId="4">
    <w:abstractNumId w:val="17"/>
  </w:num>
  <w:num w:numId="5">
    <w:abstractNumId w:val="18"/>
  </w:num>
  <w:num w:numId="6">
    <w:abstractNumId w:val="12"/>
  </w:num>
  <w:num w:numId="7">
    <w:abstractNumId w:val="7"/>
  </w:num>
  <w:num w:numId="8">
    <w:abstractNumId w:val="10"/>
  </w:num>
  <w:num w:numId="9">
    <w:abstractNumId w:val="6"/>
  </w:num>
  <w:num w:numId="10">
    <w:abstractNumId w:val="11"/>
  </w:num>
  <w:num w:numId="11">
    <w:abstractNumId w:val="3"/>
  </w:num>
  <w:num w:numId="12">
    <w:abstractNumId w:val="14"/>
  </w:num>
  <w:num w:numId="13">
    <w:abstractNumId w:val="1"/>
  </w:num>
  <w:num w:numId="14">
    <w:abstractNumId w:val="0"/>
  </w:num>
  <w:num w:numId="15">
    <w:abstractNumId w:val="8"/>
  </w:num>
  <w:num w:numId="16">
    <w:abstractNumId w:val="19"/>
  </w:num>
  <w:num w:numId="17">
    <w:abstractNumId w:val="2"/>
  </w:num>
  <w:num w:numId="18">
    <w:abstractNumId w:val="5"/>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000E7"/>
    <w:rsid w:val="00000176"/>
    <w:rsid w:val="00003140"/>
    <w:rsid w:val="00007064"/>
    <w:rsid w:val="00007C4D"/>
    <w:rsid w:val="00011EC1"/>
    <w:rsid w:val="00012409"/>
    <w:rsid w:val="000127F1"/>
    <w:rsid w:val="00012C86"/>
    <w:rsid w:val="000156C4"/>
    <w:rsid w:val="00015E8A"/>
    <w:rsid w:val="00016372"/>
    <w:rsid w:val="00023AD6"/>
    <w:rsid w:val="0002457B"/>
    <w:rsid w:val="00024F21"/>
    <w:rsid w:val="000254EB"/>
    <w:rsid w:val="00031D93"/>
    <w:rsid w:val="00032EF2"/>
    <w:rsid w:val="00037A7E"/>
    <w:rsid w:val="00041FB2"/>
    <w:rsid w:val="00042E67"/>
    <w:rsid w:val="00043FEB"/>
    <w:rsid w:val="00052368"/>
    <w:rsid w:val="00057EB1"/>
    <w:rsid w:val="00066B85"/>
    <w:rsid w:val="00066E5F"/>
    <w:rsid w:val="0007054A"/>
    <w:rsid w:val="0007278B"/>
    <w:rsid w:val="00074908"/>
    <w:rsid w:val="00075D37"/>
    <w:rsid w:val="00085A5A"/>
    <w:rsid w:val="00087335"/>
    <w:rsid w:val="00087A23"/>
    <w:rsid w:val="00092597"/>
    <w:rsid w:val="00095861"/>
    <w:rsid w:val="000976F2"/>
    <w:rsid w:val="000A1151"/>
    <w:rsid w:val="000A4D59"/>
    <w:rsid w:val="000A54A6"/>
    <w:rsid w:val="000A6CB2"/>
    <w:rsid w:val="000B47C4"/>
    <w:rsid w:val="000C12F1"/>
    <w:rsid w:val="000C490C"/>
    <w:rsid w:val="000C6AFA"/>
    <w:rsid w:val="000C7D0F"/>
    <w:rsid w:val="000C7E59"/>
    <w:rsid w:val="000D08CA"/>
    <w:rsid w:val="000D2248"/>
    <w:rsid w:val="000D383D"/>
    <w:rsid w:val="000D5547"/>
    <w:rsid w:val="000E0284"/>
    <w:rsid w:val="000E2322"/>
    <w:rsid w:val="000E3F6E"/>
    <w:rsid w:val="000E4046"/>
    <w:rsid w:val="000F0E74"/>
    <w:rsid w:val="000F6AE3"/>
    <w:rsid w:val="00105AAC"/>
    <w:rsid w:val="00111363"/>
    <w:rsid w:val="00114943"/>
    <w:rsid w:val="00116C28"/>
    <w:rsid w:val="00122038"/>
    <w:rsid w:val="0013301B"/>
    <w:rsid w:val="001336B4"/>
    <w:rsid w:val="0013500D"/>
    <w:rsid w:val="001353CF"/>
    <w:rsid w:val="00137903"/>
    <w:rsid w:val="00137D58"/>
    <w:rsid w:val="00140A51"/>
    <w:rsid w:val="00141D8E"/>
    <w:rsid w:val="00144998"/>
    <w:rsid w:val="00151CA8"/>
    <w:rsid w:val="001525CA"/>
    <w:rsid w:val="00154080"/>
    <w:rsid w:val="00156BB8"/>
    <w:rsid w:val="001571CA"/>
    <w:rsid w:val="00157BFC"/>
    <w:rsid w:val="00160626"/>
    <w:rsid w:val="00162412"/>
    <w:rsid w:val="00170534"/>
    <w:rsid w:val="00176445"/>
    <w:rsid w:val="001768B7"/>
    <w:rsid w:val="00177ACC"/>
    <w:rsid w:val="0018564F"/>
    <w:rsid w:val="00187957"/>
    <w:rsid w:val="00192BBB"/>
    <w:rsid w:val="00196505"/>
    <w:rsid w:val="00197F99"/>
    <w:rsid w:val="001A020C"/>
    <w:rsid w:val="001A05AA"/>
    <w:rsid w:val="001A401B"/>
    <w:rsid w:val="001A4CC0"/>
    <w:rsid w:val="001A5304"/>
    <w:rsid w:val="001B05E3"/>
    <w:rsid w:val="001B4AA1"/>
    <w:rsid w:val="001B66B2"/>
    <w:rsid w:val="001C088F"/>
    <w:rsid w:val="001C1B61"/>
    <w:rsid w:val="001C6B51"/>
    <w:rsid w:val="001D713B"/>
    <w:rsid w:val="001D7589"/>
    <w:rsid w:val="001D75D0"/>
    <w:rsid w:val="001E01A8"/>
    <w:rsid w:val="001E1D31"/>
    <w:rsid w:val="001E7831"/>
    <w:rsid w:val="001F1034"/>
    <w:rsid w:val="001F3A4A"/>
    <w:rsid w:val="001F425F"/>
    <w:rsid w:val="001F7E87"/>
    <w:rsid w:val="00201BA6"/>
    <w:rsid w:val="002033F4"/>
    <w:rsid w:val="00210829"/>
    <w:rsid w:val="002226DB"/>
    <w:rsid w:val="00227A7F"/>
    <w:rsid w:val="00230913"/>
    <w:rsid w:val="0023721B"/>
    <w:rsid w:val="00242A4C"/>
    <w:rsid w:val="002519EE"/>
    <w:rsid w:val="00252768"/>
    <w:rsid w:val="002562FA"/>
    <w:rsid w:val="00263B22"/>
    <w:rsid w:val="00267D85"/>
    <w:rsid w:val="00272F7D"/>
    <w:rsid w:val="00276A81"/>
    <w:rsid w:val="00280A6B"/>
    <w:rsid w:val="00283D84"/>
    <w:rsid w:val="00292FE0"/>
    <w:rsid w:val="0029585A"/>
    <w:rsid w:val="002961D8"/>
    <w:rsid w:val="00297A0B"/>
    <w:rsid w:val="002A5E19"/>
    <w:rsid w:val="002A6C7F"/>
    <w:rsid w:val="002B14B8"/>
    <w:rsid w:val="002B7784"/>
    <w:rsid w:val="002C2026"/>
    <w:rsid w:val="002C3B6A"/>
    <w:rsid w:val="002C3CF3"/>
    <w:rsid w:val="002C5AC6"/>
    <w:rsid w:val="002C7628"/>
    <w:rsid w:val="002D5487"/>
    <w:rsid w:val="002E027E"/>
    <w:rsid w:val="002E02AA"/>
    <w:rsid w:val="002E0487"/>
    <w:rsid w:val="002E1AE9"/>
    <w:rsid w:val="002F15FE"/>
    <w:rsid w:val="002F181A"/>
    <w:rsid w:val="002F4B93"/>
    <w:rsid w:val="00302150"/>
    <w:rsid w:val="00310D10"/>
    <w:rsid w:val="003117FB"/>
    <w:rsid w:val="00313A9C"/>
    <w:rsid w:val="00315C30"/>
    <w:rsid w:val="00316074"/>
    <w:rsid w:val="00317FDB"/>
    <w:rsid w:val="0033349E"/>
    <w:rsid w:val="00333F6A"/>
    <w:rsid w:val="003354AF"/>
    <w:rsid w:val="00337697"/>
    <w:rsid w:val="00341BAD"/>
    <w:rsid w:val="00342047"/>
    <w:rsid w:val="00342DB9"/>
    <w:rsid w:val="0034366D"/>
    <w:rsid w:val="00345AAA"/>
    <w:rsid w:val="0035175F"/>
    <w:rsid w:val="00351B51"/>
    <w:rsid w:val="003520D3"/>
    <w:rsid w:val="003529AF"/>
    <w:rsid w:val="003545AB"/>
    <w:rsid w:val="003549C0"/>
    <w:rsid w:val="00355623"/>
    <w:rsid w:val="00366538"/>
    <w:rsid w:val="00371C88"/>
    <w:rsid w:val="00371F18"/>
    <w:rsid w:val="00373448"/>
    <w:rsid w:val="00387CFE"/>
    <w:rsid w:val="0039061D"/>
    <w:rsid w:val="00390B4E"/>
    <w:rsid w:val="003A0E17"/>
    <w:rsid w:val="003A29E2"/>
    <w:rsid w:val="003A376A"/>
    <w:rsid w:val="003A3C5A"/>
    <w:rsid w:val="003A42C4"/>
    <w:rsid w:val="003A5C4E"/>
    <w:rsid w:val="003B25DF"/>
    <w:rsid w:val="003B4887"/>
    <w:rsid w:val="003B508A"/>
    <w:rsid w:val="003C04EA"/>
    <w:rsid w:val="003C1921"/>
    <w:rsid w:val="003C3A51"/>
    <w:rsid w:val="003D0D67"/>
    <w:rsid w:val="003D1230"/>
    <w:rsid w:val="003D15E2"/>
    <w:rsid w:val="003D21B2"/>
    <w:rsid w:val="003E4BEA"/>
    <w:rsid w:val="003F20C0"/>
    <w:rsid w:val="003F6A99"/>
    <w:rsid w:val="00400799"/>
    <w:rsid w:val="004059A2"/>
    <w:rsid w:val="0041142C"/>
    <w:rsid w:val="00412439"/>
    <w:rsid w:val="004231CC"/>
    <w:rsid w:val="004232DB"/>
    <w:rsid w:val="00425035"/>
    <w:rsid w:val="00425B3A"/>
    <w:rsid w:val="00426EE3"/>
    <w:rsid w:val="0043240B"/>
    <w:rsid w:val="00433A03"/>
    <w:rsid w:val="00447582"/>
    <w:rsid w:val="00454E76"/>
    <w:rsid w:val="00456B73"/>
    <w:rsid w:val="00457B37"/>
    <w:rsid w:val="00470FB8"/>
    <w:rsid w:val="00473581"/>
    <w:rsid w:val="00480999"/>
    <w:rsid w:val="00483A03"/>
    <w:rsid w:val="0048681A"/>
    <w:rsid w:val="00487206"/>
    <w:rsid w:val="0049311E"/>
    <w:rsid w:val="00495F72"/>
    <w:rsid w:val="00496AEF"/>
    <w:rsid w:val="00497DBB"/>
    <w:rsid w:val="004A2382"/>
    <w:rsid w:val="004A3552"/>
    <w:rsid w:val="004A5535"/>
    <w:rsid w:val="004A5598"/>
    <w:rsid w:val="004A73B6"/>
    <w:rsid w:val="004B402F"/>
    <w:rsid w:val="004C7B99"/>
    <w:rsid w:val="004D5AE2"/>
    <w:rsid w:val="004E032B"/>
    <w:rsid w:val="004E084F"/>
    <w:rsid w:val="004E2D9C"/>
    <w:rsid w:val="004E7946"/>
    <w:rsid w:val="004F4AAB"/>
    <w:rsid w:val="004F738C"/>
    <w:rsid w:val="004F7F24"/>
    <w:rsid w:val="00502DFD"/>
    <w:rsid w:val="00504320"/>
    <w:rsid w:val="005152B1"/>
    <w:rsid w:val="005160FD"/>
    <w:rsid w:val="00525C3B"/>
    <w:rsid w:val="0053215F"/>
    <w:rsid w:val="00534268"/>
    <w:rsid w:val="00535888"/>
    <w:rsid w:val="005373EF"/>
    <w:rsid w:val="0054220F"/>
    <w:rsid w:val="005434ED"/>
    <w:rsid w:val="0055413D"/>
    <w:rsid w:val="00555929"/>
    <w:rsid w:val="00564840"/>
    <w:rsid w:val="00573277"/>
    <w:rsid w:val="005735D4"/>
    <w:rsid w:val="005758FB"/>
    <w:rsid w:val="005764B7"/>
    <w:rsid w:val="00585B91"/>
    <w:rsid w:val="00590D66"/>
    <w:rsid w:val="00590FAA"/>
    <w:rsid w:val="0059150F"/>
    <w:rsid w:val="00593BC7"/>
    <w:rsid w:val="00594DA3"/>
    <w:rsid w:val="0059599E"/>
    <w:rsid w:val="005A1388"/>
    <w:rsid w:val="005A1ABA"/>
    <w:rsid w:val="005A3731"/>
    <w:rsid w:val="005B3B62"/>
    <w:rsid w:val="005C3B9D"/>
    <w:rsid w:val="005C5DC6"/>
    <w:rsid w:val="005C6C6C"/>
    <w:rsid w:val="005C6EE0"/>
    <w:rsid w:val="005D607C"/>
    <w:rsid w:val="005E1930"/>
    <w:rsid w:val="005E7398"/>
    <w:rsid w:val="005E7C04"/>
    <w:rsid w:val="005F3C49"/>
    <w:rsid w:val="0060363C"/>
    <w:rsid w:val="00603BD7"/>
    <w:rsid w:val="00604451"/>
    <w:rsid w:val="00605622"/>
    <w:rsid w:val="0060585D"/>
    <w:rsid w:val="006106EE"/>
    <w:rsid w:val="00611A4D"/>
    <w:rsid w:val="00620304"/>
    <w:rsid w:val="00622782"/>
    <w:rsid w:val="0062651F"/>
    <w:rsid w:val="00626C1E"/>
    <w:rsid w:val="00636B7E"/>
    <w:rsid w:val="00640196"/>
    <w:rsid w:val="00641AF8"/>
    <w:rsid w:val="00652F39"/>
    <w:rsid w:val="006536EF"/>
    <w:rsid w:val="00664759"/>
    <w:rsid w:val="0067096C"/>
    <w:rsid w:val="00675455"/>
    <w:rsid w:val="006803FE"/>
    <w:rsid w:val="0068081B"/>
    <w:rsid w:val="00681D29"/>
    <w:rsid w:val="00685C9E"/>
    <w:rsid w:val="00690873"/>
    <w:rsid w:val="00694BD3"/>
    <w:rsid w:val="00696E1B"/>
    <w:rsid w:val="006A3466"/>
    <w:rsid w:val="006A3F81"/>
    <w:rsid w:val="006A5389"/>
    <w:rsid w:val="006B2944"/>
    <w:rsid w:val="006B32D8"/>
    <w:rsid w:val="006B681F"/>
    <w:rsid w:val="006B7255"/>
    <w:rsid w:val="006C2EC0"/>
    <w:rsid w:val="006C5703"/>
    <w:rsid w:val="006D1AD8"/>
    <w:rsid w:val="006D22E5"/>
    <w:rsid w:val="006D2D1F"/>
    <w:rsid w:val="006D6DB7"/>
    <w:rsid w:val="006E7435"/>
    <w:rsid w:val="006F74E4"/>
    <w:rsid w:val="0071090F"/>
    <w:rsid w:val="007223FE"/>
    <w:rsid w:val="00724197"/>
    <w:rsid w:val="00724FFA"/>
    <w:rsid w:val="00727DCB"/>
    <w:rsid w:val="00727E9F"/>
    <w:rsid w:val="00731409"/>
    <w:rsid w:val="0073370A"/>
    <w:rsid w:val="0074015C"/>
    <w:rsid w:val="00742B05"/>
    <w:rsid w:val="00742C84"/>
    <w:rsid w:val="00746CE6"/>
    <w:rsid w:val="0075152B"/>
    <w:rsid w:val="007518AA"/>
    <w:rsid w:val="0075528B"/>
    <w:rsid w:val="00772BCE"/>
    <w:rsid w:val="00776FFC"/>
    <w:rsid w:val="0079688F"/>
    <w:rsid w:val="007A71FC"/>
    <w:rsid w:val="007B0528"/>
    <w:rsid w:val="007C3F73"/>
    <w:rsid w:val="007C74EF"/>
    <w:rsid w:val="007D5F5A"/>
    <w:rsid w:val="007D73ED"/>
    <w:rsid w:val="007D7575"/>
    <w:rsid w:val="007E2963"/>
    <w:rsid w:val="007E4536"/>
    <w:rsid w:val="007E7B78"/>
    <w:rsid w:val="007E7EF7"/>
    <w:rsid w:val="007F74AF"/>
    <w:rsid w:val="007F79F6"/>
    <w:rsid w:val="0080014F"/>
    <w:rsid w:val="00802A02"/>
    <w:rsid w:val="00805117"/>
    <w:rsid w:val="00805BE3"/>
    <w:rsid w:val="00812A8C"/>
    <w:rsid w:val="008314E5"/>
    <w:rsid w:val="008341E0"/>
    <w:rsid w:val="008614AF"/>
    <w:rsid w:val="00863944"/>
    <w:rsid w:val="00865496"/>
    <w:rsid w:val="008670E6"/>
    <w:rsid w:val="008720CE"/>
    <w:rsid w:val="008723FA"/>
    <w:rsid w:val="008829BE"/>
    <w:rsid w:val="00882A36"/>
    <w:rsid w:val="00882DBA"/>
    <w:rsid w:val="00886392"/>
    <w:rsid w:val="00886D79"/>
    <w:rsid w:val="00894B68"/>
    <w:rsid w:val="00896ACB"/>
    <w:rsid w:val="008A0E6E"/>
    <w:rsid w:val="008A2D6D"/>
    <w:rsid w:val="008A2DB8"/>
    <w:rsid w:val="008A49BF"/>
    <w:rsid w:val="008B1BB5"/>
    <w:rsid w:val="008B3101"/>
    <w:rsid w:val="008B3BDF"/>
    <w:rsid w:val="008B7C1C"/>
    <w:rsid w:val="008C062B"/>
    <w:rsid w:val="008C242E"/>
    <w:rsid w:val="008C46AB"/>
    <w:rsid w:val="008C5F53"/>
    <w:rsid w:val="008C649B"/>
    <w:rsid w:val="008C7514"/>
    <w:rsid w:val="008C7FF7"/>
    <w:rsid w:val="008D1568"/>
    <w:rsid w:val="008D45D8"/>
    <w:rsid w:val="008E15C0"/>
    <w:rsid w:val="008E4C7D"/>
    <w:rsid w:val="009031F5"/>
    <w:rsid w:val="00903727"/>
    <w:rsid w:val="00911954"/>
    <w:rsid w:val="00912594"/>
    <w:rsid w:val="00914064"/>
    <w:rsid w:val="00922F28"/>
    <w:rsid w:val="00923553"/>
    <w:rsid w:val="0092447B"/>
    <w:rsid w:val="0093129C"/>
    <w:rsid w:val="00932676"/>
    <w:rsid w:val="00942513"/>
    <w:rsid w:val="00942E44"/>
    <w:rsid w:val="009431AE"/>
    <w:rsid w:val="00946B3B"/>
    <w:rsid w:val="00950838"/>
    <w:rsid w:val="00954F12"/>
    <w:rsid w:val="00955A5B"/>
    <w:rsid w:val="009763A8"/>
    <w:rsid w:val="009771E5"/>
    <w:rsid w:val="00977FBF"/>
    <w:rsid w:val="0098010D"/>
    <w:rsid w:val="0099298E"/>
    <w:rsid w:val="0099398F"/>
    <w:rsid w:val="00995645"/>
    <w:rsid w:val="00995846"/>
    <w:rsid w:val="009A2D7A"/>
    <w:rsid w:val="009A3982"/>
    <w:rsid w:val="009A412D"/>
    <w:rsid w:val="009A5645"/>
    <w:rsid w:val="009A72BC"/>
    <w:rsid w:val="009B370A"/>
    <w:rsid w:val="009B3BE8"/>
    <w:rsid w:val="009B3CEC"/>
    <w:rsid w:val="009B775D"/>
    <w:rsid w:val="009C0E6C"/>
    <w:rsid w:val="009C4C37"/>
    <w:rsid w:val="009C7320"/>
    <w:rsid w:val="009D021E"/>
    <w:rsid w:val="009D3273"/>
    <w:rsid w:val="009D4395"/>
    <w:rsid w:val="009D7D59"/>
    <w:rsid w:val="009E1D54"/>
    <w:rsid w:val="009E3D17"/>
    <w:rsid w:val="009E43D6"/>
    <w:rsid w:val="009E5C6B"/>
    <w:rsid w:val="009E60C7"/>
    <w:rsid w:val="009E7D7F"/>
    <w:rsid w:val="009F13B8"/>
    <w:rsid w:val="009F50B6"/>
    <w:rsid w:val="00A00449"/>
    <w:rsid w:val="00A00E0D"/>
    <w:rsid w:val="00A03EFD"/>
    <w:rsid w:val="00A1243C"/>
    <w:rsid w:val="00A1381F"/>
    <w:rsid w:val="00A13BB0"/>
    <w:rsid w:val="00A15AA7"/>
    <w:rsid w:val="00A16FD6"/>
    <w:rsid w:val="00A17EEC"/>
    <w:rsid w:val="00A21321"/>
    <w:rsid w:val="00A235BA"/>
    <w:rsid w:val="00A30813"/>
    <w:rsid w:val="00A30927"/>
    <w:rsid w:val="00A36D97"/>
    <w:rsid w:val="00A37C34"/>
    <w:rsid w:val="00A40AFD"/>
    <w:rsid w:val="00A4767B"/>
    <w:rsid w:val="00A504C8"/>
    <w:rsid w:val="00A51A3F"/>
    <w:rsid w:val="00A52342"/>
    <w:rsid w:val="00A533DC"/>
    <w:rsid w:val="00A57DA2"/>
    <w:rsid w:val="00A63523"/>
    <w:rsid w:val="00A673C4"/>
    <w:rsid w:val="00A751EC"/>
    <w:rsid w:val="00A764CA"/>
    <w:rsid w:val="00A7687B"/>
    <w:rsid w:val="00AA0090"/>
    <w:rsid w:val="00AA6D8E"/>
    <w:rsid w:val="00AB001F"/>
    <w:rsid w:val="00AB0F8D"/>
    <w:rsid w:val="00AC31B5"/>
    <w:rsid w:val="00AC3E32"/>
    <w:rsid w:val="00AD1C41"/>
    <w:rsid w:val="00AD7072"/>
    <w:rsid w:val="00AE1ABC"/>
    <w:rsid w:val="00AE31DA"/>
    <w:rsid w:val="00AE4EFC"/>
    <w:rsid w:val="00AE5FBE"/>
    <w:rsid w:val="00AF02B4"/>
    <w:rsid w:val="00AF30FC"/>
    <w:rsid w:val="00AF6F75"/>
    <w:rsid w:val="00B02CDF"/>
    <w:rsid w:val="00B0489E"/>
    <w:rsid w:val="00B06392"/>
    <w:rsid w:val="00B07CE3"/>
    <w:rsid w:val="00B12CC7"/>
    <w:rsid w:val="00B13D9E"/>
    <w:rsid w:val="00B146D5"/>
    <w:rsid w:val="00B20E84"/>
    <w:rsid w:val="00B23552"/>
    <w:rsid w:val="00B236F0"/>
    <w:rsid w:val="00B24624"/>
    <w:rsid w:val="00B26BE2"/>
    <w:rsid w:val="00B309E7"/>
    <w:rsid w:val="00B32161"/>
    <w:rsid w:val="00B32562"/>
    <w:rsid w:val="00B33F20"/>
    <w:rsid w:val="00B3576F"/>
    <w:rsid w:val="00B35F66"/>
    <w:rsid w:val="00B3614A"/>
    <w:rsid w:val="00B37EFB"/>
    <w:rsid w:val="00B40C63"/>
    <w:rsid w:val="00B422FC"/>
    <w:rsid w:val="00B47A65"/>
    <w:rsid w:val="00B50279"/>
    <w:rsid w:val="00B53339"/>
    <w:rsid w:val="00B53A07"/>
    <w:rsid w:val="00B54E70"/>
    <w:rsid w:val="00B5698B"/>
    <w:rsid w:val="00B6076F"/>
    <w:rsid w:val="00B608AE"/>
    <w:rsid w:val="00B7759C"/>
    <w:rsid w:val="00B80753"/>
    <w:rsid w:val="00B80B24"/>
    <w:rsid w:val="00B81EE0"/>
    <w:rsid w:val="00B83FDD"/>
    <w:rsid w:val="00B86F86"/>
    <w:rsid w:val="00B90A06"/>
    <w:rsid w:val="00BA05C5"/>
    <w:rsid w:val="00BA3E8B"/>
    <w:rsid w:val="00BB103E"/>
    <w:rsid w:val="00BB2713"/>
    <w:rsid w:val="00BB45E2"/>
    <w:rsid w:val="00BC4A6D"/>
    <w:rsid w:val="00BC7E1B"/>
    <w:rsid w:val="00BD50E2"/>
    <w:rsid w:val="00BE5426"/>
    <w:rsid w:val="00BF0DE0"/>
    <w:rsid w:val="00BF6AD1"/>
    <w:rsid w:val="00BF71E8"/>
    <w:rsid w:val="00C02689"/>
    <w:rsid w:val="00C04FF8"/>
    <w:rsid w:val="00C061EA"/>
    <w:rsid w:val="00C135AA"/>
    <w:rsid w:val="00C2181D"/>
    <w:rsid w:val="00C25E4F"/>
    <w:rsid w:val="00C26C74"/>
    <w:rsid w:val="00C27114"/>
    <w:rsid w:val="00C32A34"/>
    <w:rsid w:val="00C33657"/>
    <w:rsid w:val="00C34539"/>
    <w:rsid w:val="00C40082"/>
    <w:rsid w:val="00C401DF"/>
    <w:rsid w:val="00C40695"/>
    <w:rsid w:val="00C41915"/>
    <w:rsid w:val="00C435D2"/>
    <w:rsid w:val="00C44496"/>
    <w:rsid w:val="00C47F2A"/>
    <w:rsid w:val="00C56A69"/>
    <w:rsid w:val="00C57B37"/>
    <w:rsid w:val="00C61CB2"/>
    <w:rsid w:val="00C644A1"/>
    <w:rsid w:val="00C6533B"/>
    <w:rsid w:val="00C704F2"/>
    <w:rsid w:val="00C71CC7"/>
    <w:rsid w:val="00C7349D"/>
    <w:rsid w:val="00C74659"/>
    <w:rsid w:val="00C7700E"/>
    <w:rsid w:val="00C800E2"/>
    <w:rsid w:val="00C80A89"/>
    <w:rsid w:val="00C901A8"/>
    <w:rsid w:val="00C91EA0"/>
    <w:rsid w:val="00C94620"/>
    <w:rsid w:val="00C9738D"/>
    <w:rsid w:val="00CA5686"/>
    <w:rsid w:val="00CA6A47"/>
    <w:rsid w:val="00CB1936"/>
    <w:rsid w:val="00CB60A4"/>
    <w:rsid w:val="00CC0385"/>
    <w:rsid w:val="00CC0EA9"/>
    <w:rsid w:val="00CC1E4D"/>
    <w:rsid w:val="00CC2C87"/>
    <w:rsid w:val="00CD26BC"/>
    <w:rsid w:val="00CE166E"/>
    <w:rsid w:val="00CE4139"/>
    <w:rsid w:val="00CF0CA9"/>
    <w:rsid w:val="00CF3D0A"/>
    <w:rsid w:val="00CF3D8A"/>
    <w:rsid w:val="00CF4976"/>
    <w:rsid w:val="00CF58A5"/>
    <w:rsid w:val="00D0462F"/>
    <w:rsid w:val="00D20561"/>
    <w:rsid w:val="00D22A98"/>
    <w:rsid w:val="00D26DA9"/>
    <w:rsid w:val="00D32189"/>
    <w:rsid w:val="00D322A9"/>
    <w:rsid w:val="00D43192"/>
    <w:rsid w:val="00D43B94"/>
    <w:rsid w:val="00D479AA"/>
    <w:rsid w:val="00D5749F"/>
    <w:rsid w:val="00D62EC3"/>
    <w:rsid w:val="00D70DC5"/>
    <w:rsid w:val="00D72338"/>
    <w:rsid w:val="00D72509"/>
    <w:rsid w:val="00D729DF"/>
    <w:rsid w:val="00D72D9F"/>
    <w:rsid w:val="00D74883"/>
    <w:rsid w:val="00D77367"/>
    <w:rsid w:val="00D827CA"/>
    <w:rsid w:val="00D83922"/>
    <w:rsid w:val="00D856F7"/>
    <w:rsid w:val="00D946C8"/>
    <w:rsid w:val="00D94EEE"/>
    <w:rsid w:val="00D974CA"/>
    <w:rsid w:val="00DA2666"/>
    <w:rsid w:val="00DB015B"/>
    <w:rsid w:val="00DB63FD"/>
    <w:rsid w:val="00DB75EA"/>
    <w:rsid w:val="00DD20E5"/>
    <w:rsid w:val="00DD556F"/>
    <w:rsid w:val="00DD6D9E"/>
    <w:rsid w:val="00DD7352"/>
    <w:rsid w:val="00DE1419"/>
    <w:rsid w:val="00DE1FFA"/>
    <w:rsid w:val="00DF75A0"/>
    <w:rsid w:val="00DF760B"/>
    <w:rsid w:val="00E021CF"/>
    <w:rsid w:val="00E06788"/>
    <w:rsid w:val="00E132DA"/>
    <w:rsid w:val="00E1369B"/>
    <w:rsid w:val="00E1494D"/>
    <w:rsid w:val="00E164D6"/>
    <w:rsid w:val="00E20F53"/>
    <w:rsid w:val="00E2222F"/>
    <w:rsid w:val="00E31492"/>
    <w:rsid w:val="00E32152"/>
    <w:rsid w:val="00E349F7"/>
    <w:rsid w:val="00E37B29"/>
    <w:rsid w:val="00E402A6"/>
    <w:rsid w:val="00E4195C"/>
    <w:rsid w:val="00E41AB7"/>
    <w:rsid w:val="00E422C4"/>
    <w:rsid w:val="00E431FF"/>
    <w:rsid w:val="00E5298D"/>
    <w:rsid w:val="00E578A8"/>
    <w:rsid w:val="00E57C60"/>
    <w:rsid w:val="00E61EAE"/>
    <w:rsid w:val="00E6284D"/>
    <w:rsid w:val="00E67090"/>
    <w:rsid w:val="00E70E37"/>
    <w:rsid w:val="00E7205F"/>
    <w:rsid w:val="00E72A4E"/>
    <w:rsid w:val="00E7616A"/>
    <w:rsid w:val="00E804E9"/>
    <w:rsid w:val="00E909EF"/>
    <w:rsid w:val="00E93BD2"/>
    <w:rsid w:val="00E94387"/>
    <w:rsid w:val="00E9532C"/>
    <w:rsid w:val="00E95395"/>
    <w:rsid w:val="00EA00E8"/>
    <w:rsid w:val="00EA7AA2"/>
    <w:rsid w:val="00EB18C7"/>
    <w:rsid w:val="00EB5B58"/>
    <w:rsid w:val="00EC33C6"/>
    <w:rsid w:val="00EC4FFC"/>
    <w:rsid w:val="00EC7B41"/>
    <w:rsid w:val="00EC7CBB"/>
    <w:rsid w:val="00ED74EF"/>
    <w:rsid w:val="00EE3EFE"/>
    <w:rsid w:val="00EF438B"/>
    <w:rsid w:val="00EF5D0E"/>
    <w:rsid w:val="00EF6116"/>
    <w:rsid w:val="00EF6EC9"/>
    <w:rsid w:val="00EF77FE"/>
    <w:rsid w:val="00F046BC"/>
    <w:rsid w:val="00F0629B"/>
    <w:rsid w:val="00F1226C"/>
    <w:rsid w:val="00F12A6E"/>
    <w:rsid w:val="00F12CA2"/>
    <w:rsid w:val="00F13454"/>
    <w:rsid w:val="00F15DCD"/>
    <w:rsid w:val="00F200EA"/>
    <w:rsid w:val="00F23000"/>
    <w:rsid w:val="00F23674"/>
    <w:rsid w:val="00F26541"/>
    <w:rsid w:val="00F30098"/>
    <w:rsid w:val="00F30AEB"/>
    <w:rsid w:val="00F31DB7"/>
    <w:rsid w:val="00F34F36"/>
    <w:rsid w:val="00F35B81"/>
    <w:rsid w:val="00F45121"/>
    <w:rsid w:val="00F54758"/>
    <w:rsid w:val="00F64DDA"/>
    <w:rsid w:val="00F65FB1"/>
    <w:rsid w:val="00F67E68"/>
    <w:rsid w:val="00F67EB4"/>
    <w:rsid w:val="00F70814"/>
    <w:rsid w:val="00F71269"/>
    <w:rsid w:val="00F74BAD"/>
    <w:rsid w:val="00F74FC5"/>
    <w:rsid w:val="00F803D1"/>
    <w:rsid w:val="00F8151E"/>
    <w:rsid w:val="00FA153F"/>
    <w:rsid w:val="00FA7DF7"/>
    <w:rsid w:val="00FC47B2"/>
    <w:rsid w:val="00FC6DC3"/>
    <w:rsid w:val="00FD3B42"/>
    <w:rsid w:val="00FD6924"/>
    <w:rsid w:val="00FE7194"/>
    <w:rsid w:val="00FF72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57327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470FB8"/>
    <w:rPr>
      <w:rFonts w:ascii="Calibri" w:eastAsia="Calibri" w:hAnsi="Calibri" w:cs="Times New Roman"/>
    </w:rPr>
  </w:style>
  <w:style w:type="paragraph" w:customStyle="1" w:styleId="tv213">
    <w:name w:val="tv213"/>
    <w:basedOn w:val="Normal"/>
    <w:rsid w:val="00470F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118304797">
      <w:bodyDiv w:val="1"/>
      <w:marLeft w:val="0"/>
      <w:marRight w:val="0"/>
      <w:marTop w:val="0"/>
      <w:marBottom w:val="0"/>
      <w:divBdr>
        <w:top w:val="none" w:sz="0" w:space="0" w:color="auto"/>
        <w:left w:val="none" w:sz="0" w:space="0" w:color="auto"/>
        <w:bottom w:val="none" w:sz="0" w:space="0" w:color="auto"/>
        <w:right w:val="none" w:sz="0" w:space="0" w:color="auto"/>
      </w:divBdr>
    </w:div>
    <w:div w:id="280457134">
      <w:bodyDiv w:val="1"/>
      <w:marLeft w:val="0"/>
      <w:marRight w:val="0"/>
      <w:marTop w:val="0"/>
      <w:marBottom w:val="0"/>
      <w:divBdr>
        <w:top w:val="none" w:sz="0" w:space="0" w:color="auto"/>
        <w:left w:val="none" w:sz="0" w:space="0" w:color="auto"/>
        <w:bottom w:val="none" w:sz="0" w:space="0" w:color="auto"/>
        <w:right w:val="none" w:sz="0" w:space="0" w:color="auto"/>
      </w:divBdr>
    </w:div>
    <w:div w:id="33057018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08593124">
      <w:bodyDiv w:val="1"/>
      <w:marLeft w:val="0"/>
      <w:marRight w:val="0"/>
      <w:marTop w:val="0"/>
      <w:marBottom w:val="0"/>
      <w:divBdr>
        <w:top w:val="none" w:sz="0" w:space="0" w:color="auto"/>
        <w:left w:val="none" w:sz="0" w:space="0" w:color="auto"/>
        <w:bottom w:val="none" w:sz="0" w:space="0" w:color="auto"/>
        <w:right w:val="none" w:sz="0" w:space="0" w:color="auto"/>
      </w:divBdr>
      <w:divsChild>
        <w:div w:id="822353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336014">
              <w:marLeft w:val="0"/>
              <w:marRight w:val="0"/>
              <w:marTop w:val="0"/>
              <w:marBottom w:val="0"/>
              <w:divBdr>
                <w:top w:val="none" w:sz="0" w:space="0" w:color="auto"/>
                <w:left w:val="none" w:sz="0" w:space="0" w:color="auto"/>
                <w:bottom w:val="none" w:sz="0" w:space="0" w:color="auto"/>
                <w:right w:val="none" w:sz="0" w:space="0" w:color="auto"/>
              </w:divBdr>
              <w:divsChild>
                <w:div w:id="9722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497">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068990421">
      <w:bodyDiv w:val="1"/>
      <w:marLeft w:val="0"/>
      <w:marRight w:val="0"/>
      <w:marTop w:val="0"/>
      <w:marBottom w:val="0"/>
      <w:divBdr>
        <w:top w:val="none" w:sz="0" w:space="0" w:color="auto"/>
        <w:left w:val="none" w:sz="0" w:space="0" w:color="auto"/>
        <w:bottom w:val="none" w:sz="0" w:space="0" w:color="auto"/>
        <w:right w:val="none" w:sz="0" w:space="0" w:color="auto"/>
      </w:divBdr>
    </w:div>
    <w:div w:id="1145513547">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58002592">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57099621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677734712">
      <w:bodyDiv w:val="1"/>
      <w:marLeft w:val="0"/>
      <w:marRight w:val="0"/>
      <w:marTop w:val="0"/>
      <w:marBottom w:val="0"/>
      <w:divBdr>
        <w:top w:val="none" w:sz="0" w:space="0" w:color="auto"/>
        <w:left w:val="none" w:sz="0" w:space="0" w:color="auto"/>
        <w:bottom w:val="none" w:sz="0" w:space="0" w:color="auto"/>
        <w:right w:val="none" w:sz="0" w:space="0" w:color="auto"/>
      </w:divBdr>
    </w:div>
    <w:div w:id="1752041693">
      <w:bodyDiv w:val="1"/>
      <w:marLeft w:val="0"/>
      <w:marRight w:val="0"/>
      <w:marTop w:val="0"/>
      <w:marBottom w:val="0"/>
      <w:divBdr>
        <w:top w:val="none" w:sz="0" w:space="0" w:color="auto"/>
        <w:left w:val="none" w:sz="0" w:space="0" w:color="auto"/>
        <w:bottom w:val="none" w:sz="0" w:space="0" w:color="auto"/>
        <w:right w:val="none" w:sz="0" w:space="0" w:color="auto"/>
      </w:divBdr>
      <w:divsChild>
        <w:div w:id="1760710247">
          <w:marLeft w:val="0"/>
          <w:marRight w:val="0"/>
          <w:marTop w:val="0"/>
          <w:marBottom w:val="0"/>
          <w:divBdr>
            <w:top w:val="none" w:sz="0" w:space="0" w:color="auto"/>
            <w:left w:val="none" w:sz="0" w:space="0" w:color="auto"/>
            <w:bottom w:val="none" w:sz="0" w:space="0" w:color="auto"/>
            <w:right w:val="none" w:sz="0" w:space="0" w:color="auto"/>
          </w:divBdr>
        </w:div>
        <w:div w:id="1688020760">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 w:id="1960448132">
      <w:bodyDiv w:val="1"/>
      <w:marLeft w:val="0"/>
      <w:marRight w:val="0"/>
      <w:marTop w:val="0"/>
      <w:marBottom w:val="0"/>
      <w:divBdr>
        <w:top w:val="none" w:sz="0" w:space="0" w:color="auto"/>
        <w:left w:val="none" w:sz="0" w:space="0" w:color="auto"/>
        <w:bottom w:val="none" w:sz="0" w:space="0" w:color="auto"/>
        <w:right w:val="none" w:sz="0" w:space="0" w:color="auto"/>
      </w:divBdr>
    </w:div>
    <w:div w:id="2069181776">
      <w:bodyDiv w:val="1"/>
      <w:marLeft w:val="0"/>
      <w:marRight w:val="0"/>
      <w:marTop w:val="0"/>
      <w:marBottom w:val="0"/>
      <w:divBdr>
        <w:top w:val="none" w:sz="0" w:space="0" w:color="auto"/>
        <w:left w:val="none" w:sz="0" w:space="0" w:color="auto"/>
        <w:bottom w:val="none" w:sz="0" w:space="0" w:color="auto"/>
        <w:right w:val="none" w:sz="0" w:space="0" w:color="auto"/>
      </w:divBdr>
      <w:divsChild>
        <w:div w:id="1209874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na.Feldmane@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6871</Words>
  <Characters>3918</Characters>
  <Application>Microsoft Office Word</Application>
  <DocSecurity>0</DocSecurity>
  <Lines>32</Lines>
  <Paragraphs>21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Liepiņa 67876080_x000d_
Inga.Liepina@vm.gov.lv</dc:description>
  <cp:lastModifiedBy>Jana Feldmane</cp:lastModifiedBy>
  <cp:revision>134</cp:revision>
  <cp:lastPrinted>2020-09-10T14:00:00Z</cp:lastPrinted>
  <dcterms:created xsi:type="dcterms:W3CDTF">2021-09-03T12:12:00Z</dcterms:created>
  <dcterms:modified xsi:type="dcterms:W3CDTF">2021-09-06T13:44:00Z</dcterms:modified>
</cp:coreProperties>
</file>