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956" w14:textId="77777777" w:rsidR="007A7DEB" w:rsidRPr="00A25341" w:rsidRDefault="007A7DEB" w:rsidP="007A7DEB">
      <w:pPr>
        <w:rPr>
          <w:sz w:val="28"/>
          <w:lang w:val="lv-LV"/>
        </w:rPr>
      </w:pPr>
    </w:p>
    <w:p w14:paraId="63BFE869" w14:textId="77777777" w:rsidR="007A7DEB" w:rsidRPr="00A25341" w:rsidRDefault="007A7DEB" w:rsidP="007A7DEB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7A7DEB" w:rsidRPr="00A25341" w14:paraId="2E54270E" w14:textId="77777777" w:rsidTr="00E861A0">
        <w:trPr>
          <w:cantSplit/>
        </w:trPr>
        <w:tc>
          <w:tcPr>
            <w:tcW w:w="4040" w:type="dxa"/>
            <w:hideMark/>
          </w:tcPr>
          <w:p w14:paraId="5443F1C4" w14:textId="77777777" w:rsidR="007A7DEB" w:rsidRPr="00A25341" w:rsidRDefault="007A7DEB" w:rsidP="00E861A0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D9EBC14" w14:textId="77777777" w:rsidR="007A7DEB" w:rsidRPr="00A25341" w:rsidRDefault="007A7DEB" w:rsidP="00E861A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14:paraId="5DA216DE" w14:textId="2D6DD857" w:rsidR="007A7DEB" w:rsidRPr="00A25341" w:rsidRDefault="007A7DEB" w:rsidP="00E861A0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</w:t>
            </w:r>
            <w:r>
              <w:rPr>
                <w:sz w:val="28"/>
                <w:szCs w:val="28"/>
                <w:lang w:val="lv-LV"/>
              </w:rPr>
              <w:t>21</w:t>
            </w:r>
            <w:r w:rsidRPr="00A25341">
              <w:rPr>
                <w:sz w:val="28"/>
                <w:szCs w:val="28"/>
                <w:lang w:val="lv-LV"/>
              </w:rPr>
              <w:t>. gada …</w:t>
            </w:r>
          </w:p>
        </w:tc>
      </w:tr>
    </w:tbl>
    <w:p w14:paraId="6D6B06D8" w14:textId="77777777" w:rsidR="007A7DEB" w:rsidRPr="00A25341" w:rsidRDefault="007A7DEB" w:rsidP="007A7DEB">
      <w:pPr>
        <w:jc w:val="both"/>
        <w:rPr>
          <w:sz w:val="28"/>
          <w:lang w:val="lv-LV"/>
        </w:rPr>
      </w:pPr>
    </w:p>
    <w:p w14:paraId="3DF2869A" w14:textId="77777777" w:rsidR="007A7DEB" w:rsidRPr="00A25341" w:rsidRDefault="007A7DEB" w:rsidP="007A7DEB">
      <w:pPr>
        <w:jc w:val="both"/>
        <w:rPr>
          <w:sz w:val="28"/>
          <w:lang w:val="lv-LV"/>
        </w:rPr>
      </w:pPr>
    </w:p>
    <w:p w14:paraId="1C229EC9" w14:textId="77777777" w:rsidR="007A7DEB" w:rsidRPr="00A25341" w:rsidRDefault="007A7DEB" w:rsidP="007A7DEB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. §</w:t>
      </w:r>
    </w:p>
    <w:p w14:paraId="77323A84" w14:textId="77777777" w:rsidR="007A7DEB" w:rsidRPr="00A25341" w:rsidRDefault="007A7DEB" w:rsidP="007A7DEB">
      <w:pPr>
        <w:rPr>
          <w:sz w:val="28"/>
          <w:lang w:val="lv-LV"/>
        </w:rPr>
      </w:pPr>
    </w:p>
    <w:p w14:paraId="38002A3F" w14:textId="77777777" w:rsidR="00034CF4" w:rsidRPr="003F4824" w:rsidRDefault="00034CF4">
      <w:pPr>
        <w:rPr>
          <w:sz w:val="32"/>
          <w:lang w:val="lv-LV"/>
        </w:rPr>
      </w:pPr>
    </w:p>
    <w:p w14:paraId="79AF3527" w14:textId="7F14CE7E" w:rsidR="00F50FE3" w:rsidRDefault="00F50FE3">
      <w:pPr>
        <w:pStyle w:val="Pamatteksts"/>
        <w:rPr>
          <w:bCs w:val="0"/>
          <w:szCs w:val="27"/>
        </w:rPr>
      </w:pPr>
      <w:r w:rsidRPr="00F50FE3">
        <w:rPr>
          <w:bCs w:val="0"/>
          <w:szCs w:val="27"/>
        </w:rPr>
        <w:t xml:space="preserve">Par </w:t>
      </w:r>
      <w:r w:rsidR="002518F2">
        <w:rPr>
          <w:bCs w:val="0"/>
          <w:szCs w:val="27"/>
        </w:rPr>
        <w:t>i</w:t>
      </w:r>
      <w:r w:rsidRPr="00F50FE3">
        <w:rPr>
          <w:bCs w:val="0"/>
          <w:szCs w:val="27"/>
        </w:rPr>
        <w:t xml:space="preserve">nformatīvo ziņojumu </w:t>
      </w:r>
      <w:r w:rsidR="002518F2" w:rsidRPr="00F50FE3">
        <w:rPr>
          <w:rStyle w:val="spelle"/>
          <w:szCs w:val="27"/>
        </w:rPr>
        <w:t>"</w:t>
      </w:r>
      <w:r w:rsidRPr="00F50FE3">
        <w:rPr>
          <w:bCs w:val="0"/>
          <w:szCs w:val="27"/>
        </w:rPr>
        <w:t>Par valsts budžeta saistību uzņemšanos Eiropas Komisijas līdzfinansētās Kaitīgo organismu un augiem bīstamo organismu klātbūtnes apsekojumu programmas īstenošanai</w:t>
      </w:r>
      <w:r w:rsidR="00882E8F">
        <w:rPr>
          <w:bCs w:val="0"/>
          <w:szCs w:val="27"/>
        </w:rPr>
        <w:t xml:space="preserve"> 2021.</w:t>
      </w:r>
      <w:r w:rsidR="002518F2">
        <w:rPr>
          <w:bCs w:val="0"/>
          <w:szCs w:val="27"/>
        </w:rPr>
        <w:t>–</w:t>
      </w:r>
      <w:r w:rsidR="00882E8F">
        <w:rPr>
          <w:bCs w:val="0"/>
          <w:szCs w:val="27"/>
        </w:rPr>
        <w:t>2027.</w:t>
      </w:r>
      <w:r w:rsidR="002518F2">
        <w:rPr>
          <w:bCs w:val="0"/>
          <w:szCs w:val="27"/>
        </w:rPr>
        <w:t> </w:t>
      </w:r>
      <w:r w:rsidR="00882E8F">
        <w:rPr>
          <w:bCs w:val="0"/>
          <w:szCs w:val="27"/>
        </w:rPr>
        <w:t>gadā</w:t>
      </w:r>
      <w:r w:rsidR="002518F2" w:rsidRPr="00F50FE3">
        <w:rPr>
          <w:rStyle w:val="spelle"/>
          <w:szCs w:val="27"/>
        </w:rPr>
        <w:t>"</w:t>
      </w:r>
    </w:p>
    <w:p w14:paraId="2AB77767" w14:textId="3CC8AD5A" w:rsidR="00034CF4" w:rsidRPr="003F4824" w:rsidRDefault="00371D37">
      <w:pPr>
        <w:pStyle w:val="Pamatteksts"/>
        <w:rPr>
          <w:szCs w:val="27"/>
        </w:rPr>
      </w:pPr>
      <w:r w:rsidRPr="003F4824">
        <w:rPr>
          <w:szCs w:val="27"/>
        </w:rPr>
        <w:t>___________________________________________________________</w:t>
      </w:r>
    </w:p>
    <w:p w14:paraId="5B6C848E" w14:textId="77777777" w:rsidR="00034CF4" w:rsidRPr="003F4824" w:rsidRDefault="00034CF4" w:rsidP="00532F95">
      <w:pPr>
        <w:pStyle w:val="Pamatteksts"/>
        <w:ind w:firstLine="709"/>
        <w:jc w:val="left"/>
        <w:rPr>
          <w:b w:val="0"/>
          <w:szCs w:val="27"/>
        </w:rPr>
      </w:pPr>
    </w:p>
    <w:p w14:paraId="6D262921" w14:textId="0FF6A9E8" w:rsidR="00033D26" w:rsidRPr="00F50FE3" w:rsidRDefault="00AF1DD5" w:rsidP="00F50FE3">
      <w:pPr>
        <w:pStyle w:val="Sarakstarindkopa"/>
        <w:numPr>
          <w:ilvl w:val="0"/>
          <w:numId w:val="1"/>
        </w:numPr>
        <w:jc w:val="both"/>
        <w:rPr>
          <w:sz w:val="28"/>
          <w:szCs w:val="27"/>
          <w:lang w:val="lv-LV"/>
        </w:rPr>
      </w:pPr>
      <w:r>
        <w:rPr>
          <w:rStyle w:val="spelle"/>
          <w:sz w:val="28"/>
          <w:szCs w:val="27"/>
          <w:lang w:val="lv-LV"/>
        </w:rPr>
        <w:t>Pieņemt</w:t>
      </w:r>
      <w:r w:rsidR="00F50FE3">
        <w:rPr>
          <w:rStyle w:val="spelle"/>
          <w:sz w:val="28"/>
          <w:szCs w:val="27"/>
          <w:lang w:val="lv-LV"/>
        </w:rPr>
        <w:t xml:space="preserve"> zināšanai</w:t>
      </w:r>
      <w:r w:rsidR="00CE564E" w:rsidRPr="003F4824">
        <w:rPr>
          <w:rStyle w:val="spelle"/>
          <w:sz w:val="28"/>
          <w:szCs w:val="27"/>
          <w:lang w:val="lv-LV"/>
        </w:rPr>
        <w:t xml:space="preserve"> iesniegto </w:t>
      </w:r>
      <w:r w:rsidR="00F50FE3">
        <w:rPr>
          <w:rStyle w:val="spelle"/>
          <w:sz w:val="28"/>
          <w:szCs w:val="27"/>
          <w:lang w:val="lv-LV"/>
        </w:rPr>
        <w:t>informatīvo ziņojumu</w:t>
      </w:r>
      <w:r>
        <w:rPr>
          <w:rStyle w:val="spelle"/>
          <w:sz w:val="28"/>
          <w:szCs w:val="27"/>
          <w:lang w:val="lv-LV"/>
        </w:rPr>
        <w:t>.</w:t>
      </w:r>
    </w:p>
    <w:p w14:paraId="6C04C641" w14:textId="77777777" w:rsidR="00CE564E" w:rsidRPr="003F4824" w:rsidRDefault="00CE564E" w:rsidP="00F50FE3">
      <w:pPr>
        <w:ind w:left="360"/>
        <w:jc w:val="both"/>
        <w:rPr>
          <w:rStyle w:val="spelle"/>
          <w:sz w:val="28"/>
          <w:szCs w:val="27"/>
          <w:lang w:val="lv-LV"/>
        </w:rPr>
      </w:pPr>
    </w:p>
    <w:p w14:paraId="2B9640EE" w14:textId="24A53A8B" w:rsidR="00F50FE3" w:rsidRPr="002518F2" w:rsidRDefault="00F50FE3" w:rsidP="00AA6B48">
      <w:pPr>
        <w:pStyle w:val="Sarakstarindkopa"/>
        <w:numPr>
          <w:ilvl w:val="0"/>
          <w:numId w:val="1"/>
        </w:numPr>
        <w:jc w:val="both"/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</w:pPr>
      <w:r w:rsidRPr="001515CD">
        <w:rPr>
          <w:rStyle w:val="spelle"/>
          <w:sz w:val="28"/>
          <w:szCs w:val="28"/>
          <w:lang w:val="lv-LV"/>
        </w:rPr>
        <w:t xml:space="preserve">Atļaut Zemkopības ministrijai uzņemties valsts budžeta ilgtermiņa saistības ikgadējās Eiropas Komisijas līdzfinansētās Kaitīgo organismu un augiem bīstamo organismu klātbūtnes apsekojumu programmas </w:t>
      </w:r>
      <w:r w:rsidR="002518F2">
        <w:rPr>
          <w:rStyle w:val="spelle"/>
          <w:sz w:val="28"/>
          <w:szCs w:val="28"/>
          <w:lang w:val="lv-LV"/>
        </w:rPr>
        <w:t>īsteno</w:t>
      </w:r>
      <w:r w:rsidRPr="001515CD">
        <w:rPr>
          <w:rStyle w:val="spelle"/>
          <w:sz w:val="28"/>
          <w:szCs w:val="28"/>
          <w:lang w:val="lv-LV"/>
        </w:rPr>
        <w:t>šanai</w:t>
      </w:r>
      <w:r w:rsidR="002518F2">
        <w:rPr>
          <w:rStyle w:val="spelle"/>
          <w:sz w:val="28"/>
          <w:szCs w:val="28"/>
          <w:lang w:val="lv-LV"/>
        </w:rPr>
        <w:t xml:space="preserve"> </w:t>
      </w:r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2021.</w:t>
      </w:r>
      <w:r w:rsid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 </w:t>
      </w:r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gadā 166</w:t>
      </w:r>
      <w:r w:rsid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 </w:t>
      </w:r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 xml:space="preserve">125 </w:t>
      </w:r>
      <w:proofErr w:type="spellStart"/>
      <w:r w:rsidR="001515CD" w:rsidRPr="00AA6B48">
        <w:rPr>
          <w:rStyle w:val="spelle"/>
          <w:rFonts w:eastAsiaTheme="majorEastAsia"/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 xml:space="preserve"> un no 2022. līdz</w:t>
      </w:r>
      <w:r w:rsid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 </w:t>
      </w:r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2027.</w:t>
      </w:r>
      <w:r w:rsid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 </w:t>
      </w:r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gadam ik gadu 180</w:t>
      </w:r>
      <w:r w:rsid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 </w:t>
      </w:r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304</w:t>
      </w:r>
      <w:r w:rsid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> </w:t>
      </w:r>
      <w:proofErr w:type="spellStart"/>
      <w:r w:rsidR="001515CD" w:rsidRPr="00AA6B48">
        <w:rPr>
          <w:rStyle w:val="spelle"/>
          <w:rFonts w:eastAsiaTheme="majorEastAsia"/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515CD" w:rsidRPr="002518F2">
        <w:rPr>
          <w:rStyle w:val="spelle"/>
          <w:rFonts w:eastAsiaTheme="majorEastAsia"/>
          <w:color w:val="000000" w:themeColor="text1"/>
          <w:sz w:val="28"/>
          <w:szCs w:val="28"/>
          <w:lang w:val="lv-LV"/>
        </w:rPr>
        <w:t xml:space="preserve"> apmērā.</w:t>
      </w:r>
    </w:p>
    <w:p w14:paraId="6E30EA58" w14:textId="77777777" w:rsidR="001515CD" w:rsidRPr="00FC75F1" w:rsidRDefault="001515CD" w:rsidP="00FC75F1">
      <w:pPr>
        <w:pStyle w:val="Sarakstarindkopa"/>
        <w:jc w:val="both"/>
        <w:rPr>
          <w:rStyle w:val="spelle"/>
          <w:sz w:val="28"/>
          <w:szCs w:val="27"/>
          <w:lang w:val="lv-LV"/>
        </w:rPr>
      </w:pPr>
    </w:p>
    <w:p w14:paraId="1360A87A" w14:textId="7C0D080D" w:rsidR="00F50FE3" w:rsidRDefault="00F50FE3" w:rsidP="00F50FE3">
      <w:pPr>
        <w:pStyle w:val="Sarakstarindkopa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F50FE3">
        <w:rPr>
          <w:rStyle w:val="spelle"/>
          <w:sz w:val="28"/>
          <w:szCs w:val="27"/>
          <w:lang w:val="lv-LV"/>
        </w:rPr>
        <w:t>Pēc šī protokollēmuma 2.</w:t>
      </w:r>
      <w:r w:rsidR="002518F2">
        <w:rPr>
          <w:rStyle w:val="spelle"/>
          <w:sz w:val="28"/>
          <w:szCs w:val="27"/>
          <w:lang w:val="lv-LV"/>
        </w:rPr>
        <w:t> </w:t>
      </w:r>
      <w:r w:rsidRPr="00F50FE3">
        <w:rPr>
          <w:rStyle w:val="spelle"/>
          <w:sz w:val="28"/>
          <w:szCs w:val="27"/>
          <w:lang w:val="lv-LV"/>
        </w:rPr>
        <w:t>punktā minētās programmas apstiprināšanas Zemkopības ministrijai sagatavot programmas īstenošanai nepieciešamā finansējuma pieprasījumu saskaņā ar ikgadējā valsts budžeta plānošanas procesu vai normatīvajos aktos noteiktajā kārtībā pieprasīt finansējuma pārdali no 74.</w:t>
      </w:r>
      <w:r w:rsidR="002518F2">
        <w:rPr>
          <w:rStyle w:val="spelle"/>
          <w:sz w:val="28"/>
          <w:szCs w:val="27"/>
          <w:lang w:val="lv-LV"/>
        </w:rPr>
        <w:t> </w:t>
      </w:r>
      <w:r w:rsidRPr="00F50FE3">
        <w:rPr>
          <w:rStyle w:val="spelle"/>
          <w:sz w:val="28"/>
          <w:szCs w:val="27"/>
          <w:lang w:val="lv-LV"/>
        </w:rPr>
        <w:t>resora "Gadskārtējā valsts budžeta izpildes procesā pārdalāmais finansējums" programmas 80.00.00. "Nesadalītais finansējums Eiropas Savienības politiku instrumentiem un pārējai ārvalstu finanšu palīdzībai".</w:t>
      </w:r>
    </w:p>
    <w:p w14:paraId="6AE61B0E" w14:textId="77777777" w:rsidR="00F50FE3" w:rsidRPr="00F50FE3" w:rsidRDefault="00F50FE3" w:rsidP="00F50FE3">
      <w:pPr>
        <w:jc w:val="both"/>
        <w:rPr>
          <w:rStyle w:val="spelle"/>
          <w:sz w:val="28"/>
          <w:szCs w:val="27"/>
          <w:lang w:val="lv-LV"/>
        </w:rPr>
      </w:pPr>
    </w:p>
    <w:p w14:paraId="37571CD0" w14:textId="27300311" w:rsidR="00F50FE3" w:rsidRPr="00F50FE3" w:rsidRDefault="00F50FE3" w:rsidP="00F50FE3">
      <w:pPr>
        <w:pStyle w:val="Sarakstarindkopa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F50FE3">
        <w:rPr>
          <w:rStyle w:val="spelle"/>
          <w:sz w:val="28"/>
          <w:szCs w:val="27"/>
          <w:lang w:val="lv-LV"/>
        </w:rPr>
        <w:t>Zemkopības ministrijai nodrošināt, lai atbilstoši Eiropas Savienības tiesību aktiem par izdevumiem augu veselības jomā apstiprinātajai programmai valsts budžetā daļēji tiktu atgūti programmā izlietotie valsts budžeta līdzekļi.</w:t>
      </w:r>
    </w:p>
    <w:p w14:paraId="525ED4CA" w14:textId="77777777" w:rsidR="008F6671" w:rsidRPr="003F4824" w:rsidRDefault="008F6671" w:rsidP="008F6671">
      <w:pPr>
        <w:pStyle w:val="Sarakstarindkopa"/>
        <w:rPr>
          <w:rStyle w:val="spelle"/>
          <w:sz w:val="28"/>
          <w:szCs w:val="27"/>
          <w:lang w:val="lv-LV"/>
        </w:rPr>
      </w:pPr>
    </w:p>
    <w:p w14:paraId="1B162F4A" w14:textId="0D7EE2A1"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  <w:bookmarkStart w:id="0" w:name="_GoBack"/>
      <w:bookmarkEnd w:id="0"/>
    </w:p>
    <w:p w14:paraId="57C8E259" w14:textId="77777777" w:rsidR="007A7DEB" w:rsidRPr="003F4824" w:rsidRDefault="007A7DEB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</w:p>
    <w:p w14:paraId="3D20DE8F" w14:textId="182DC580" w:rsidR="00DA6BA7" w:rsidRPr="003F4824" w:rsidRDefault="000E7D4C" w:rsidP="007A7DEB">
      <w:pPr>
        <w:ind w:firstLine="720"/>
        <w:jc w:val="both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Ministru prezidents</w:t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proofErr w:type="spellStart"/>
      <w:r w:rsidRPr="003F4824">
        <w:rPr>
          <w:sz w:val="28"/>
          <w:szCs w:val="27"/>
          <w:lang w:val="lv-LV"/>
        </w:rPr>
        <w:t>A.K.Kariņš</w:t>
      </w:r>
      <w:proofErr w:type="spellEnd"/>
    </w:p>
    <w:p w14:paraId="3106E207" w14:textId="6A114065" w:rsidR="00DA6BA7" w:rsidRDefault="00DA6BA7" w:rsidP="007A7DEB">
      <w:pPr>
        <w:tabs>
          <w:tab w:val="left" w:pos="6521"/>
          <w:tab w:val="right" w:pos="8820"/>
        </w:tabs>
        <w:ind w:firstLine="720"/>
        <w:jc w:val="both"/>
        <w:rPr>
          <w:sz w:val="28"/>
          <w:szCs w:val="27"/>
          <w:lang w:val="lv-LV"/>
        </w:rPr>
      </w:pPr>
    </w:p>
    <w:p w14:paraId="084DFBA2" w14:textId="77777777" w:rsidR="007A7DEB" w:rsidRPr="003F4824" w:rsidRDefault="007A7DEB" w:rsidP="007A7DEB">
      <w:pPr>
        <w:tabs>
          <w:tab w:val="left" w:pos="6521"/>
          <w:tab w:val="right" w:pos="8820"/>
        </w:tabs>
        <w:ind w:firstLine="720"/>
        <w:jc w:val="both"/>
        <w:rPr>
          <w:sz w:val="28"/>
          <w:szCs w:val="27"/>
          <w:lang w:val="lv-LV"/>
        </w:rPr>
      </w:pPr>
    </w:p>
    <w:p w14:paraId="1CEC88CD" w14:textId="51DF1D5F" w:rsidR="003F4824" w:rsidRPr="00F50FE3" w:rsidRDefault="00022237" w:rsidP="007A7DEB">
      <w:pPr>
        <w:ind w:firstLine="720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Valsts kancelejas direktors</w:t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r w:rsidR="007A7DEB">
        <w:rPr>
          <w:sz w:val="28"/>
          <w:szCs w:val="27"/>
          <w:lang w:val="lv-LV"/>
        </w:rPr>
        <w:tab/>
      </w:r>
      <w:proofErr w:type="spellStart"/>
      <w:r w:rsidR="009E5DDF" w:rsidRPr="003F4824">
        <w:rPr>
          <w:sz w:val="28"/>
          <w:szCs w:val="27"/>
          <w:lang w:val="lv-LV"/>
        </w:rPr>
        <w:t>J.</w:t>
      </w:r>
      <w:r w:rsidR="000F75AE" w:rsidRPr="003F4824">
        <w:rPr>
          <w:sz w:val="28"/>
          <w:szCs w:val="27"/>
          <w:lang w:val="lv-LV"/>
        </w:rPr>
        <w:t>Citskovskis</w:t>
      </w:r>
      <w:proofErr w:type="spellEnd"/>
    </w:p>
    <w:p w14:paraId="3948D7EC" w14:textId="77777777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1E44D218" w14:textId="0866CA1C" w:rsidR="00AC3DE0" w:rsidRPr="000D20A7" w:rsidRDefault="00AC3DE0" w:rsidP="000D20A7">
      <w:pPr>
        <w:widowControl w:val="0"/>
        <w:rPr>
          <w:rFonts w:eastAsia="Calibri"/>
          <w:sz w:val="20"/>
          <w:szCs w:val="20"/>
        </w:rPr>
      </w:pPr>
    </w:p>
    <w:sectPr w:rsidR="00AC3DE0" w:rsidRPr="000D20A7" w:rsidSect="000943A1">
      <w:footerReference w:type="default" r:id="rId8"/>
      <w:pgSz w:w="11906" w:h="16838"/>
      <w:pgMar w:top="1134" w:right="1134" w:bottom="1134" w:left="1701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DFCD" w14:textId="77777777" w:rsidR="000257FB" w:rsidRDefault="000257FB">
      <w:r>
        <w:separator/>
      </w:r>
    </w:p>
  </w:endnote>
  <w:endnote w:type="continuationSeparator" w:id="0">
    <w:p w14:paraId="385CB074" w14:textId="77777777" w:rsidR="000257FB" w:rsidRDefault="000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0AFF" w14:textId="47FEE0D4" w:rsidR="00E0249D" w:rsidRPr="002460A8" w:rsidRDefault="002460A8" w:rsidP="002460A8">
    <w:pPr>
      <w:pStyle w:val="Kjene"/>
    </w:pPr>
    <w:r w:rsidRPr="002460A8">
      <w:rPr>
        <w:lang w:val="en-GB"/>
      </w:rPr>
      <w:t>ZMprot_160821_KO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9E42" w14:textId="77777777" w:rsidR="000257FB" w:rsidRDefault="000257FB">
      <w:r>
        <w:separator/>
      </w:r>
    </w:p>
  </w:footnote>
  <w:footnote w:type="continuationSeparator" w:id="0">
    <w:p w14:paraId="165486C2" w14:textId="77777777" w:rsidR="000257FB" w:rsidRDefault="000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00F42"/>
    <w:rsid w:val="00010373"/>
    <w:rsid w:val="00022237"/>
    <w:rsid w:val="000257FB"/>
    <w:rsid w:val="00033D26"/>
    <w:rsid w:val="00034CF4"/>
    <w:rsid w:val="000444F4"/>
    <w:rsid w:val="000549D5"/>
    <w:rsid w:val="00062238"/>
    <w:rsid w:val="000640B2"/>
    <w:rsid w:val="00074EE6"/>
    <w:rsid w:val="000802C2"/>
    <w:rsid w:val="00084781"/>
    <w:rsid w:val="000943A1"/>
    <w:rsid w:val="000C710A"/>
    <w:rsid w:val="000D20A7"/>
    <w:rsid w:val="000E074D"/>
    <w:rsid w:val="000E7D4C"/>
    <w:rsid w:val="000F0DFA"/>
    <w:rsid w:val="000F5067"/>
    <w:rsid w:val="000F694E"/>
    <w:rsid w:val="000F75AE"/>
    <w:rsid w:val="001066D8"/>
    <w:rsid w:val="00121502"/>
    <w:rsid w:val="001464B8"/>
    <w:rsid w:val="001515CD"/>
    <w:rsid w:val="00155F99"/>
    <w:rsid w:val="001767D4"/>
    <w:rsid w:val="001948FD"/>
    <w:rsid w:val="001A0B28"/>
    <w:rsid w:val="001B0345"/>
    <w:rsid w:val="001B6522"/>
    <w:rsid w:val="001C305C"/>
    <w:rsid w:val="0021442F"/>
    <w:rsid w:val="00233BB6"/>
    <w:rsid w:val="00236753"/>
    <w:rsid w:val="002460A8"/>
    <w:rsid w:val="002518F2"/>
    <w:rsid w:val="00274F2A"/>
    <w:rsid w:val="002A02F7"/>
    <w:rsid w:val="002B3883"/>
    <w:rsid w:val="002B6E02"/>
    <w:rsid w:val="002D432A"/>
    <w:rsid w:val="00314677"/>
    <w:rsid w:val="00325A2C"/>
    <w:rsid w:val="003421E3"/>
    <w:rsid w:val="00346C12"/>
    <w:rsid w:val="003560F1"/>
    <w:rsid w:val="003659E0"/>
    <w:rsid w:val="00371D37"/>
    <w:rsid w:val="00394984"/>
    <w:rsid w:val="003C35FC"/>
    <w:rsid w:val="003E328B"/>
    <w:rsid w:val="003E4418"/>
    <w:rsid w:val="003F4824"/>
    <w:rsid w:val="00417C8C"/>
    <w:rsid w:val="00431FE2"/>
    <w:rsid w:val="004551FE"/>
    <w:rsid w:val="004605DE"/>
    <w:rsid w:val="004708E2"/>
    <w:rsid w:val="00487DD8"/>
    <w:rsid w:val="004946C1"/>
    <w:rsid w:val="004A2102"/>
    <w:rsid w:val="004A3C02"/>
    <w:rsid w:val="004B1FF8"/>
    <w:rsid w:val="004B2A45"/>
    <w:rsid w:val="004C2FE4"/>
    <w:rsid w:val="004E33ED"/>
    <w:rsid w:val="004E4A24"/>
    <w:rsid w:val="004F399C"/>
    <w:rsid w:val="004F4E19"/>
    <w:rsid w:val="0051579A"/>
    <w:rsid w:val="00517F32"/>
    <w:rsid w:val="00532F95"/>
    <w:rsid w:val="0055322F"/>
    <w:rsid w:val="00554D6C"/>
    <w:rsid w:val="00560E3D"/>
    <w:rsid w:val="00574A98"/>
    <w:rsid w:val="005A7644"/>
    <w:rsid w:val="00635DF0"/>
    <w:rsid w:val="0065733C"/>
    <w:rsid w:val="0067302D"/>
    <w:rsid w:val="00691493"/>
    <w:rsid w:val="006B4D23"/>
    <w:rsid w:val="006D49BA"/>
    <w:rsid w:val="006D59E5"/>
    <w:rsid w:val="006D606F"/>
    <w:rsid w:val="006E4DD9"/>
    <w:rsid w:val="006E7456"/>
    <w:rsid w:val="00702689"/>
    <w:rsid w:val="0073120C"/>
    <w:rsid w:val="00741292"/>
    <w:rsid w:val="00744940"/>
    <w:rsid w:val="00750FAF"/>
    <w:rsid w:val="007605F3"/>
    <w:rsid w:val="007728D2"/>
    <w:rsid w:val="00774D68"/>
    <w:rsid w:val="00785FBA"/>
    <w:rsid w:val="00791D5A"/>
    <w:rsid w:val="00796DB2"/>
    <w:rsid w:val="007A7DEB"/>
    <w:rsid w:val="007B166E"/>
    <w:rsid w:val="007B3932"/>
    <w:rsid w:val="007C1D4F"/>
    <w:rsid w:val="007C7370"/>
    <w:rsid w:val="007F2906"/>
    <w:rsid w:val="007F422E"/>
    <w:rsid w:val="00811BBF"/>
    <w:rsid w:val="00817676"/>
    <w:rsid w:val="00823147"/>
    <w:rsid w:val="00823505"/>
    <w:rsid w:val="00824B7B"/>
    <w:rsid w:val="00826EEA"/>
    <w:rsid w:val="0085075E"/>
    <w:rsid w:val="008520ED"/>
    <w:rsid w:val="00854952"/>
    <w:rsid w:val="00862E68"/>
    <w:rsid w:val="008760BF"/>
    <w:rsid w:val="00882E8F"/>
    <w:rsid w:val="00893A9D"/>
    <w:rsid w:val="008A22DE"/>
    <w:rsid w:val="008B1A7D"/>
    <w:rsid w:val="008B4350"/>
    <w:rsid w:val="008D52B0"/>
    <w:rsid w:val="008F1E5D"/>
    <w:rsid w:val="008F594B"/>
    <w:rsid w:val="008F6671"/>
    <w:rsid w:val="00910267"/>
    <w:rsid w:val="00927DDF"/>
    <w:rsid w:val="00944B60"/>
    <w:rsid w:val="00945700"/>
    <w:rsid w:val="00973E34"/>
    <w:rsid w:val="0097688D"/>
    <w:rsid w:val="00976A97"/>
    <w:rsid w:val="00985D2F"/>
    <w:rsid w:val="009A0964"/>
    <w:rsid w:val="009C4FE9"/>
    <w:rsid w:val="009C72F3"/>
    <w:rsid w:val="009D23C2"/>
    <w:rsid w:val="009E5DDF"/>
    <w:rsid w:val="00A25BB7"/>
    <w:rsid w:val="00A26BF2"/>
    <w:rsid w:val="00A345C6"/>
    <w:rsid w:val="00A574EF"/>
    <w:rsid w:val="00A732EF"/>
    <w:rsid w:val="00A86834"/>
    <w:rsid w:val="00A97B10"/>
    <w:rsid w:val="00AA6B48"/>
    <w:rsid w:val="00AA7DDD"/>
    <w:rsid w:val="00AC3DE0"/>
    <w:rsid w:val="00AD2859"/>
    <w:rsid w:val="00AF1DD5"/>
    <w:rsid w:val="00AF445E"/>
    <w:rsid w:val="00B24A62"/>
    <w:rsid w:val="00B527DE"/>
    <w:rsid w:val="00B613C7"/>
    <w:rsid w:val="00B81C3B"/>
    <w:rsid w:val="00BA30F3"/>
    <w:rsid w:val="00BC0D95"/>
    <w:rsid w:val="00BC45BC"/>
    <w:rsid w:val="00BC5E6A"/>
    <w:rsid w:val="00BD64B2"/>
    <w:rsid w:val="00BE1582"/>
    <w:rsid w:val="00BE2422"/>
    <w:rsid w:val="00BF23E6"/>
    <w:rsid w:val="00BF3EF3"/>
    <w:rsid w:val="00C0660F"/>
    <w:rsid w:val="00C067AE"/>
    <w:rsid w:val="00C10FA8"/>
    <w:rsid w:val="00C11286"/>
    <w:rsid w:val="00C306A1"/>
    <w:rsid w:val="00C478B3"/>
    <w:rsid w:val="00C56EB6"/>
    <w:rsid w:val="00C6378D"/>
    <w:rsid w:val="00C86633"/>
    <w:rsid w:val="00C95385"/>
    <w:rsid w:val="00CB43CB"/>
    <w:rsid w:val="00CE564E"/>
    <w:rsid w:val="00CE5C31"/>
    <w:rsid w:val="00D2323E"/>
    <w:rsid w:val="00D475D7"/>
    <w:rsid w:val="00D5681C"/>
    <w:rsid w:val="00D609E1"/>
    <w:rsid w:val="00D60BA7"/>
    <w:rsid w:val="00D876E9"/>
    <w:rsid w:val="00D97FF1"/>
    <w:rsid w:val="00DA6BA7"/>
    <w:rsid w:val="00DC35AE"/>
    <w:rsid w:val="00DD458F"/>
    <w:rsid w:val="00DF00BA"/>
    <w:rsid w:val="00E0249D"/>
    <w:rsid w:val="00E11809"/>
    <w:rsid w:val="00E1260C"/>
    <w:rsid w:val="00E24E22"/>
    <w:rsid w:val="00E301CC"/>
    <w:rsid w:val="00E428D4"/>
    <w:rsid w:val="00E44BD5"/>
    <w:rsid w:val="00E45F00"/>
    <w:rsid w:val="00E47DDE"/>
    <w:rsid w:val="00E67B0C"/>
    <w:rsid w:val="00E84F2A"/>
    <w:rsid w:val="00EA6008"/>
    <w:rsid w:val="00EA774E"/>
    <w:rsid w:val="00EE5062"/>
    <w:rsid w:val="00F26D4A"/>
    <w:rsid w:val="00F444F1"/>
    <w:rsid w:val="00F50FE3"/>
    <w:rsid w:val="00F54483"/>
    <w:rsid w:val="00F562B3"/>
    <w:rsid w:val="00F72695"/>
    <w:rsid w:val="00F96876"/>
    <w:rsid w:val="00FC75F1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89DA12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CE564E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4F4E19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4708E2"/>
    <w:rPr>
      <w:sz w:val="24"/>
      <w:szCs w:val="24"/>
      <w:lang w:val="en-GB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06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BA47-D128-4BCF-8504-E21023FD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noteikumu projektu "Grozījumi Ministru kabineta 2017.gada 4.aprīļa noteikumos Nr.199 “Noteikumi par dabasgāzes apriti un akcīzes nodokļa piemērošanas kārtību”</vt:lpstr>
      <vt:lpstr>Par MK noteikumu projektu "Grozījumi Ministru kabineta 2017.gada 4.aprīļa noteikumos Nr.199 “Noteikumi par dabasgāzes apriti un akcīzes nodokļa piemērošanas kārtību”</vt:lpstr>
    </vt:vector>
  </TitlesOfParts>
  <Company>VAAD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valsts budžeta saistību uzņemšanos Eiropas Komisijas līdzfinansētās Kaitīgo</dc:title>
  <dc:subject>Protokollēmuma projekts</dc:subject>
  <dc:creator>Vents Ezers</dc:creator>
  <cp:keywords>MK protokollēmums</cp:keywords>
  <dc:description>Ezers 67027309 Vents.ezers@vaad.gov.lv</dc:description>
  <cp:lastModifiedBy>Sanita Papinova</cp:lastModifiedBy>
  <cp:revision>3</cp:revision>
  <cp:lastPrinted>2020-08-12T13:55:00Z</cp:lastPrinted>
  <dcterms:created xsi:type="dcterms:W3CDTF">2021-08-17T08:38:00Z</dcterms:created>
  <dcterms:modified xsi:type="dcterms:W3CDTF">2021-08-18T06:24:00Z</dcterms:modified>
  <cp:contentStatus/>
</cp:coreProperties>
</file>